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</w:t>
      </w:r>
      <w:r>
        <w:rPr>
          <w:rFonts w:ascii="Arial" w:hAnsi="Arial" w:cs="Arial"/>
          <w:b/>
          <w:sz w:val="20"/>
          <w:szCs w:val="20"/>
        </w:rPr>
        <w:t>OBRAZAC 1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Naručilac: </w:t>
      </w:r>
      <w:r>
        <w:rPr>
          <w:rFonts w:ascii="Arial" w:hAnsi="Arial" w:cs="Arial"/>
          <w:b/>
        </w:rPr>
        <w:t xml:space="preserve">Dom zdravlja Kolašin                                                            </w:t>
      </w: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hint="default" w:ascii="Arial" w:hAnsi="Arial" w:cs="Arial"/>
          <w:b/>
          <w:lang w:val="en-US"/>
        </w:rPr>
      </w:pPr>
      <w:r>
        <w:rPr>
          <w:rFonts w:ascii="Arial" w:hAnsi="Arial" w:cs="Arial"/>
        </w:rPr>
        <w:t xml:space="preserve">Broj:    </w:t>
      </w:r>
      <w:r>
        <w:rPr>
          <w:rFonts w:hint="default" w:ascii="Arial" w:hAnsi="Arial" w:cs="Arial"/>
          <w:lang w:val="en-US"/>
        </w:rPr>
        <w:t>737</w:t>
      </w: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Datum, </w:t>
      </w:r>
      <w:r>
        <w:rPr>
          <w:rFonts w:hint="default" w:ascii="Arial" w:hAnsi="Arial" w:cs="Arial"/>
          <w:lang w:val="en-US"/>
        </w:rPr>
        <w:t>28</w:t>
      </w:r>
      <w:r>
        <w:rPr>
          <w:rFonts w:ascii="Arial" w:hAnsi="Arial" w:cs="Arial"/>
          <w:b/>
        </w:rPr>
        <w:t>.0</w:t>
      </w:r>
      <w:r>
        <w:rPr>
          <w:rFonts w:hint="default" w:ascii="Arial" w:hAnsi="Arial" w:cs="Arial"/>
          <w:b/>
          <w:lang w:val="en-US"/>
        </w:rPr>
        <w:t>7</w:t>
      </w:r>
      <w:r>
        <w:rPr>
          <w:rFonts w:ascii="Arial" w:hAnsi="Arial" w:cs="Arial"/>
          <w:b/>
        </w:rPr>
        <w:t>.202</w:t>
      </w:r>
      <w:r>
        <w:rPr>
          <w:rFonts w:hint="default" w:ascii="Arial" w:hAnsi="Arial" w:cs="Arial"/>
          <w:b/>
          <w:lang w:val="en-US"/>
        </w:rPr>
        <w:t>2</w:t>
      </w:r>
      <w:r>
        <w:rPr>
          <w:rFonts w:ascii="Arial" w:hAnsi="Arial" w:cs="Arial"/>
          <w:b/>
        </w:rPr>
        <w:t>. godine</w:t>
      </w:r>
    </w:p>
    <w:p>
      <w:pPr>
        <w:spacing w:after="0" w:line="240" w:lineRule="auto"/>
        <w:jc w:val="both"/>
        <w:rPr>
          <w:rFonts w:ascii="Arial" w:hAnsi="Arial" w:cs="Arial"/>
        </w:rPr>
      </w:pPr>
    </w:p>
    <w:p>
      <w:pPr>
        <w:spacing w:after="0" w:line="240" w:lineRule="auto"/>
        <w:jc w:val="center"/>
        <w:rPr>
          <w:rFonts w:ascii="Arial" w:hAnsi="Arial" w:cs="Arial"/>
        </w:rPr>
      </w:pPr>
    </w:p>
    <w:p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Na osnovu člana 27 stav 1 Zakona o javnim nabavkama („Službeni list CG“, broj 74/19)  i Pravilnika o načinu sprovođenja </w:t>
      </w:r>
      <w:r>
        <w:rPr>
          <w:rFonts w:ascii="Arial" w:hAnsi="Arial" w:cs="Arial"/>
          <w:lang w:val="pl-PL"/>
        </w:rPr>
        <w:t xml:space="preserve">jednostavnih nabavki </w:t>
      </w:r>
      <w:r>
        <w:rPr>
          <w:rFonts w:ascii="Arial" w:hAnsi="Arial" w:cs="Arial"/>
        </w:rPr>
        <w:t xml:space="preserve">(„Sl. list CG“, br. 61/20, 71/20,74/20 I 102/20) ZU Dom zdravlja Kolašin objavljuje </w:t>
      </w:r>
    </w:p>
    <w:p>
      <w:pPr>
        <w:spacing w:after="0" w:line="240" w:lineRule="auto"/>
        <w:jc w:val="both"/>
        <w:rPr>
          <w:rFonts w:ascii="Arial" w:hAnsi="Arial" w:cs="Arial"/>
          <w:b/>
        </w:rPr>
      </w:pPr>
    </w:p>
    <w:p>
      <w:pPr>
        <w:spacing w:after="0" w:line="240" w:lineRule="auto"/>
        <w:jc w:val="both"/>
        <w:rPr>
          <w:rFonts w:ascii="Arial" w:hAnsi="Arial" w:cs="Arial"/>
          <w:b/>
        </w:rPr>
      </w:pPr>
    </w:p>
    <w:p>
      <w:pPr>
        <w:spacing w:after="0" w:line="240" w:lineRule="auto"/>
        <w:jc w:val="both"/>
        <w:rPr>
          <w:rFonts w:ascii="Arial" w:hAnsi="Arial" w:cs="Arial"/>
          <w:b/>
        </w:rPr>
      </w:pPr>
    </w:p>
    <w:p>
      <w:pPr>
        <w:pStyle w:val="2"/>
        <w:spacing w:before="0" w:line="240" w:lineRule="auto"/>
        <w:jc w:val="center"/>
        <w:rPr>
          <w:rFonts w:ascii="Arial" w:hAnsi="Arial" w:cs="Arial"/>
          <w:b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14:textFill>
            <w14:solidFill>
              <w14:schemeClr w14:val="tx1"/>
            </w14:solidFill>
          </w14:textFill>
        </w:rPr>
        <w:t>ZAHTJEV ZA DOSTAVLJANJE PONUDA</w:t>
      </w:r>
    </w:p>
    <w:p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ZA JEDNOSTAVNE NABAVKE </w:t>
      </w:r>
    </w:p>
    <w:p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</w:rPr>
      </w:pPr>
    </w:p>
    <w:p>
      <w:pPr>
        <w:pBdr>
          <w:top w:val="single" w:color="auto" w:sz="4" w:space="1"/>
          <w:left w:val="single" w:color="auto" w:sz="4" w:space="3"/>
          <w:bottom w:val="single" w:color="auto" w:sz="4" w:space="1"/>
          <w:right w:val="single" w:color="auto" w:sz="4" w:space="4"/>
        </w:pBdr>
        <w:shd w:val="clear" w:color="auto" w:fill="D8D8D8" w:themeFill="background1" w:themeFillShade="D9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 Podaci o naručiocu </w:t>
      </w:r>
    </w:p>
    <w:p>
      <w:pPr>
        <w:pStyle w:val="6"/>
        <w:rPr>
          <w:rFonts w:ascii="Arial" w:hAnsi="Arial" w:cs="Arial"/>
          <w:b/>
          <w:sz w:val="22"/>
          <w:szCs w:val="22"/>
        </w:rPr>
      </w:pPr>
    </w:p>
    <w:tbl>
      <w:tblPr>
        <w:tblStyle w:val="4"/>
        <w:tblW w:w="0" w:type="auto"/>
        <w:tblInd w:w="-34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9"/>
        <w:gridCol w:w="5363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959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Naručilac: </w:t>
            </w:r>
            <w:r>
              <w:rPr>
                <w:rFonts w:ascii="Arial" w:hAnsi="Arial" w:cs="Arial"/>
                <w:b/>
                <w:color w:val="000000"/>
              </w:rPr>
              <w:t>Zdravstvena ustanova Dom zdravlja Kolašin</w:t>
            </w:r>
          </w:p>
          <w:p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36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Lice/a za davanje informacija: </w:t>
            </w:r>
            <w:r>
              <w:rPr>
                <w:rFonts w:ascii="Arial" w:hAnsi="Arial" w:cs="Arial"/>
                <w:b/>
                <w:color w:val="000000"/>
              </w:rPr>
              <w:t>Bakić Dragana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959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Adresa: </w:t>
            </w:r>
            <w:r>
              <w:rPr>
                <w:rFonts w:ascii="Arial" w:hAnsi="Arial" w:cs="Arial"/>
                <w:b/>
                <w:color w:val="000000"/>
              </w:rPr>
              <w:t>Ul Dunje Đokić bb</w:t>
            </w:r>
          </w:p>
          <w:p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Poštanski broj: </w:t>
            </w:r>
            <w:r>
              <w:rPr>
                <w:rFonts w:ascii="Arial" w:hAnsi="Arial" w:cs="Arial"/>
                <w:b/>
                <w:color w:val="000000"/>
              </w:rPr>
              <w:t>81210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959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Sjedište: </w:t>
            </w:r>
            <w:r>
              <w:rPr>
                <w:rFonts w:ascii="Arial" w:hAnsi="Arial" w:cs="Arial"/>
                <w:b/>
                <w:color w:val="000000"/>
              </w:rPr>
              <w:t>Kolašin</w:t>
            </w:r>
          </w:p>
          <w:p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PIB: </w:t>
            </w:r>
            <w:r>
              <w:rPr>
                <w:rFonts w:ascii="Arial" w:hAnsi="Arial" w:cs="Arial"/>
                <w:b/>
                <w:color w:val="000000"/>
              </w:rPr>
              <w:t xml:space="preserve">02015889 </w:t>
            </w:r>
          </w:p>
          <w:p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959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Telefon: </w:t>
            </w:r>
            <w:r>
              <w:rPr>
                <w:rFonts w:ascii="Arial" w:hAnsi="Arial" w:cs="Arial"/>
                <w:b/>
                <w:color w:val="000000"/>
              </w:rPr>
              <w:t>020 865-140</w:t>
            </w:r>
          </w:p>
          <w:p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Faks: </w:t>
            </w:r>
            <w:r>
              <w:rPr>
                <w:rFonts w:ascii="Arial" w:hAnsi="Arial" w:cs="Arial"/>
                <w:b/>
                <w:color w:val="000000"/>
              </w:rPr>
              <w:t>020 865-120</w:t>
            </w:r>
          </w:p>
          <w:p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959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E-mail adresa: </w:t>
            </w:r>
            <w:r>
              <w:rPr>
                <w:rFonts w:ascii="Arial" w:hAnsi="Arial" w:cs="Arial"/>
                <w:b/>
                <w:color w:val="000000"/>
              </w:rPr>
              <w:t xml:space="preserve">dzkolasin@t-com.me </w:t>
            </w:r>
          </w:p>
          <w:p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36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Internet stranica:</w:t>
            </w:r>
          </w:p>
          <w:p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>
      <w:pPr>
        <w:spacing w:after="0" w:line="240" w:lineRule="auto"/>
        <w:rPr>
          <w:rFonts w:ascii="Arial" w:hAnsi="Arial" w:cs="Arial"/>
          <w:b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8D8D8" w:themeFill="background1" w:themeFillShade="D9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  Predmet nabavke:</w:t>
      </w:r>
    </w:p>
    <w:p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sym w:font="Wingdings" w:char="F078"/>
      </w:r>
      <w:r>
        <w:rPr>
          <w:rFonts w:ascii="Arial" w:hAnsi="Arial" w:cs="Arial"/>
          <w:b/>
        </w:rPr>
        <w:t xml:space="preserve"> robe</w:t>
      </w:r>
    </w:p>
    <w:p>
      <w:pPr>
        <w:spacing w:after="0" w:line="240" w:lineRule="auto"/>
        <w:ind w:firstLine="426"/>
        <w:rPr>
          <w:rFonts w:ascii="Arial" w:hAnsi="Arial" w:cs="Arial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8D8D8" w:themeFill="background1" w:themeFillShade="D9"/>
        <w:spacing w:after="0" w:line="240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 xml:space="preserve">III Opis predmeta nabavke: 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ascii="Arial" w:hAnsi="Arial" w:cs="Arial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hint="default" w:ascii="Arial" w:hAnsi="Arial" w:cs="Arial"/>
          <w:lang w:val="en-US"/>
        </w:rPr>
      </w:pPr>
      <w:r>
        <w:rPr>
          <w:rFonts w:hint="default" w:ascii="Arial" w:hAnsi="Arial" w:cs="Arial"/>
          <w:lang w:val="en-US"/>
        </w:rPr>
        <w:t>Reagensi za rad na biohemijskom analizatoru “NeoChem 20” proizvođača NeoMedica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  <w:b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IV Procijenjena vrijednost jednostavne nabavke:</w:t>
      </w:r>
    </w:p>
    <w:p>
      <w:pPr>
        <w:spacing w:after="0" w:line="240" w:lineRule="auto"/>
        <w:jc w:val="both"/>
        <w:rPr>
          <w:rFonts w:ascii="Arial" w:hAnsi="Arial" w:cs="Arial"/>
          <w:color w:val="000000"/>
        </w:rPr>
      </w:pPr>
    </w:p>
    <w:p>
      <w:pPr>
        <w:spacing w:after="0" w:line="240" w:lineRule="auto"/>
        <w:jc w:val="both"/>
        <w:rPr>
          <w:rFonts w:hint="default" w:ascii="Arial" w:hAnsi="Arial" w:cs="Arial"/>
          <w:b/>
          <w:color w:val="000000"/>
          <w:lang w:val="en-US"/>
        </w:rPr>
      </w:pPr>
      <w:r>
        <w:rPr>
          <w:rFonts w:ascii="Arial" w:hAnsi="Arial" w:cs="Arial"/>
          <w:color w:val="000000"/>
        </w:rPr>
        <w:t xml:space="preserve">Procijenjena vrijednost jednostavne nabavke </w:t>
      </w:r>
      <w:r>
        <w:rPr>
          <w:rFonts w:hint="default" w:ascii="Arial" w:hAnsi="Arial" w:cs="Arial"/>
          <w:color w:val="000000"/>
          <w:lang w:val="en-US"/>
        </w:rPr>
        <w:t>-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b/>
          <w:color w:val="000000"/>
        </w:rPr>
        <w:t>1</w:t>
      </w:r>
      <w:r>
        <w:rPr>
          <w:rFonts w:hint="default" w:ascii="Arial" w:hAnsi="Arial" w:cs="Arial"/>
          <w:b/>
          <w:color w:val="000000"/>
          <w:lang w:val="en-US"/>
        </w:rPr>
        <w:t>2</w:t>
      </w:r>
      <w:r>
        <w:rPr>
          <w:rFonts w:ascii="Arial" w:hAnsi="Arial" w:cs="Arial"/>
          <w:b/>
          <w:color w:val="000000"/>
        </w:rPr>
        <w:t>.</w:t>
      </w:r>
      <w:r>
        <w:rPr>
          <w:rFonts w:hint="default" w:ascii="Arial" w:hAnsi="Arial" w:cs="Arial"/>
          <w:b/>
          <w:color w:val="000000"/>
          <w:lang w:val="en-US"/>
        </w:rPr>
        <w:t>000</w:t>
      </w:r>
      <w:r>
        <w:rPr>
          <w:rFonts w:ascii="Arial" w:hAnsi="Arial" w:cs="Arial"/>
          <w:b/>
          <w:color w:val="000000"/>
        </w:rPr>
        <w:t>,0</w:t>
      </w:r>
      <w:r>
        <w:rPr>
          <w:rFonts w:hint="default" w:ascii="Arial" w:hAnsi="Arial" w:cs="Arial"/>
          <w:b/>
          <w:color w:val="000000"/>
          <w:lang w:val="en-US"/>
        </w:rPr>
        <w:t>0</w:t>
      </w:r>
      <w:r>
        <w:rPr>
          <w:rFonts w:ascii="Arial" w:hAnsi="Arial" w:cs="Arial"/>
          <w:b/>
          <w:color w:val="000000"/>
        </w:rPr>
        <w:t xml:space="preserve"> €;</w:t>
      </w:r>
      <w:r>
        <w:rPr>
          <w:rFonts w:hint="default" w:ascii="Arial" w:hAnsi="Arial" w:cs="Arial"/>
          <w:b/>
          <w:color w:val="000000"/>
          <w:lang w:val="en-US"/>
        </w:rPr>
        <w:t xml:space="preserve"> (PDV-0%)</w:t>
      </w:r>
    </w:p>
    <w:p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>
      <w:pPr>
        <w:spacing w:after="0" w:line="240" w:lineRule="auto"/>
        <w:rPr>
          <w:rFonts w:ascii="Arial" w:hAnsi="Arial" w:cs="Arial"/>
          <w:b/>
        </w:rPr>
      </w:pPr>
    </w:p>
    <w:p>
      <w:pPr>
        <w:spacing w:after="0" w:line="240" w:lineRule="auto"/>
        <w:rPr>
          <w:rFonts w:ascii="Arial" w:hAnsi="Arial" w:cs="Arial"/>
          <w:b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8D8D8" w:themeFill="background1" w:themeFillShade="D9"/>
        <w:spacing w:after="0" w:line="240" w:lineRule="auto"/>
        <w:ind w:left="142" w:hanging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V Tehničke karakteristike ili specifikacije</w:t>
      </w:r>
    </w:p>
    <w:tbl>
      <w:tblPr>
        <w:tblStyle w:val="9"/>
        <w:tblpPr w:leftFromText="180" w:rightFromText="180" w:vertAnchor="text" w:tblpX="-2669" w:tblpY="17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38" w:type="dxa"/>
            <w:tcBorders>
              <w:top w:val="nil"/>
              <w:bottom w:val="nil"/>
            </w:tcBorders>
          </w:tcPr>
          <w:p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vertAlign w:val="baseline"/>
              </w:rPr>
            </w:pPr>
          </w:p>
        </w:tc>
      </w:tr>
    </w:tbl>
    <w:p>
      <w:pPr>
        <w:spacing w:after="0" w:line="240" w:lineRule="auto"/>
        <w:rPr>
          <w:rFonts w:ascii="Arial" w:hAnsi="Arial" w:cs="Arial"/>
          <w:b/>
        </w:rPr>
      </w:pPr>
    </w:p>
    <w:tbl>
      <w:tblPr>
        <w:tblStyle w:val="4"/>
        <w:tblW w:w="9498" w:type="dxa"/>
        <w:tblInd w:w="-152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5"/>
        <w:gridCol w:w="3342"/>
        <w:gridCol w:w="3312"/>
        <w:gridCol w:w="1143"/>
        <w:gridCol w:w="996"/>
      </w:tblGrid>
      <w:tr>
        <w:trPr>
          <w:trHeight w:val="235" w:hRule="atLeast"/>
        </w:trPr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sr-Latn-CS"/>
              </w:rPr>
              <w:t>R.B.</w:t>
            </w:r>
          </w:p>
        </w:tc>
        <w:tc>
          <w:tcPr>
            <w:tcW w:w="33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D9D9D9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  <w:t xml:space="preserve">Opis predmeta nabavke, </w:t>
            </w:r>
          </w:p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  <w:t>odnosno dijela predmeta nabavke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  <w:t>Bitne karakteristike predmeta nabavke</w:t>
            </w:r>
            <w:r>
              <w:rPr>
                <w:rStyle w:val="7"/>
                <w:rFonts w:ascii="Arial" w:hAnsi="Arial" w:cs="Arial"/>
                <w:b/>
                <w:bCs/>
                <w:color w:val="000000"/>
                <w:lang w:val="sr-Latn-CS" w:eastAsia="sr-Latn-CS"/>
              </w:rPr>
              <w:footnoteReference w:id="0"/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  <w:t>Jedinica mjere</w:t>
            </w:r>
          </w:p>
        </w:tc>
        <w:tc>
          <w:tcPr>
            <w:tcW w:w="99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D9D9D9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  <w:t xml:space="preserve">Količina 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11" w:hRule="atLeast"/>
        </w:trPr>
        <w:tc>
          <w:tcPr>
            <w:tcW w:w="7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ascii="Arial" w:hAnsi="Arial" w:cs="Arial"/>
                <w:color w:val="000000"/>
                <w:lang w:val="sr-Cyrl-CS" w:eastAsia="sr-Latn-CS"/>
              </w:rPr>
              <w:t>1</w:t>
            </w:r>
          </w:p>
        </w:tc>
        <w:tc>
          <w:tcPr>
            <w:tcW w:w="334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ascii="Arial" w:hAnsi="Arial" w:cs="Arial"/>
                <w:color w:val="000000"/>
                <w:lang w:val="sr-Latn-CS" w:eastAsia="sr-Latn-CS"/>
              </w:rPr>
              <w:t>B</w:t>
            </w: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ilirubin D-DMSO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highlight w:val="yellow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highlight w:val="yellow"/>
                <w:lang w:val="en-US" w:eastAsia="sr-Latn-CS"/>
              </w:rPr>
              <w:t>740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33" w:hRule="atLeast"/>
        </w:trPr>
        <w:tc>
          <w:tcPr>
            <w:tcW w:w="70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</w:t>
            </w:r>
          </w:p>
        </w:tc>
        <w:tc>
          <w:tcPr>
            <w:tcW w:w="3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Bilirubin T-DMSO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760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12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3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Calcium AIII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450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00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4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Cholesterol LS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4450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0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5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Creatinine-J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5400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6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6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Glucose LS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6000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2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7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Iron FZ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470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8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8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Total Protein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1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9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Triglycerides LS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4400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6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10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Urea UV-LQ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5400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8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11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Uric Acid LS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600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4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12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ALP-LQ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270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2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13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AMILASE-LQ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57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14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CK-NAC LQ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530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6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15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CK-MB LQ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100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10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16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g-GT LQ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6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17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GOT/AST -LQ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5200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55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18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GPT/ ALT- LQ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5200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1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19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LDH-LQ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300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99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20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CRB Turbi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4500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1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21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Protein U&amp;CSF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analiza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400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75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22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Multicalibrator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pakovanje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1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55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23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CONTROLNI SERUM N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pakovanje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3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15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24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ASO/ CRP/ RF Control H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pakovanje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39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25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ASO/ CRP/ RF control L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pakovanje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7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26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Deterdžent za biohemijski analizator “NeoChem 20”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Potrebno je ponuditi odgovarajuću količinu biohemijskih reagenasa, kalibracioni I kontrolni materijal I potrošni materijal na godišnjem nivou,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pakovanje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25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75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27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Serumske čašice za biohemijski analizator “NeoChem 20”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Potrebno je ponuditi odgovarajuću količinu biohemijskih reagenasa, kalibracioni I kontrolni materijal I potrošni materijal na godišnjem nivou,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pakovanje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59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28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Cuvetts with RACK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Potrebno je ponuditi odgovarajuću količinu biohemijskih reagenasa, kalibracioni I kontrolni materijal I potrošni materijal na godišnjem nivou,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pakovanje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6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3" w:hRule="atLeast"/>
        </w:trPr>
        <w:tc>
          <w:tcPr>
            <w:tcW w:w="7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29</w:t>
            </w: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CONTROLNI SERUM P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Reagensi za rad na biohemijskom analizatoru “NeoChem 20”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pakovanje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color w:val="000000"/>
                <w:lang w:val="en-US" w:eastAsia="sr-Latn-CS"/>
              </w:rPr>
            </w:pPr>
            <w:r>
              <w:rPr>
                <w:rFonts w:hint="default" w:ascii="Arial" w:hAnsi="Arial" w:cs="Arial"/>
                <w:color w:val="000000"/>
                <w:lang w:val="en-US" w:eastAsia="sr-Latn-CS"/>
              </w:rPr>
              <w:t>3</w:t>
            </w:r>
          </w:p>
        </w:tc>
      </w:tr>
    </w:tbl>
    <w:p>
      <w:pPr>
        <w:spacing w:after="0" w:line="240" w:lineRule="auto"/>
        <w:rPr>
          <w:rFonts w:ascii="Arial" w:hAnsi="Arial" w:cs="Arial"/>
          <w:b/>
        </w:rPr>
      </w:pPr>
    </w:p>
    <w:p>
      <w:pPr>
        <w:spacing w:after="0" w:line="240" w:lineRule="auto"/>
        <w:rPr>
          <w:rFonts w:ascii="Arial" w:hAnsi="Arial" w:cs="Arial"/>
          <w:b/>
        </w:rPr>
      </w:pPr>
    </w:p>
    <w:p>
      <w:pPr>
        <w:spacing w:after="0" w:line="240" w:lineRule="auto"/>
        <w:jc w:val="both"/>
        <w:rPr>
          <w:rFonts w:ascii="Arial" w:hAnsi="Arial" w:cs="Arial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8D8D8" w:themeFill="background1" w:themeFillShade="D9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 Način plaćanja</w:t>
      </w:r>
    </w:p>
    <w:p>
      <w:pPr>
        <w:spacing w:after="0" w:line="240" w:lineRule="auto"/>
        <w:rPr>
          <w:rFonts w:ascii="Arial" w:hAnsi="Arial" w:cs="Arial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Virmanski u roku od 60 (šestdeset) dana od dana uredno izvršene isporuke i dostavljene fakture.</w:t>
      </w:r>
    </w:p>
    <w:p>
      <w:pPr>
        <w:spacing w:after="0" w:line="240" w:lineRule="auto"/>
        <w:rPr>
          <w:rFonts w:ascii="Arial" w:hAnsi="Arial" w:cs="Arial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8D8D8" w:themeFill="background1" w:themeFillShade="D9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 Rok isporuke robe, izvođenja radova, odnosno pružanja usluge:</w:t>
      </w:r>
    </w:p>
    <w:p>
      <w:pPr>
        <w:spacing w:after="0" w:line="240" w:lineRule="auto"/>
        <w:jc w:val="both"/>
        <w:rPr>
          <w:rFonts w:ascii="Arial" w:hAnsi="Arial" w:cs="Arial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Rok izvršenja ugovora je sukcesivna isporuka prema potrebama naručioca za period od 12 mjeseci od dana zaključivanja ugovora, odnosno do komletne isporuke količina ili realizacije ukupnog ugovorenog iznosa.</w:t>
      </w:r>
    </w:p>
    <w:p>
      <w:pPr>
        <w:spacing w:after="0" w:line="240" w:lineRule="auto"/>
        <w:jc w:val="both"/>
        <w:rPr>
          <w:rFonts w:ascii="Arial" w:hAnsi="Arial" w:cs="Arial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8D8D8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 Kriterijum za vrednovanje ponude:</w:t>
      </w:r>
    </w:p>
    <w:p>
      <w:pPr>
        <w:spacing w:after="0" w:line="240" w:lineRule="auto"/>
        <w:jc w:val="both"/>
        <w:rPr>
          <w:rFonts w:ascii="Arial" w:hAnsi="Arial" w:cs="Arial"/>
        </w:rPr>
      </w:pPr>
    </w:p>
    <w:p>
      <w:pPr>
        <w:spacing w:after="0" w:line="240" w:lineRule="auto"/>
        <w:jc w:val="both"/>
        <w:rPr>
          <w:rFonts w:ascii="Arial" w:hAnsi="Arial" w:cs="Arial"/>
          <w:color w:val="000000"/>
          <w:bdr w:val="single" w:color="auto" w:sz="4" w:space="0"/>
        </w:rPr>
      </w:pPr>
      <w:r>
        <w:rPr>
          <w:rFonts w:ascii="Arial" w:hAnsi="Arial" w:cs="Arial"/>
          <w:color w:val="000000"/>
        </w:rPr>
        <w:sym w:font="Wingdings" w:char="F078"/>
      </w:r>
      <w:r>
        <w:rPr>
          <w:rFonts w:ascii="Arial" w:hAnsi="Arial" w:cs="Arial"/>
          <w:color w:val="000000"/>
        </w:rPr>
        <w:t xml:space="preserve"> najniža ponuđena cijena 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  broj bodova  </w:t>
      </w:r>
      <w:r>
        <w:rPr>
          <w:rFonts w:ascii="Arial" w:hAnsi="Arial" w:cs="Arial"/>
          <w:color w:val="000000"/>
          <w:bdr w:val="single" w:color="auto" w:sz="4" w:space="0"/>
        </w:rPr>
        <w:tab/>
      </w:r>
      <w:r>
        <w:rPr>
          <w:rFonts w:ascii="Arial" w:hAnsi="Arial" w:cs="Arial"/>
          <w:color w:val="000000"/>
          <w:bdr w:val="single" w:color="auto" w:sz="4" w:space="0"/>
        </w:rPr>
        <w:t xml:space="preserve">  100</w:t>
      </w:r>
      <w:r>
        <w:rPr>
          <w:rFonts w:ascii="Arial" w:hAnsi="Arial" w:cs="Arial"/>
          <w:color w:val="000000"/>
          <w:bdr w:val="single" w:color="auto" w:sz="4" w:space="0"/>
        </w:rPr>
        <w:tab/>
      </w:r>
    </w:p>
    <w:p>
      <w:pPr>
        <w:spacing w:after="0" w:line="240" w:lineRule="auto"/>
        <w:jc w:val="both"/>
        <w:rPr>
          <w:rFonts w:ascii="Arial" w:hAnsi="Arial" w:cs="Arial"/>
          <w:color w:val="000000"/>
          <w:bdr w:val="single" w:color="auto" w:sz="4" w:space="0"/>
        </w:rPr>
      </w:pPr>
    </w:p>
    <w:p>
      <w:pPr>
        <w:spacing w:after="0" w:line="240" w:lineRule="auto"/>
        <w:jc w:val="both"/>
        <w:rPr>
          <w:rFonts w:ascii="Arial" w:hAnsi="Arial" w:cs="Arial"/>
          <w:color w:val="000000"/>
          <w:bdr w:val="single" w:color="auto" w:sz="4" w:space="0"/>
        </w:rPr>
      </w:pPr>
      <w:r>
        <w:rPr>
          <w:rFonts w:ascii="Arial" w:hAnsi="Arial" w:cs="Arial"/>
          <w:color w:val="000000"/>
          <w:bdr w:val="single" w:color="auto" w:sz="4" w:space="0"/>
        </w:rPr>
        <w:t>Vrednovanje ponuda po kriterijumu najniža ponuđena cijena vršice  se  na sledeći način:</w:t>
      </w:r>
    </w:p>
    <w:p>
      <w:pPr>
        <w:spacing w:after="0" w:line="240" w:lineRule="auto"/>
        <w:jc w:val="both"/>
        <w:rPr>
          <w:rFonts w:ascii="Arial" w:hAnsi="Arial" w:cs="Arial"/>
          <w:color w:val="000000"/>
          <w:bdr w:val="single" w:color="auto" w:sz="4" w:space="0"/>
        </w:rPr>
      </w:pPr>
      <w:r>
        <w:rPr>
          <w:rFonts w:ascii="Arial" w:hAnsi="Arial" w:cs="Arial"/>
          <w:color w:val="000000"/>
          <w:bdr w:val="single" w:color="auto" w:sz="4" w:space="0"/>
        </w:rPr>
        <w:t>Ponudi koja ima  najnižu ponuđenu cijenu će se dodijeliti maksimalan broj bodova -100</w:t>
      </w:r>
    </w:p>
    <w:p>
      <w:pPr>
        <w:spacing w:after="0" w:line="240" w:lineRule="auto"/>
        <w:jc w:val="both"/>
        <w:rPr>
          <w:rFonts w:ascii="Arial" w:hAnsi="Arial" w:cs="Arial"/>
          <w:color w:val="000000"/>
          <w:bdr w:val="single" w:color="auto" w:sz="4" w:space="0"/>
        </w:rPr>
      </w:pPr>
      <w:r>
        <w:rPr>
          <w:rFonts w:ascii="Arial" w:hAnsi="Arial" w:cs="Arial"/>
          <w:color w:val="000000"/>
          <w:bdr w:val="single" w:color="auto" w:sz="4" w:space="0"/>
        </w:rPr>
        <w:t>Bodovi za ostale ponude se obračunavaju propocionalno:</w:t>
      </w:r>
    </w:p>
    <w:p>
      <w:pPr>
        <w:spacing w:after="0" w:line="240" w:lineRule="auto"/>
        <w:jc w:val="both"/>
        <w:rPr>
          <w:rFonts w:ascii="Arial" w:hAnsi="Arial" w:cs="Arial"/>
          <w:color w:val="000000"/>
          <w:bdr w:val="single" w:color="auto" w:sz="4" w:space="0"/>
        </w:rPr>
      </w:pPr>
      <w:r>
        <w:rPr>
          <w:rFonts w:ascii="Arial" w:hAnsi="Arial" w:cs="Arial"/>
          <w:color w:val="000000"/>
          <w:bdr w:val="single" w:color="auto" w:sz="4" w:space="0"/>
        </w:rPr>
        <w:t xml:space="preserve"> najniža ponuđena cijena/ponuđena cijena x 100</w:t>
      </w:r>
    </w:p>
    <w:p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</w:rPr>
      </w:pPr>
    </w:p>
    <w:p>
      <w:pPr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4"/>
        </w:pBdr>
        <w:shd w:val="clear" w:color="auto" w:fill="D8D8D8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IX Način i rok dostavljanja ponuda</w:t>
      </w:r>
    </w:p>
    <w:p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>
      <w:pPr>
        <w:spacing w:after="0" w:line="240" w:lineRule="auto"/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pl-PL"/>
        </w:rPr>
        <w:t>Ponude se mogu predati:</w:t>
      </w:r>
      <w:r>
        <w:rPr>
          <w:rFonts w:ascii="Arial" w:hAnsi="Arial" w:cs="Arial"/>
          <w:color w:val="000000"/>
          <w:vertAlign w:val="superscript"/>
          <w:lang w:val="pl-PL"/>
        </w:rPr>
        <w:footnoteReference w:id="1"/>
      </w:r>
    </w:p>
    <w:p>
      <w:pPr>
        <w:spacing w:after="0" w:line="240" w:lineRule="auto"/>
        <w:jc w:val="both"/>
        <w:rPr>
          <w:rFonts w:ascii="Arial" w:hAnsi="Arial" w:cs="Arial"/>
          <w:color w:val="000000"/>
          <w:lang w:val="pl-PL"/>
        </w:rPr>
      </w:pPr>
    </w:p>
    <w:p>
      <w:pPr>
        <w:spacing w:after="0" w:line="240" w:lineRule="auto"/>
        <w:ind w:firstLine="360"/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</w:rPr>
        <w:sym w:font="Wingdings" w:char="F078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preko ESJN-a zaključno sa danom </w:t>
      </w:r>
      <w:r>
        <w:rPr>
          <w:rFonts w:hint="default" w:ascii="Arial" w:hAnsi="Arial" w:cs="Arial"/>
          <w:b/>
          <w:lang w:val="en-US"/>
        </w:rPr>
        <w:t>04</w:t>
      </w:r>
      <w:r>
        <w:rPr>
          <w:rFonts w:ascii="Arial" w:hAnsi="Arial" w:cs="Arial"/>
          <w:b/>
        </w:rPr>
        <w:t>.0</w:t>
      </w:r>
      <w:r>
        <w:rPr>
          <w:rFonts w:hint="default" w:ascii="Arial" w:hAnsi="Arial" w:cs="Arial"/>
          <w:b/>
          <w:lang w:val="en-US"/>
        </w:rPr>
        <w:t>8</w:t>
      </w:r>
      <w:r>
        <w:rPr>
          <w:rFonts w:ascii="Arial" w:hAnsi="Arial" w:cs="Arial"/>
          <w:b/>
        </w:rPr>
        <w:t>.202</w:t>
      </w:r>
      <w:r>
        <w:rPr>
          <w:rFonts w:hint="default" w:ascii="Arial" w:hAnsi="Arial" w:cs="Arial"/>
          <w:b/>
          <w:lang w:val="en-US"/>
        </w:rPr>
        <w:t>2</w:t>
      </w:r>
      <w:r>
        <w:rPr>
          <w:rFonts w:ascii="Arial" w:hAnsi="Arial" w:cs="Arial"/>
          <w:b/>
        </w:rPr>
        <w:t>. godine do 1</w:t>
      </w:r>
      <w:r>
        <w:rPr>
          <w:rFonts w:hint="default" w:ascii="Arial" w:hAnsi="Arial" w:cs="Arial"/>
          <w:b/>
          <w:lang w:val="en-US"/>
        </w:rPr>
        <w:t>3</w:t>
      </w:r>
      <w:r>
        <w:rPr>
          <w:rFonts w:ascii="Arial" w:hAnsi="Arial" w:cs="Arial"/>
          <w:b/>
        </w:rPr>
        <w:t>:00h</w:t>
      </w:r>
      <w:r>
        <w:rPr>
          <w:rFonts w:ascii="Arial" w:hAnsi="Arial" w:cs="Arial"/>
          <w:b/>
          <w:color w:val="000000"/>
          <w:lang w:val="pl-PL"/>
        </w:rPr>
        <w:t>.</w:t>
      </w:r>
    </w:p>
    <w:p>
      <w:pPr>
        <w:spacing w:after="0" w:line="240" w:lineRule="auto"/>
        <w:jc w:val="both"/>
        <w:rPr>
          <w:rFonts w:ascii="Arial" w:hAnsi="Arial" w:cs="Arial"/>
          <w:color w:val="000000"/>
          <w:lang w:val="pl-PL"/>
        </w:rPr>
      </w:pPr>
    </w:p>
    <w:p>
      <w:pPr>
        <w:spacing w:after="0" w:line="240" w:lineRule="auto"/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 xml:space="preserve">Ponude će se otvoriti dana  </w:t>
      </w:r>
      <w:r>
        <w:rPr>
          <w:rFonts w:hint="default" w:ascii="Arial" w:hAnsi="Arial" w:cs="Arial"/>
          <w:color w:val="000000"/>
          <w:lang w:val="en-US"/>
        </w:rPr>
        <w:t>04</w:t>
      </w:r>
      <w:r>
        <w:rPr>
          <w:rFonts w:ascii="Arial" w:hAnsi="Arial" w:cs="Arial"/>
          <w:color w:val="000000"/>
          <w:lang w:val="pl-PL"/>
        </w:rPr>
        <w:t>.0</w:t>
      </w:r>
      <w:r>
        <w:rPr>
          <w:rFonts w:hint="default" w:ascii="Arial" w:hAnsi="Arial" w:cs="Arial"/>
          <w:color w:val="000000"/>
          <w:lang w:val="en-US"/>
        </w:rPr>
        <w:t>8</w:t>
      </w:r>
      <w:r>
        <w:rPr>
          <w:rFonts w:ascii="Arial" w:hAnsi="Arial" w:cs="Arial"/>
          <w:color w:val="000000"/>
          <w:lang w:val="pl-PL"/>
        </w:rPr>
        <w:t>.202</w:t>
      </w:r>
      <w:r>
        <w:rPr>
          <w:rFonts w:hint="default" w:ascii="Arial" w:hAnsi="Arial" w:cs="Arial"/>
          <w:color w:val="000000"/>
          <w:lang w:val="en-US"/>
        </w:rPr>
        <w:t>2</w:t>
      </w:r>
      <w:r>
        <w:rPr>
          <w:rFonts w:ascii="Arial" w:hAnsi="Arial" w:cs="Arial"/>
          <w:color w:val="000000"/>
          <w:lang w:val="pl-PL"/>
        </w:rPr>
        <w:t>. godine u 1</w:t>
      </w:r>
      <w:r>
        <w:rPr>
          <w:rFonts w:hint="default" w:ascii="Arial" w:hAnsi="Arial" w:cs="Arial"/>
          <w:color w:val="000000"/>
          <w:lang w:val="en-US"/>
        </w:rPr>
        <w:t>3</w:t>
      </w:r>
      <w:r>
        <w:rPr>
          <w:rFonts w:ascii="Arial" w:hAnsi="Arial" w:cs="Arial"/>
          <w:color w:val="000000"/>
          <w:lang w:val="pl-PL"/>
        </w:rPr>
        <w:t>:00 sati.</w:t>
      </w:r>
    </w:p>
    <w:p>
      <w:pPr>
        <w:spacing w:after="0" w:line="240" w:lineRule="auto"/>
        <w:jc w:val="both"/>
        <w:rPr>
          <w:rFonts w:ascii="Arial" w:hAnsi="Arial" w:cs="Arial"/>
          <w:color w:val="000000"/>
          <w:lang w:val="pl-PL"/>
        </w:rPr>
      </w:pPr>
    </w:p>
    <w:p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8D8D8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 Rok za donošenje obavještenja o ishodu postupka</w:t>
      </w:r>
    </w:p>
    <w:p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10 dana od dana otvaranja ponuda.</w:t>
      </w:r>
    </w:p>
    <w:p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8D8D8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XI Druge informacije</w:t>
      </w:r>
    </w:p>
    <w:p>
      <w:pPr>
        <w:spacing w:after="0" w:line="240" w:lineRule="auto"/>
        <w:rPr>
          <w:rFonts w:ascii="Arial" w:hAnsi="Arial" w:cs="Arial"/>
          <w:b/>
        </w:rPr>
      </w:pPr>
    </w:p>
    <w:tbl>
      <w:tblPr>
        <w:tblStyle w:val="4"/>
        <w:tblW w:w="935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9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Ponuđači su dužni dostaviti:</w:t>
            </w:r>
          </w:p>
          <w:p>
            <w:pPr>
              <w:spacing w:after="0" w:line="240" w:lineRule="auto"/>
              <w:rPr>
                <w:rFonts w:ascii="Arial" w:hAnsi="Arial" w:cs="Arial"/>
              </w:rPr>
            </w:pPr>
          </w:p>
          <w:p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Finansijski dio ponude u skladu sa Tehničkom specifikacijom i navedenim uslovima ponude.</w:t>
            </w:r>
          </w:p>
          <w:p>
            <w:pPr>
              <w:spacing w:after="0" w:line="240" w:lineRule="auto"/>
              <w:rPr>
                <w:rFonts w:ascii="Arial" w:hAnsi="Arial" w:cs="Arial"/>
              </w:rPr>
            </w:pPr>
          </w:p>
          <w:p>
            <w:pPr>
              <w:pStyle w:val="12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U postupku jednostavne javne nabavke može da učestvuje samo privredni subjekat koji ispunjava OBAVEZNE USLOVE:</w:t>
            </w:r>
          </w:p>
          <w:p>
            <w:pPr>
              <w:spacing w:after="0" w:line="240" w:lineRule="auto"/>
              <w:rPr>
                <w:rFonts w:ascii="Arial" w:hAnsi="Arial" w:cs="Arial"/>
              </w:rPr>
            </w:pPr>
          </w:p>
          <w:p>
            <w:pPr>
              <w:pStyle w:val="12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Nije pravosnažno osuđivan I ćiji izvršni director nije pravosnažno osuđivan za neko od krivičnih djela sa obilježjima: a) kriminalnog udruživanja; b)stvaranja kriminalne organizacije; c) davanja mita; č) primanja mita; ć) davanja mita u privrednom poslovanju; d) primanja mita u privrednom poslovanju; dž) utaja poreza i doprinosa; đ) prevare; e) terorizam; f) finansiranje terorizma; g) terorističko udruživanje;  h) učestvocanje u stranim oružanim formacijama; i) pranje novca; j) trgovina ljudima; k) trgovimna malolljetnim licima radi usvojenja; l) zasnivanje ropskog odnosa I prevoza lica u ropskom odnosu.</w:t>
            </w:r>
          </w:p>
          <w:p>
            <w:pPr>
              <w:spacing w:after="0" w:line="240" w:lineRule="auto"/>
              <w:rPr>
                <w:rFonts w:ascii="Arial" w:hAnsi="Arial" w:cs="Arial"/>
              </w:rPr>
            </w:pPr>
          </w:p>
          <w:p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2)  je izmirio sve dospjele obaveze po osnovu poreza i doprinosa za penzijsko I zdravstveno osiguranje.</w:t>
            </w:r>
          </w:p>
          <w:p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 xml:space="preserve">Ispunjenost obaveznih uslova 1 i 2 dokazuje se dostavljanjem </w:t>
            </w:r>
          </w:p>
          <w:p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</w:rPr>
            </w:pPr>
          </w:p>
          <w:p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Izjave ponuđača o ispunjenosti uslova koja se sačinjava na obrascu 2 propisanim Pravilnikom o sprovođenju jednostavnih nabavki (“Sl.list CG” br. 61/20  i 65/20). Izjava mora biti potpisana od strane ovlašćenog lica ponuđača.</w:t>
            </w:r>
          </w:p>
          <w:p>
            <w:pPr>
              <w:spacing w:after="0" w:line="240" w:lineRule="auto"/>
              <w:rPr>
                <w:rFonts w:ascii="Arial" w:hAnsi="Arial" w:cs="Arial"/>
              </w:rPr>
            </w:pPr>
          </w:p>
          <w:p>
            <w:pPr>
              <w:pStyle w:val="12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</w:rPr>
              <w:t>Ponuđač treba da ispunjava USLOVE ZA OBAVLJANJE DJELATNOSTI</w:t>
            </w:r>
            <w:r>
              <w:rPr>
                <w:rFonts w:ascii="Arial" w:hAnsi="Arial" w:cs="Arial"/>
                <w:b/>
              </w:rPr>
              <w:t>:</w:t>
            </w:r>
          </w:p>
          <w:p>
            <w:pPr>
              <w:spacing w:after="0" w:line="240" w:lineRule="auto"/>
              <w:rPr>
                <w:rFonts w:ascii="Arial" w:hAnsi="Arial" w:cs="Arial"/>
              </w:rPr>
            </w:pPr>
          </w:p>
          <w:p>
            <w:pPr>
              <w:pStyle w:val="12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 je upisan u Centralni registar privrednih subjekata ili drugi odgovarajući registar u državi u kojoj privredni subjekat ima sjedište.</w:t>
            </w:r>
          </w:p>
          <w:p>
            <w:pPr>
              <w:pStyle w:val="12"/>
              <w:spacing w:after="0" w:line="240" w:lineRule="auto"/>
              <w:rPr>
                <w:rFonts w:ascii="Arial" w:hAnsi="Arial" w:cs="Arial"/>
              </w:rPr>
            </w:pPr>
          </w:p>
          <w:p>
            <w:pPr>
              <w:pStyle w:val="12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Da ima dozvolu , licencu, odobrenje ili drugi akt za obavljanje djelatnosti koja je predmet nabavke.</w:t>
            </w:r>
          </w:p>
          <w:p>
            <w:pPr>
              <w:spacing w:after="0" w:line="240" w:lineRule="auto"/>
              <w:ind w:left="360"/>
              <w:rPr>
                <w:rFonts w:ascii="Arial" w:hAnsi="Arial" w:cs="Arial"/>
                <w:b/>
              </w:rPr>
            </w:pPr>
          </w:p>
          <w:p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Ispunjenost uslova za obavljanje  djelatnosti dokazuje se dostavljanjem:</w:t>
            </w:r>
          </w:p>
          <w:p>
            <w:pPr>
              <w:spacing w:after="0" w:line="240" w:lineRule="auto"/>
              <w:rPr>
                <w:rFonts w:ascii="Arial" w:hAnsi="Arial" w:cs="Arial"/>
              </w:rPr>
            </w:pPr>
          </w:p>
          <w:p>
            <w:pPr>
              <w:pStyle w:val="12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Dokaza o registraciji u Centralnom  registru  privrednih subjekata ili drugom odgovarajućem registru, sa podacima o ovlašćenom licu privrednog subjekta;</w:t>
            </w:r>
          </w:p>
          <w:p>
            <w:pPr>
              <w:spacing w:after="0" w:line="240" w:lineRule="auto"/>
              <w:rPr>
                <w:rFonts w:ascii="Arial" w:hAnsi="Arial" w:cs="Arial"/>
              </w:rPr>
            </w:pPr>
          </w:p>
          <w:p>
            <w:pPr>
              <w:pStyle w:val="12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Dokaza o posjedovanju važeće dozvole ,licence, odobrenja, odnosno drugog akta izdatog od nadležnog organa i to:</w:t>
            </w:r>
          </w:p>
          <w:p>
            <w:pPr>
              <w:spacing w:after="0" w:line="240" w:lineRule="auto"/>
              <w:rPr>
                <w:rFonts w:ascii="Arial" w:hAnsi="Arial" w:cs="Arial"/>
              </w:rPr>
            </w:pPr>
          </w:p>
          <w:p>
            <w:pPr>
              <w:spacing w:after="0" w:line="240" w:lineRule="auto"/>
              <w:jc w:val="both"/>
              <w:rPr>
                <w:rFonts w:hint="default" w:ascii="Arial" w:hAnsi="Arial" w:cs="Arial"/>
                <w:lang w:val="en-US"/>
              </w:rPr>
            </w:pPr>
            <w:r>
              <w:rPr>
                <w:rFonts w:hint="default" w:ascii="Arial" w:hAnsi="Arial" w:cs="Arial"/>
                <w:lang w:val="en-US"/>
              </w:rPr>
              <w:t>-       Rješenje o upisu ponuđača u registar za promet na veliko medicinskim sredstvima izdato od strane Instituta/agencije za ljekove I medicinska sredstva Crne Gore</w:t>
            </w:r>
          </w:p>
          <w:p>
            <w:pPr>
              <w:spacing w:after="0" w:line="240" w:lineRule="auto"/>
              <w:jc w:val="both"/>
              <w:rPr>
                <w:rFonts w:hint="default" w:ascii="Arial" w:hAnsi="Arial" w:cs="Arial"/>
                <w:lang w:val="en-US"/>
              </w:rPr>
            </w:pPr>
          </w:p>
          <w:p>
            <w:pPr>
              <w:pStyle w:val="12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Ponuđač je potrebno da u svojoj ponudi dostavi SLJEDEĆU DOKUMENTACIJU:</w:t>
            </w:r>
          </w:p>
          <w:p>
            <w:pPr>
              <w:pStyle w:val="12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Arial" w:hAnsi="Arial" w:cs="Arial"/>
                <w:b/>
                <w:i/>
              </w:rPr>
            </w:pPr>
          </w:p>
          <w:p>
            <w:pPr>
              <w:spacing w:after="0" w:line="240" w:lineRule="auto"/>
              <w:jc w:val="both"/>
              <w:rPr>
                <w:rFonts w:hint="default" w:ascii="Arial" w:hAnsi="Arial" w:cs="Arial"/>
                <w:b/>
                <w:i/>
                <w:lang w:val="en-US"/>
              </w:rPr>
            </w:pPr>
            <w:r>
              <w:rPr>
                <w:rFonts w:hint="default" w:ascii="Arial" w:hAnsi="Arial" w:cs="Arial"/>
                <w:b/>
                <w:i/>
                <w:lang w:val="en-US"/>
              </w:rPr>
              <w:t xml:space="preserve">   - izjavu kojom potvrđuje da u potpunosti ispunjava sve uslove utvrđene zahtjevom za dostavljanje ponuda I nepostojanju sukoba interesa (obrazac 2)</w:t>
            </w:r>
          </w:p>
          <w:p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Cijena obuhvata sve troškove koje se odnose na predmet nabavke I koji su utvrđeni pozivom  bez iznosa PDV-a. Ponuđena cijena se iskazuje brojčano u eurima.</w:t>
            </w:r>
          </w:p>
          <w:p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Mjesto izvršenja ugovora je: </w:t>
            </w:r>
            <w:r>
              <w:rPr>
                <w:rFonts w:hint="default" w:ascii="Arial" w:hAnsi="Arial" w:cs="Arial"/>
                <w:lang w:val="en-US"/>
              </w:rPr>
              <w:t>ZU Dom zdravlja Kolašin.</w:t>
            </w:r>
          </w:p>
          <w:p>
            <w:pPr>
              <w:spacing w:after="0" w:line="240" w:lineRule="auto"/>
              <w:rPr>
                <w:rFonts w:ascii="Arial" w:hAnsi="Arial" w:cs="Arial"/>
              </w:rPr>
            </w:pPr>
          </w:p>
          <w:p>
            <w:pPr>
              <w:spacing w:after="0" w:line="24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Ponude primljene nakon roka za dostavljanje ponuda neće biti razmatrane.</w:t>
            </w:r>
          </w:p>
          <w:p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>
            <w:pPr>
              <w:spacing w:after="0" w:line="24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Naručilac će svakom ponuđaču dostaviti primjerak obavještenja o ishodu postupka jednostavne nabavke na dokaziv način ( faksom, elektronskom poštom  sl).</w:t>
            </w:r>
          </w:p>
          <w:p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>
            <w:pPr>
              <w:spacing w:after="0" w:line="24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Na obavještenje o ishodu postupka jednostavne nabavke nije dopuštena žalba.</w:t>
            </w:r>
          </w:p>
          <w:p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Prvorangirani ponuđač ja dužan prilikom zaključenja Ugovora da tražene dokaze dostavi u original ili ovjerenoj kopiji.</w:t>
            </w:r>
          </w:p>
          <w:p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 najpovoljnijim ponuđačem će se sklopiti ugovor.</w:t>
            </w:r>
          </w:p>
          <w:p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9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Komisija za sprovođenje postupka jednostavne nabavke  :                   Ovlašćeno lice </w:t>
      </w: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Direktor</w:t>
      </w: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hint="default" w:ascii="Arial" w:hAnsi="Arial" w:cs="Arial"/>
          <w:lang w:val="en-US"/>
        </w:rPr>
      </w:pPr>
      <w:r>
        <w:rPr>
          <w:rFonts w:ascii="Arial" w:hAnsi="Arial" w:cs="Arial"/>
        </w:rPr>
        <w:t xml:space="preserve">Predsjednica komisije: Nataša Pejović, službenik za javne nabavke s.r   </w:t>
      </w:r>
      <w:r>
        <w:rPr>
          <w:rFonts w:hint="default" w:ascii="Arial" w:hAnsi="Arial" w:cs="Arial"/>
          <w:lang w:val="en-US"/>
        </w:rPr>
        <w:t>Marković Milan, dipl.ecc</w:t>
      </w: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Član: Bakić Dragana, dipl.pravnik s.r.</w:t>
      </w: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Član: Perović Marina, spec.strukovni ecc s.r. </w:t>
      </w:r>
    </w:p>
    <w:p/>
    <w:p/>
    <w:p/>
    <w:p/>
    <w:p/>
    <w:p/>
    <w:p/>
    <w:p/>
    <w:p/>
    <w:p/>
    <w:p/>
    <w:p/>
    <w:p/>
    <w:p>
      <w:pPr>
        <w:jc w:val="righ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Obrazac 2</w:t>
      </w:r>
    </w:p>
    <w:p>
      <w:pPr>
        <w:tabs>
          <w:tab w:val="center" w:leader="underscore" w:pos="5387"/>
          <w:tab w:val="left" w:pos="5954"/>
          <w:tab w:val="right" w:pos="9639"/>
        </w:tabs>
        <w:rPr>
          <w:rFonts w:ascii="Times New Roman" w:hAnsi="Times New Roman"/>
          <w:szCs w:val="24"/>
        </w:rPr>
      </w:pPr>
    </w:p>
    <w:p>
      <w:pPr>
        <w:jc w:val="both"/>
        <w:rPr>
          <w:rFonts w:ascii="Times New Roman" w:hAnsi="Times New Roman"/>
          <w:szCs w:val="24"/>
        </w:rPr>
      </w:pPr>
    </w:p>
    <w:p>
      <w:pPr>
        <w:jc w:val="center"/>
        <w:rPr>
          <w:rFonts w:ascii="Times New Roman" w:hAnsi="Times New Roman"/>
          <w:szCs w:val="24"/>
        </w:rPr>
      </w:pPr>
    </w:p>
    <w:p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Na osnovu </w:t>
      </w:r>
      <w:r>
        <w:rPr>
          <w:rFonts w:ascii="Cambria Math" w:hAnsi="Cambria Math" w:eastAsia="Calibri" w:cs="Cambria Math"/>
          <w:szCs w:val="24"/>
        </w:rPr>
        <w:t>č</w:t>
      </w:r>
      <w:r>
        <w:rPr>
          <w:rFonts w:ascii="Times New Roman" w:hAnsi="Times New Roman" w:eastAsia="Calibri"/>
          <w:szCs w:val="24"/>
        </w:rPr>
        <w:t>lana 5 stav 4</w:t>
      </w:r>
      <w:r>
        <w:rPr>
          <w:rFonts w:ascii="Times New Roman" w:hAnsi="Times New Roman"/>
          <w:szCs w:val="24"/>
        </w:rPr>
        <w:t xml:space="preserve"> Pravilnika za sprovo</w:t>
      </w:r>
      <w:r>
        <w:rPr>
          <w:rFonts w:ascii="Cambria Math" w:hAnsi="Cambria Math" w:cs="Cambria Math"/>
          <w:szCs w:val="24"/>
        </w:rPr>
        <w:t>đ</w:t>
      </w:r>
      <w:r>
        <w:rPr>
          <w:rFonts w:ascii="Times New Roman" w:hAnsi="Times New Roman"/>
          <w:szCs w:val="24"/>
        </w:rPr>
        <w:t xml:space="preserve">enje </w:t>
      </w:r>
      <w:r>
        <w:rPr>
          <w:rFonts w:ascii="Times New Roman" w:hAnsi="Times New Roman"/>
          <w:szCs w:val="24"/>
          <w:lang w:val="pl-PL"/>
        </w:rPr>
        <w:t xml:space="preserve">jednostavnih nabavki </w:t>
      </w:r>
      <w:r>
        <w:rPr>
          <w:rFonts w:ascii="Times New Roman" w:hAnsi="Times New Roman"/>
          <w:szCs w:val="24"/>
        </w:rPr>
        <w:t xml:space="preserve">(„Službeni list CG“, br. 61/20, 065/20, 071/20, 074/20, 102/20),) </w:t>
      </w:r>
      <w:r>
        <w:rPr>
          <w:rFonts w:ascii="Times New Roman" w:hAnsi="Times New Roman"/>
          <w:szCs w:val="24"/>
          <w:u w:val="single"/>
        </w:rPr>
        <w:t>______(ponu</w:t>
      </w:r>
      <w:r>
        <w:rPr>
          <w:rFonts w:ascii="Cambria Math" w:hAnsi="Cambria Math" w:cs="Cambria Math"/>
          <w:szCs w:val="24"/>
          <w:u w:val="single"/>
        </w:rPr>
        <w:t>đ</w:t>
      </w:r>
      <w:r>
        <w:rPr>
          <w:rFonts w:ascii="Times New Roman" w:hAnsi="Times New Roman"/>
          <w:szCs w:val="24"/>
          <w:u w:val="single"/>
        </w:rPr>
        <w:t>a</w:t>
      </w:r>
      <w:r>
        <w:rPr>
          <w:rFonts w:ascii="Cambria Math" w:hAnsi="Cambria Math" w:cs="Cambria Math"/>
          <w:szCs w:val="24"/>
          <w:u w:val="single"/>
        </w:rPr>
        <w:t>č</w:t>
      </w:r>
      <w:r>
        <w:rPr>
          <w:rFonts w:ascii="Times New Roman" w:hAnsi="Times New Roman"/>
          <w:szCs w:val="24"/>
          <w:u w:val="single"/>
        </w:rPr>
        <w:t>)_____</w:t>
      </w:r>
      <w:r>
        <w:rPr>
          <w:rFonts w:ascii="Times New Roman" w:hAnsi="Times New Roman"/>
          <w:szCs w:val="24"/>
        </w:rPr>
        <w:t xml:space="preserve"> dostavlja</w:t>
      </w:r>
    </w:p>
    <w:p>
      <w:pPr>
        <w:jc w:val="both"/>
        <w:rPr>
          <w:rFonts w:ascii="Times New Roman" w:hAnsi="Times New Roman"/>
          <w:b/>
          <w:szCs w:val="24"/>
        </w:rPr>
      </w:pPr>
    </w:p>
    <w:p>
      <w:pPr>
        <w:jc w:val="both"/>
        <w:rPr>
          <w:rFonts w:ascii="Times New Roman" w:hAnsi="Times New Roman"/>
          <w:szCs w:val="24"/>
        </w:rPr>
      </w:pPr>
    </w:p>
    <w:p>
      <w:pPr>
        <w:jc w:val="both"/>
        <w:rPr>
          <w:rFonts w:ascii="Times New Roman" w:hAnsi="Times New Roman"/>
          <w:szCs w:val="24"/>
        </w:rPr>
      </w:pPr>
    </w:p>
    <w:p>
      <w:pPr>
        <w:jc w:val="both"/>
        <w:rPr>
          <w:rFonts w:ascii="Times New Roman" w:hAnsi="Times New Roman"/>
          <w:szCs w:val="24"/>
        </w:rPr>
      </w:pPr>
    </w:p>
    <w:p>
      <w:pPr>
        <w:jc w:val="center"/>
        <w:rPr>
          <w:rFonts w:ascii="Times New Roman" w:hAnsi="Times New Roman"/>
          <w:szCs w:val="24"/>
        </w:rPr>
      </w:pPr>
    </w:p>
    <w:p>
      <w:pPr>
        <w:jc w:val="center"/>
        <w:rPr>
          <w:rFonts w:ascii="Times New Roman" w:hAnsi="Times New Roman"/>
          <w:szCs w:val="24"/>
        </w:rPr>
      </w:pPr>
    </w:p>
    <w:p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I Z J A V U</w:t>
      </w:r>
    </w:p>
    <w:p>
      <w:pPr>
        <w:jc w:val="center"/>
        <w:rPr>
          <w:rFonts w:ascii="Times New Roman" w:hAnsi="Times New Roman"/>
          <w:szCs w:val="24"/>
        </w:rPr>
      </w:pPr>
    </w:p>
    <w:p>
      <w:pPr>
        <w:jc w:val="center"/>
        <w:rPr>
          <w:rFonts w:ascii="Times New Roman" w:hAnsi="Times New Roman"/>
          <w:szCs w:val="24"/>
        </w:rPr>
      </w:pPr>
    </w:p>
    <w:p>
      <w:pPr>
        <w:jc w:val="center"/>
        <w:rPr>
          <w:rFonts w:ascii="Times New Roman" w:hAnsi="Times New Roman"/>
          <w:b/>
          <w:szCs w:val="24"/>
        </w:rPr>
      </w:pPr>
    </w:p>
    <w:p>
      <w:pPr>
        <w:tabs>
          <w:tab w:val="center" w:leader="underscore" w:pos="5387"/>
          <w:tab w:val="left" w:pos="5954"/>
          <w:tab w:val="right" w:pos="9639"/>
        </w:tabs>
        <w:rPr>
          <w:rFonts w:ascii="Times New Roman" w:hAnsi="Times New Roman" w:eastAsia="PMingLiU"/>
          <w:color w:val="000000"/>
          <w:szCs w:val="24"/>
          <w:lang w:eastAsia="zh-TW"/>
        </w:rPr>
      </w:pPr>
    </w:p>
    <w:p>
      <w:pPr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Kojom potvr</w:t>
      </w:r>
      <w:r>
        <w:rPr>
          <w:rFonts w:ascii="Cambria Math" w:hAnsi="Cambria Math" w:cs="Cambria Math"/>
          <w:color w:val="000000"/>
          <w:szCs w:val="24"/>
        </w:rPr>
        <w:t>đ</w:t>
      </w:r>
      <w:r>
        <w:rPr>
          <w:rFonts w:ascii="Times New Roman" w:hAnsi="Times New Roman"/>
          <w:color w:val="000000"/>
          <w:szCs w:val="24"/>
        </w:rPr>
        <w:t>uje da u potpunosti ispunjava sve uslove utvr</w:t>
      </w:r>
      <w:r>
        <w:rPr>
          <w:rFonts w:ascii="Cambria Math" w:hAnsi="Cambria Math" w:cs="Cambria Math"/>
          <w:color w:val="000000"/>
          <w:szCs w:val="24"/>
        </w:rPr>
        <w:t>đ</w:t>
      </w:r>
      <w:r>
        <w:rPr>
          <w:rFonts w:ascii="Times New Roman" w:hAnsi="Times New Roman"/>
          <w:color w:val="000000"/>
          <w:szCs w:val="24"/>
        </w:rPr>
        <w:t xml:space="preserve">ene zahtjevom za dostavljanje ponuda za jednostavne nabavke broj: </w:t>
      </w:r>
      <w:r>
        <w:rPr>
          <w:rFonts w:hint="default" w:ascii="Times New Roman" w:hAnsi="Times New Roman"/>
          <w:color w:val="000000"/>
          <w:szCs w:val="24"/>
          <w:lang w:val="en-US"/>
        </w:rPr>
        <w:t>22743 od 28.07.2022.godine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za nabavku </w:t>
      </w:r>
      <w:r>
        <w:rPr>
          <w:rFonts w:ascii="Times New Roman" w:hAnsi="Times New Roman" w:eastAsia="Calibri" w:cs="Arial"/>
          <w:szCs w:val="24"/>
        </w:rPr>
        <w:t xml:space="preserve">reagenasa </w:t>
      </w:r>
      <w:r>
        <w:rPr>
          <w:rFonts w:hint="default" w:ascii="Times New Roman" w:hAnsi="Times New Roman" w:eastAsia="Calibri" w:cs="Arial"/>
          <w:szCs w:val="24"/>
          <w:lang w:val="en-US"/>
        </w:rPr>
        <w:t>za rad na biohemijskom analizatoru NeoChem 20 proizvođača NeoMedica</w:t>
      </w:r>
      <w:r>
        <w:rPr>
          <w:rFonts w:ascii="Times New Roman" w:hAnsi="Times New Roman"/>
          <w:szCs w:val="24"/>
        </w:rPr>
        <w:t xml:space="preserve"> procijenjene vrijednosti </w:t>
      </w:r>
      <w:r>
        <w:rPr>
          <w:rFonts w:hint="default" w:ascii="Times New Roman" w:hAnsi="Times New Roman"/>
          <w:szCs w:val="24"/>
          <w:lang w:val="en-US"/>
        </w:rPr>
        <w:t>12</w:t>
      </w:r>
      <w:r>
        <w:rPr>
          <w:rFonts w:ascii="Times New Roman" w:hAnsi="Times New Roman"/>
          <w:szCs w:val="24"/>
        </w:rPr>
        <w:t>.000,00 EUR-a.</w:t>
      </w:r>
    </w:p>
    <w:p>
      <w:pPr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  <w:lang w:val="en-GB" w:eastAsia="en-GB"/>
        </w:rPr>
        <w:t>U postupku jednostavne nabavke nijesam u sukobu interesa sa ličima navedenim u Zahtjevu.</w:t>
      </w:r>
    </w:p>
    <w:p>
      <w:pPr>
        <w:tabs>
          <w:tab w:val="center" w:leader="underscore" w:pos="5387"/>
          <w:tab w:val="left" w:pos="5954"/>
          <w:tab w:val="right" w:pos="9639"/>
        </w:tabs>
        <w:rPr>
          <w:rFonts w:ascii="Times New Roman" w:hAnsi="Times New Roman" w:eastAsia="PMingLiU"/>
          <w:color w:val="000000"/>
          <w:szCs w:val="24"/>
          <w:lang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rPr>
          <w:rFonts w:ascii="Times New Roman" w:hAnsi="Times New Roman" w:eastAsia="PMingLiU"/>
          <w:color w:val="000000"/>
          <w:szCs w:val="24"/>
          <w:lang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rPr>
          <w:rFonts w:ascii="Times New Roman" w:hAnsi="Times New Roman" w:eastAsia="PMingLiU"/>
          <w:color w:val="000000"/>
          <w:szCs w:val="24"/>
          <w:lang w:eastAsia="zh-TW"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Times New Roman" w:hAnsi="Times New Roman" w:eastAsia="PMingLiU"/>
          <w:i/>
          <w:iCs/>
          <w:color w:val="000000"/>
          <w:szCs w:val="24"/>
          <w:u w:val="single"/>
        </w:rPr>
      </w:pPr>
      <w:r>
        <w:rPr>
          <w:rFonts w:ascii="Times New Roman" w:hAnsi="Times New Roman"/>
          <w:szCs w:val="24"/>
        </w:rPr>
        <w:t>Ovlaš</w:t>
      </w:r>
      <w:r>
        <w:rPr>
          <w:rFonts w:ascii="Cambria Math" w:hAnsi="Cambria Math" w:cs="Cambria Math"/>
          <w:szCs w:val="24"/>
        </w:rPr>
        <w:t>ć</w:t>
      </w:r>
      <w:r>
        <w:rPr>
          <w:rFonts w:ascii="Times New Roman" w:hAnsi="Times New Roman"/>
          <w:szCs w:val="24"/>
        </w:rPr>
        <w:t xml:space="preserve">eno lice </w:t>
      </w:r>
      <w:r>
        <w:rPr>
          <w:rFonts w:ascii="Times New Roman" w:hAnsi="Times New Roman" w:eastAsia="PMingLiU"/>
          <w:color w:val="000000"/>
          <w:szCs w:val="24"/>
          <w:u w:val="single"/>
        </w:rPr>
        <w:t xml:space="preserve">   (</w:t>
      </w:r>
      <w:r>
        <w:rPr>
          <w:rFonts w:ascii="Times New Roman" w:hAnsi="Times New Roman" w:eastAsia="PMingLiU"/>
          <w:i/>
          <w:iCs/>
          <w:color w:val="000000"/>
          <w:szCs w:val="24"/>
          <w:u w:val="single"/>
        </w:rPr>
        <w:t>ime i prezime</w:t>
      </w:r>
      <w:r>
        <w:rPr>
          <w:rFonts w:ascii="Times New Roman" w:hAnsi="Times New Roman" w:eastAsia="PMingLiU"/>
          <w:color w:val="000000"/>
          <w:szCs w:val="24"/>
          <w:u w:val="single"/>
        </w:rPr>
        <w:t>), (</w:t>
      </w:r>
      <w:r>
        <w:rPr>
          <w:rFonts w:ascii="Times New Roman" w:hAnsi="Times New Roman" w:eastAsia="PMingLiU"/>
          <w:i/>
          <w:iCs/>
          <w:color w:val="000000"/>
          <w:szCs w:val="24"/>
          <w:u w:val="single"/>
        </w:rPr>
        <w:t>svojeru</w:t>
      </w:r>
      <w:r>
        <w:rPr>
          <w:rFonts w:ascii="Cambria Math" w:hAnsi="Cambria Math" w:eastAsia="PMingLiU" w:cs="Cambria Math"/>
          <w:i/>
          <w:iCs/>
          <w:color w:val="000000"/>
          <w:szCs w:val="24"/>
          <w:u w:val="single"/>
        </w:rPr>
        <w:t>č</w:t>
      </w:r>
      <w:r>
        <w:rPr>
          <w:rFonts w:ascii="Times New Roman" w:hAnsi="Times New Roman" w:eastAsia="PMingLiU"/>
          <w:i/>
          <w:iCs/>
          <w:color w:val="000000"/>
          <w:szCs w:val="24"/>
          <w:u w:val="single"/>
        </w:rPr>
        <w:t xml:space="preserve">ni potpis) </w:t>
      </w:r>
      <w:r>
        <w:rPr>
          <w:rStyle w:val="7"/>
          <w:rFonts w:ascii="Times New Roman" w:hAnsi="Times New Roman" w:eastAsia="PMingLiU"/>
          <w:i/>
          <w:iCs/>
          <w:color w:val="000000"/>
          <w:szCs w:val="24"/>
          <w:u w:val="single"/>
        </w:rPr>
        <w:footnoteReference w:id="2"/>
      </w: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Times New Roman" w:hAnsi="Times New Roman" w:eastAsia="PMingLiU"/>
          <w:i/>
          <w:iCs/>
          <w:color w:val="000000"/>
          <w:szCs w:val="24"/>
          <w:u w:val="single"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Times New Roman" w:hAnsi="Times New Roman" w:eastAsia="PMingLiU"/>
          <w:i/>
          <w:iCs/>
          <w:color w:val="000000"/>
          <w:szCs w:val="24"/>
          <w:u w:val="single"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Times New Roman" w:hAnsi="Times New Roman" w:eastAsia="PMingLiU"/>
          <w:i/>
          <w:iCs/>
          <w:color w:val="000000"/>
          <w:szCs w:val="24"/>
          <w:u w:val="single"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M.P.</w:t>
      </w:r>
    </w:p>
    <w:p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Times New Roman" w:hAnsi="Times New Roman" w:eastAsia="PMingLiU"/>
          <w:color w:val="000000"/>
          <w:szCs w:val="24"/>
          <w:lang w:eastAsia="zh-TW"/>
        </w:rPr>
      </w:pPr>
    </w:p>
    <w:p/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Cambria Math">
    <w:panose1 w:val="02040503050406030204"/>
    <w:charset w:val="EE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6">
    <w:p>
      <w:pPr>
        <w:spacing w:before="0" w:after="0" w:line="276" w:lineRule="auto"/>
      </w:pPr>
      <w:r>
        <w:separator/>
      </w:r>
    </w:p>
  </w:footnote>
  <w:footnote w:type="continuationSeparator" w:id="7">
    <w:p>
      <w:pPr>
        <w:spacing w:before="0" w:after="0" w:line="276" w:lineRule="auto"/>
      </w:pPr>
      <w:r>
        <w:continuationSeparator/>
      </w:r>
    </w:p>
  </w:footnote>
  <w:footnote w:id="0">
    <w:p>
      <w:pPr>
        <w:pStyle w:val="8"/>
        <w:rPr>
          <w:rFonts w:ascii="Arial" w:hAnsi="Arial" w:cs="Arial"/>
        </w:rPr>
      </w:pPr>
      <w:r>
        <w:rPr>
          <w:rStyle w:val="7"/>
          <w:rFonts w:ascii="Arial" w:hAnsi="Arial" w:cs="Arial"/>
        </w:rPr>
        <w:footnoteRef/>
      </w:r>
      <w:r>
        <w:rPr>
          <w:rFonts w:ascii="Arial" w:hAnsi="Arial" w:cs="Arial"/>
          <w:sz w:val="16"/>
          <w:szCs w:val="16"/>
        </w:rPr>
        <w:t>Kvalitet, dimenzija, oblik, bezbjednost, performansa, označavanje, rokupotrebe, jedinicamjere, količina i dr.</w:t>
      </w:r>
    </w:p>
  </w:footnote>
  <w:footnote w:id="1">
    <w:p>
      <w:pPr>
        <w:pStyle w:val="8"/>
        <w:rPr>
          <w:rFonts w:ascii="Times New Roman" w:hAnsi="Times New Roman"/>
          <w:sz w:val="16"/>
          <w:szCs w:val="16"/>
        </w:rPr>
      </w:pPr>
      <w:r>
        <w:rPr>
          <w:rStyle w:val="7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Do dana uspostavljanja ESJN</w:t>
      </w:r>
    </w:p>
  </w:footnote>
  <w:footnote w:id="2">
    <w:p>
      <w:pPr>
        <w:pStyle w:val="8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8655B3"/>
    <w:multiLevelType w:val="multilevel"/>
    <w:tmpl w:val="1D8655B3"/>
    <w:lvl w:ilvl="0" w:tentative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566E9"/>
    <w:multiLevelType w:val="multilevel"/>
    <w:tmpl w:val="2AD566E9"/>
    <w:lvl w:ilvl="0" w:tentative="0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14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8C23AA4"/>
    <w:multiLevelType w:val="multilevel"/>
    <w:tmpl w:val="38C23AA4"/>
    <w:lvl w:ilvl="0" w:tentative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592FDA"/>
    <w:multiLevelType w:val="multilevel"/>
    <w:tmpl w:val="4C592FDA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6"/>
    <w:footnote w:id="7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3E"/>
    <w:rsid w:val="00004E6B"/>
    <w:rsid w:val="00007750"/>
    <w:rsid w:val="00020FF4"/>
    <w:rsid w:val="0007255A"/>
    <w:rsid w:val="000905A0"/>
    <w:rsid w:val="00094F03"/>
    <w:rsid w:val="000B45A2"/>
    <w:rsid w:val="000E5ACD"/>
    <w:rsid w:val="000F4F3E"/>
    <w:rsid w:val="00103F07"/>
    <w:rsid w:val="0012572D"/>
    <w:rsid w:val="0013038F"/>
    <w:rsid w:val="00150D2C"/>
    <w:rsid w:val="001B33FA"/>
    <w:rsid w:val="001D383B"/>
    <w:rsid w:val="00272099"/>
    <w:rsid w:val="002C42C4"/>
    <w:rsid w:val="003841A1"/>
    <w:rsid w:val="00453BC6"/>
    <w:rsid w:val="00491D56"/>
    <w:rsid w:val="004C5533"/>
    <w:rsid w:val="005004FA"/>
    <w:rsid w:val="0053244A"/>
    <w:rsid w:val="00662908"/>
    <w:rsid w:val="006724DD"/>
    <w:rsid w:val="0069317A"/>
    <w:rsid w:val="00697D1C"/>
    <w:rsid w:val="00731BE5"/>
    <w:rsid w:val="00743F86"/>
    <w:rsid w:val="007F2EDF"/>
    <w:rsid w:val="008D0F07"/>
    <w:rsid w:val="008D752A"/>
    <w:rsid w:val="00921EFE"/>
    <w:rsid w:val="009569BA"/>
    <w:rsid w:val="009B0259"/>
    <w:rsid w:val="00A17DE1"/>
    <w:rsid w:val="00A60C9E"/>
    <w:rsid w:val="00A83503"/>
    <w:rsid w:val="00AA193B"/>
    <w:rsid w:val="00AB5FD4"/>
    <w:rsid w:val="00AD64BC"/>
    <w:rsid w:val="00AE0905"/>
    <w:rsid w:val="00B461EA"/>
    <w:rsid w:val="00BF068F"/>
    <w:rsid w:val="00C45C34"/>
    <w:rsid w:val="00C87846"/>
    <w:rsid w:val="00CA2B85"/>
    <w:rsid w:val="00CE5E59"/>
    <w:rsid w:val="00D04268"/>
    <w:rsid w:val="00D3443E"/>
    <w:rsid w:val="00D45C83"/>
    <w:rsid w:val="00D718C1"/>
    <w:rsid w:val="00D84320"/>
    <w:rsid w:val="00D90856"/>
    <w:rsid w:val="00E54A3A"/>
    <w:rsid w:val="00ED1DA6"/>
    <w:rsid w:val="00EE2C26"/>
    <w:rsid w:val="00F045EF"/>
    <w:rsid w:val="00F3367B"/>
    <w:rsid w:val="00FA4C60"/>
    <w:rsid w:val="00FA5472"/>
    <w:rsid w:val="00FD3868"/>
    <w:rsid w:val="03C9256C"/>
    <w:rsid w:val="44BE41F8"/>
    <w:rsid w:val="65E8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link w:val="10"/>
    <w:semiHidden/>
    <w:unhideWhenUsed/>
    <w:qFormat/>
    <w:uiPriority w:val="9"/>
    <w:pPr>
      <w:keepNext/>
      <w:keepLines/>
      <w:spacing w:before="200" w:after="0" w:line="256" w:lineRule="auto"/>
      <w:outlineLvl w:val="2"/>
    </w:pPr>
    <w:rPr>
      <w:rFonts w:asciiTheme="majorHAnsi" w:hAnsiTheme="majorHAnsi" w:eastAsiaTheme="majorEastAsia" w:cstheme="majorBidi"/>
      <w:b/>
      <w:bCs/>
      <w:color w:val="5B9BD5" w:themeColor="accent1"/>
      <w:lang w:val="uz-Cyrl-UZ"/>
      <w14:textFill>
        <w14:solidFill>
          <w14:schemeClr w14:val="accent1"/>
        </w14:solidFill>
      </w14:textFill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caption"/>
    <w:basedOn w:val="1"/>
    <w:next w:val="1"/>
    <w:semiHidden/>
    <w:unhideWhenUsed/>
    <w:qFormat/>
    <w:uiPriority w:val="99"/>
    <w:pPr>
      <w:spacing w:after="0" w:line="240" w:lineRule="auto"/>
      <w:jc w:val="center"/>
    </w:pPr>
    <w:rPr>
      <w:rFonts w:ascii="Times New Roman" w:hAnsi="Times New Roman" w:eastAsia="PMingLiU"/>
      <w:sz w:val="24"/>
      <w:szCs w:val="20"/>
      <w:lang w:val="fr-CA"/>
    </w:rPr>
  </w:style>
  <w:style w:type="character" w:styleId="7">
    <w:name w:val="footnote reference"/>
    <w:basedOn w:val="3"/>
    <w:semiHidden/>
    <w:unhideWhenUsed/>
    <w:uiPriority w:val="99"/>
    <w:rPr>
      <w:vertAlign w:val="superscript"/>
    </w:rPr>
  </w:style>
  <w:style w:type="paragraph" w:styleId="8">
    <w:name w:val="footnote text"/>
    <w:basedOn w:val="1"/>
    <w:link w:val="11"/>
    <w:semiHidden/>
    <w:unhideWhenUsed/>
    <w:uiPriority w:val="99"/>
    <w:pPr>
      <w:spacing w:after="0" w:line="240" w:lineRule="auto"/>
    </w:pPr>
    <w:rPr>
      <w:sz w:val="20"/>
      <w:szCs w:val="20"/>
    </w:rPr>
  </w:style>
  <w:style w:type="table" w:styleId="9">
    <w:name w:val="Table Grid"/>
    <w:basedOn w:val="4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Heading 3 Char"/>
    <w:basedOn w:val="3"/>
    <w:link w:val="2"/>
    <w:semiHidden/>
    <w:uiPriority w:val="9"/>
    <w:rPr>
      <w:rFonts w:asciiTheme="majorHAnsi" w:hAnsiTheme="majorHAnsi" w:eastAsiaTheme="majorEastAsia" w:cstheme="majorBidi"/>
      <w:b/>
      <w:bCs/>
      <w:color w:val="5B9BD5" w:themeColor="accent1"/>
      <w:lang w:val="uz-Cyrl-UZ"/>
      <w14:textFill>
        <w14:solidFill>
          <w14:schemeClr w14:val="accent1"/>
        </w14:solidFill>
      </w14:textFill>
    </w:rPr>
  </w:style>
  <w:style w:type="character" w:customStyle="1" w:styleId="11">
    <w:name w:val="Footnote Text Char"/>
    <w:basedOn w:val="3"/>
    <w:link w:val="8"/>
    <w:semiHidden/>
    <w:uiPriority w:val="99"/>
    <w:rPr>
      <w:rFonts w:ascii="Calibri" w:hAnsi="Calibri" w:eastAsia="Calibri" w:cs="Times New Roman"/>
      <w:sz w:val="20"/>
      <w:szCs w:val="20"/>
    </w:rPr>
  </w:style>
  <w:style w:type="paragraph" w:styleId="12">
    <w:name w:val="List Paragraph"/>
    <w:basedOn w:val="1"/>
    <w:qFormat/>
    <w:uiPriority w:val="99"/>
    <w:pPr>
      <w:ind w:left="720"/>
      <w:contextualSpacing/>
    </w:pPr>
  </w:style>
  <w:style w:type="character" w:customStyle="1" w:styleId="13">
    <w:name w:val="Balloon Text Char"/>
    <w:basedOn w:val="3"/>
    <w:link w:val="5"/>
    <w:semiHidden/>
    <w:qFormat/>
    <w:uiPriority w:val="99"/>
    <w:rPr>
      <w:rFonts w:ascii="Segoe UI" w:hAnsi="Segoe UI" w:eastAsia="Calibr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1062</Words>
  <Characters>6057</Characters>
  <Lines>50</Lines>
  <Paragraphs>14</Paragraphs>
  <TotalTime>4</TotalTime>
  <ScaleCrop>false</ScaleCrop>
  <LinksUpToDate>false</LinksUpToDate>
  <CharactersWithSpaces>7105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2021-09-13T07:42:00Z</dcterms:created>
  <dc:creator>PC</dc:creator>
  <cp:lastModifiedBy>Dragana</cp:lastModifiedBy>
  <cp:lastPrinted>2021-09-13T07:41:00Z</cp:lastPrinted>
  <dcterms:modified xsi:type="dcterms:W3CDTF">2022-07-28T11:35:55Z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347501280B544412A5E2AB7BC401CB42</vt:lpwstr>
  </property>
</Properties>
</file>