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hint="default" w:ascii="Arial" w:hAnsi="Arial" w:eastAsia="Times New Roman" w:cs="Arial"/>
          <w:b/>
          <w:color w:val="000000"/>
          <w:sz w:val="24"/>
          <w:szCs w:val="24"/>
          <w:lang w:val="sr-Latn-ME"/>
        </w:rPr>
      </w:pPr>
      <w:r>
        <w:rPr>
          <w:rFonts w:hint="default" w:ascii="Arial" w:hAnsi="Arial" w:eastAsia="Times New Roman" w:cs="Arial"/>
          <w:b/>
          <w:color w:val="000000"/>
          <w:sz w:val="24"/>
          <w:szCs w:val="24"/>
          <w:lang w:val="sr-Latn-ME"/>
        </w:rPr>
        <w:t xml:space="preserve">OBRAZAC 1  </w:t>
      </w:r>
    </w:p>
    <w:p>
      <w:pPr>
        <w:tabs>
          <w:tab w:val="right" w:pos="9072"/>
        </w:tabs>
        <w:spacing w:after="0"/>
        <w:rPr>
          <w:rFonts w:hint="default" w:ascii="Arial" w:hAnsi="Arial" w:eastAsia="Calibri" w:cs="Arial"/>
          <w:sz w:val="24"/>
          <w:szCs w:val="24"/>
          <w:highlight w:val="none"/>
          <w:lang w:val="sr-Latn-ME"/>
        </w:rPr>
      </w:pPr>
      <w:r>
        <w:rPr>
          <w:rFonts w:hint="default" w:ascii="Arial" w:hAnsi="Arial" w:eastAsia="Calibri" w:cs="Arial"/>
          <w:color w:val="000000"/>
          <w:sz w:val="24"/>
          <w:szCs w:val="24"/>
          <w:highlight w:val="none"/>
          <w:lang w:val="sr-Latn-ME"/>
        </w:rPr>
        <w:t xml:space="preserve">Naručilac: </w:t>
      </w:r>
      <w:r>
        <w:rPr>
          <w:rFonts w:hint="default" w:ascii="Arial" w:hAnsi="Arial" w:eastAsia="Calibri" w:cs="Arial"/>
          <w:b/>
          <w:color w:val="000000"/>
          <w:sz w:val="24"/>
          <w:szCs w:val="24"/>
          <w:highlight w:val="none"/>
          <w:lang w:val="sr-Latn-ME"/>
        </w:rPr>
        <w:t xml:space="preserve">Ministarstvo finansija </w:t>
      </w:r>
    </w:p>
    <w:p>
      <w:pPr>
        <w:tabs>
          <w:tab w:val="left" w:pos="1701"/>
          <w:tab w:val="left" w:pos="4820"/>
        </w:tabs>
        <w:spacing w:after="0" w:line="240" w:lineRule="auto"/>
        <w:jc w:val="both"/>
        <w:rPr>
          <w:rFonts w:hint="default" w:ascii="Arial" w:hAnsi="Arial" w:eastAsia="Times New Roman" w:cs="Arial"/>
          <w:sz w:val="24"/>
          <w:szCs w:val="24"/>
          <w:highlight w:val="none"/>
          <w:lang w:val="sr-Latn-ME"/>
        </w:rPr>
      </w:pPr>
      <w:r>
        <w:rPr>
          <w:rFonts w:hint="default" w:ascii="Arial" w:hAnsi="Arial" w:eastAsia="Times New Roman" w:cs="Arial"/>
          <w:sz w:val="24"/>
          <w:szCs w:val="24"/>
          <w:highlight w:val="none"/>
          <w:lang w:val="sr-Latn-ME"/>
        </w:rPr>
        <w:t>Broj iz evidencije postupaka javnih nabavki: 5/2026</w:t>
      </w:r>
    </w:p>
    <w:p>
      <w:pPr>
        <w:tabs>
          <w:tab w:val="left" w:pos="1701"/>
          <w:tab w:val="left" w:pos="4820"/>
        </w:tabs>
        <w:spacing w:after="0" w:line="240" w:lineRule="auto"/>
        <w:jc w:val="both"/>
        <w:rPr>
          <w:rFonts w:hint="default" w:ascii="Arial" w:hAnsi="Arial" w:eastAsia="Calibri" w:cs="Arial"/>
          <w:color w:val="FF0000"/>
          <w:sz w:val="24"/>
          <w:szCs w:val="24"/>
          <w:highlight w:val="none"/>
          <w:lang w:val="sr-Latn-ME"/>
        </w:rPr>
      </w:pPr>
      <w:r>
        <w:rPr>
          <w:rFonts w:hint="default" w:ascii="Arial" w:hAnsi="Arial" w:eastAsia="Calibri" w:cs="Arial"/>
          <w:sz w:val="24"/>
          <w:szCs w:val="24"/>
          <w:highlight w:val="none"/>
          <w:lang w:val="sr-Latn-ME"/>
        </w:rPr>
        <w:t>Redni broj iz Plana javnih nabavki: 21</w:t>
      </w: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r>
        <w:rPr>
          <w:rFonts w:hint="default" w:ascii="Arial" w:hAnsi="Arial" w:eastAsia="Calibri" w:cs="Arial"/>
          <w:color w:val="000000"/>
          <w:sz w:val="24"/>
          <w:szCs w:val="24"/>
          <w:highlight w:val="none"/>
          <w:lang w:val="sr-Latn-ME"/>
        </w:rPr>
        <w:t>Podgorica,</w:t>
      </w:r>
      <w:r>
        <w:rPr>
          <w:rFonts w:hint="default" w:ascii="Arial" w:hAnsi="Arial" w:eastAsia="Calibri" w:cs="Arial"/>
          <w:color w:val="000000"/>
          <w:sz w:val="24"/>
          <w:szCs w:val="24"/>
          <w:highlight w:val="none"/>
          <w:lang w:val="sr-Latn-RS"/>
        </w:rPr>
        <w:t xml:space="preserve"> </w:t>
      </w:r>
      <w:r>
        <w:rPr>
          <w:rFonts w:hint="default" w:ascii="Arial" w:hAnsi="Arial" w:eastAsia="Calibri" w:cs="Arial"/>
          <w:color w:val="000000"/>
          <w:sz w:val="24"/>
          <w:szCs w:val="24"/>
          <w:highlight w:val="none"/>
          <w:lang w:val="sr-Latn-ME"/>
        </w:rPr>
        <w:t>10.09.2026</w:t>
      </w:r>
      <w:r>
        <w:rPr>
          <w:rFonts w:hint="default" w:ascii="Arial" w:hAnsi="Arial" w:eastAsia="Calibri" w:cs="Arial"/>
          <w:sz w:val="24"/>
          <w:szCs w:val="24"/>
          <w:highlight w:val="none"/>
          <w:lang w:val="sr-Latn-ME"/>
        </w:rPr>
        <w:t>.</w:t>
      </w:r>
      <w:r>
        <w:rPr>
          <w:rFonts w:hint="default" w:ascii="Arial" w:hAnsi="Arial" w:eastAsia="Calibri" w:cs="Arial"/>
          <w:color w:val="000000"/>
          <w:sz w:val="24"/>
          <w:szCs w:val="24"/>
          <w:highlight w:val="none"/>
          <w:lang w:val="sr-Latn-ME"/>
        </w:rPr>
        <w:t xml:space="preserve"> godine</w:t>
      </w: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tabs>
          <w:tab w:val="left" w:pos="1701"/>
          <w:tab w:val="left" w:pos="4820"/>
        </w:tabs>
        <w:spacing w:after="0" w:line="240" w:lineRule="auto"/>
        <w:jc w:val="both"/>
        <w:rPr>
          <w:rFonts w:hint="default" w:ascii="Arial" w:hAnsi="Arial" w:eastAsia="Calibri" w:cs="Arial"/>
          <w:color w:val="000000"/>
          <w:sz w:val="24"/>
          <w:szCs w:val="24"/>
          <w:highlight w:val="yellow"/>
          <w:lang w:val="sr-Latn-ME"/>
        </w:rPr>
      </w:pPr>
    </w:p>
    <w:p>
      <w:pPr>
        <w:spacing w:after="0" w:line="240" w:lineRule="auto"/>
        <w:rPr>
          <w:rFonts w:hint="default" w:ascii="Arial" w:hAnsi="Arial" w:eastAsia="Times New Roman" w:cs="Arial"/>
          <w:sz w:val="24"/>
          <w:szCs w:val="24"/>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highlight w:val="none"/>
          <w:lang w:val="sr-Latn-ME"/>
        </w:rPr>
      </w:pPr>
      <w:r>
        <w:rPr>
          <w:rFonts w:hint="default" w:ascii="Arial" w:hAnsi="Arial" w:eastAsia="Times New Roman" w:cs="Arial"/>
          <w:sz w:val="24"/>
          <w:szCs w:val="24"/>
          <w:highlight w:val="none"/>
          <w:lang w:val="sr-Latn-ME"/>
        </w:rPr>
        <w:t>Na osnovu člana 93 stav 1 Zakona o javnim nabavkama (</w:t>
      </w:r>
      <w:r>
        <w:rPr>
          <w:rFonts w:hint="default" w:ascii="Arial" w:hAnsi="Arial" w:eastAsia="Times New Roman" w:cs="Arial"/>
          <w:sz w:val="24"/>
          <w:szCs w:val="24"/>
          <w:highlight w:val="none"/>
          <w:lang w:val="sr-Latn-RS"/>
        </w:rPr>
        <w:t xml:space="preserve"> „Službeni list CG“, br. 74/19 , 3/23 , 11/23</w:t>
      </w:r>
      <w:r>
        <w:rPr>
          <w:rFonts w:hint="default" w:ascii="Arial" w:hAnsi="Arial" w:eastAsia="Times New Roman" w:cs="Arial"/>
          <w:sz w:val="24"/>
          <w:szCs w:val="24"/>
          <w:highlight w:val="none"/>
          <w:lang w:val="sr-Latn-ME"/>
        </w:rPr>
        <w:t>,</w:t>
      </w:r>
      <w:r>
        <w:rPr>
          <w:rFonts w:hint="default" w:ascii="Arial" w:hAnsi="Arial" w:eastAsia="Times New Roman" w:cs="Arial"/>
          <w:sz w:val="24"/>
          <w:szCs w:val="24"/>
          <w:highlight w:val="none"/>
          <w:lang w:val="sr-Latn-RS"/>
        </w:rPr>
        <w:t>84/24</w:t>
      </w:r>
      <w:r>
        <w:rPr>
          <w:rFonts w:hint="default" w:ascii="Arial" w:hAnsi="Arial" w:eastAsia="Times New Roman" w:cs="Arial"/>
          <w:sz w:val="24"/>
          <w:szCs w:val="24"/>
          <w:highlight w:val="none"/>
          <w:lang w:val="sr-Latn-ME"/>
        </w:rPr>
        <w:t xml:space="preserve"> i 98/26) </w:t>
      </w:r>
      <w:r>
        <w:rPr>
          <w:rFonts w:hint="default" w:ascii="Arial" w:hAnsi="Arial" w:eastAsia="Times New Roman" w:cs="Arial"/>
          <w:color w:val="000000"/>
          <w:sz w:val="24"/>
          <w:szCs w:val="24"/>
          <w:highlight w:val="none"/>
          <w:u w:val="single"/>
          <w:lang w:val="sr-Latn-ME"/>
        </w:rPr>
        <w:t xml:space="preserve">Ministarstvo finansija  </w:t>
      </w:r>
      <w:r>
        <w:rPr>
          <w:rFonts w:hint="default" w:ascii="Arial" w:hAnsi="Arial" w:eastAsia="Times New Roman" w:cs="Arial"/>
          <w:sz w:val="24"/>
          <w:szCs w:val="24"/>
          <w:highlight w:val="none"/>
          <w:lang w:val="sr-Latn-ME"/>
        </w:rPr>
        <w:t>objavljuje</w:t>
      </w:r>
      <w:r>
        <w:rPr>
          <w:rFonts w:hint="default" w:ascii="Arial" w:hAnsi="Arial" w:eastAsia="Times New Roman" w:cs="Arial"/>
          <w:b/>
          <w:bCs/>
          <w:color w:val="000000"/>
          <w:sz w:val="24"/>
          <w:szCs w:val="24"/>
          <w:highlight w:val="none"/>
          <w:lang w:val="sr-Latn-ME"/>
        </w:rPr>
        <w:t xml:space="preserve">        </w:t>
      </w:r>
    </w:p>
    <w:p>
      <w:pPr>
        <w:tabs>
          <w:tab w:val="left" w:pos="1276"/>
          <w:tab w:val="left" w:pos="3261"/>
        </w:tabs>
        <w:spacing w:after="0" w:line="240" w:lineRule="auto"/>
        <w:jc w:val="both"/>
        <w:rPr>
          <w:rFonts w:hint="default" w:ascii="Arial" w:hAnsi="Arial" w:eastAsia="Times New Roman" w:cs="Arial"/>
          <w:b/>
          <w:bCs/>
          <w:color w:val="000000"/>
          <w:sz w:val="24"/>
          <w:szCs w:val="24"/>
          <w:highlight w:val="none"/>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highlight w:val="yellow"/>
          <w:lang w:val="sr-Latn-ME"/>
        </w:rPr>
      </w:pPr>
    </w:p>
    <w:p>
      <w:pPr>
        <w:tabs>
          <w:tab w:val="left" w:pos="1276"/>
          <w:tab w:val="left" w:pos="3261"/>
        </w:tabs>
        <w:spacing w:after="0" w:line="240" w:lineRule="auto"/>
        <w:jc w:val="both"/>
        <w:rPr>
          <w:rFonts w:hint="default" w:ascii="Arial" w:hAnsi="Arial" w:eastAsia="Times New Roman" w:cs="Arial"/>
          <w:b/>
          <w:bCs/>
          <w:color w:val="000000"/>
          <w:sz w:val="24"/>
          <w:szCs w:val="24"/>
          <w:lang w:val="sr-Latn-ME"/>
        </w:rPr>
      </w:pPr>
    </w:p>
    <w:p>
      <w:pPr>
        <w:tabs>
          <w:tab w:val="left" w:pos="1276"/>
          <w:tab w:val="left" w:pos="3261"/>
        </w:tabs>
        <w:spacing w:after="0" w:line="240" w:lineRule="auto"/>
        <w:jc w:val="both"/>
        <w:rPr>
          <w:rFonts w:hint="default" w:ascii="Arial" w:hAnsi="Arial" w:eastAsia="Times New Roman" w:cs="Arial"/>
          <w:sz w:val="24"/>
          <w:szCs w:val="24"/>
          <w:lang w:val="sr-Latn-ME"/>
        </w:rPr>
      </w:pPr>
      <w:r>
        <w:rPr>
          <w:rFonts w:hint="default" w:ascii="Arial" w:hAnsi="Arial" w:eastAsia="Times New Roman" w:cs="Arial"/>
          <w:b/>
          <w:bCs/>
          <w:color w:val="000000"/>
          <w:sz w:val="24"/>
          <w:szCs w:val="24"/>
          <w:lang w:val="sr-Latn-ME"/>
        </w:rPr>
        <w:t xml:space="preserve">                                          </w:t>
      </w:r>
      <w:r>
        <w:rPr>
          <w:rFonts w:hint="default" w:ascii="Arial" w:hAnsi="Arial" w:eastAsia="Times New Roman" w:cs="Arial"/>
          <w:b/>
          <w:bCs/>
          <w:color w:val="000000"/>
          <w:sz w:val="24"/>
          <w:szCs w:val="24"/>
          <w:lang w:val="sr-Latn-ME"/>
        </w:rPr>
        <w:tab/>
      </w:r>
      <w:r>
        <w:rPr>
          <w:rFonts w:hint="default" w:ascii="Arial" w:hAnsi="Arial" w:eastAsia="Times New Roman" w:cs="Arial"/>
          <w:bCs/>
          <w:color w:val="000000"/>
          <w:sz w:val="24"/>
          <w:szCs w:val="24"/>
          <w:lang w:val="sr-Latn-ME"/>
        </w:rPr>
        <w:t xml:space="preserve">                                                      </w:t>
      </w:r>
    </w:p>
    <w:p>
      <w:pPr>
        <w:keepNext/>
        <w:spacing w:after="0" w:line="240" w:lineRule="auto"/>
        <w:jc w:val="center"/>
        <w:outlineLvl w:val="0"/>
        <w:rPr>
          <w:rFonts w:hint="default" w:ascii="Arial" w:hAnsi="Arial" w:eastAsia="Times New Roman" w:cs="Arial"/>
          <w:b/>
          <w:bCs/>
          <w:color w:val="000000"/>
          <w:sz w:val="24"/>
          <w:szCs w:val="24"/>
          <w:lang w:val="sr-Latn-ME"/>
        </w:rPr>
      </w:pPr>
    </w:p>
    <w:p>
      <w:pPr>
        <w:spacing w:after="0" w:line="240" w:lineRule="auto"/>
        <w:jc w:val="center"/>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TENDERSKU DOKUMENTACIJU</w:t>
      </w:r>
    </w:p>
    <w:p>
      <w:pPr>
        <w:spacing w:after="0" w:line="240" w:lineRule="auto"/>
        <w:jc w:val="center"/>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ZA OTVORENI POSTUPAK JAVNE NABAVKE</w:t>
      </w:r>
    </w:p>
    <w:p>
      <w:pPr>
        <w:spacing w:after="0" w:line="240" w:lineRule="auto"/>
        <w:rPr>
          <w:rFonts w:hint="default" w:ascii="Arial" w:hAnsi="Arial" w:eastAsia="Times New Roman" w:cs="Arial"/>
          <w:sz w:val="24"/>
          <w:szCs w:val="24"/>
          <w:lang w:val="sr-Latn-ME"/>
        </w:rPr>
      </w:pPr>
    </w:p>
    <w:p>
      <w:pPr>
        <w:spacing w:after="0" w:line="240" w:lineRule="auto"/>
        <w:jc w:val="center"/>
        <w:rPr>
          <w:rFonts w:hint="default" w:ascii="Arial" w:hAnsi="Arial" w:eastAsia="Times New Roman" w:cs="Arial"/>
          <w:sz w:val="24"/>
          <w:szCs w:val="24"/>
          <w:lang w:val="sr-Latn-ME"/>
        </w:rPr>
      </w:pPr>
      <w:r>
        <w:rPr>
          <w:rFonts w:hint="default" w:ascii="Arial" w:hAnsi="Arial" w:eastAsia="Times New Roman" w:cs="Arial"/>
          <w:sz w:val="24"/>
          <w:szCs w:val="24"/>
          <w:lang w:val="sr-Latn-ME"/>
        </w:rPr>
        <w:t>Usluge Portal građanskog budžeta - Citizen s Budget Portal (CBP)</w:t>
      </w:r>
    </w:p>
    <w:p>
      <w:pPr>
        <w:spacing w:after="0" w:line="240" w:lineRule="auto"/>
        <w:jc w:val="center"/>
        <w:rPr>
          <w:rFonts w:hint="default" w:ascii="Arial" w:hAnsi="Arial" w:eastAsia="Times New Roman" w:cs="Arial"/>
          <w:sz w:val="24"/>
          <w:szCs w:val="24"/>
          <w:lang w:val="sr-Latn-ME"/>
        </w:rPr>
      </w:pPr>
    </w:p>
    <w:p>
      <w:pPr>
        <w:spacing w:after="0" w:line="240" w:lineRule="auto"/>
        <w:jc w:val="center"/>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Predmet nabavke se nabavlja:</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kao cjelina </w:t>
      </w:r>
    </w:p>
    <w:p>
      <w:pPr>
        <w:spacing w:after="0" w:line="240" w:lineRule="auto"/>
        <w:rPr>
          <w:rFonts w:hint="default" w:ascii="Arial" w:hAnsi="Arial" w:eastAsia="Times New Roman" w:cs="Arial"/>
          <w:color w:val="000000"/>
          <w:sz w:val="24"/>
          <w:szCs w:val="24"/>
          <w:lang w:val="sr-Latn-ME"/>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color w:val="000000"/>
          <w:sz w:val="24"/>
          <w:szCs w:val="24"/>
          <w:lang w:val="sr-Latn-ME"/>
        </w:rPr>
      </w:pPr>
      <w:bookmarkStart w:id="0" w:name="_Toc62730553"/>
      <w:r>
        <w:rPr>
          <w:rFonts w:hint="default" w:ascii="Arial" w:hAnsi="Arial" w:eastAsia="Times New Roman" w:cs="Arial"/>
          <w:b/>
          <w:color w:val="000000"/>
          <w:sz w:val="24"/>
          <w:szCs w:val="24"/>
          <w:lang w:val="sr-Latn-ME"/>
        </w:rPr>
        <w:t>POZIV ZA NADMETANJE</w:t>
      </w:r>
      <w:r>
        <w:rPr>
          <w:rFonts w:hint="default" w:ascii="Arial" w:hAnsi="Arial" w:eastAsia="Times New Roman" w:cs="Arial"/>
          <w:b/>
          <w:color w:val="000000"/>
          <w:sz w:val="24"/>
          <w:szCs w:val="24"/>
          <w:vertAlign w:val="superscript"/>
          <w:lang w:val="sr-Latn-ME"/>
        </w:rPr>
        <w:footnoteReference w:id="0"/>
      </w:r>
      <w:bookmarkEnd w:id="0"/>
      <w:r>
        <w:rPr>
          <w:rFonts w:hint="default" w:ascii="Arial" w:hAnsi="Arial" w:eastAsia="Times New Roman" w:cs="Arial"/>
          <w:b/>
          <w:color w:val="000000"/>
          <w:sz w:val="24"/>
          <w:szCs w:val="24"/>
          <w:lang w:val="sr-Latn-ME"/>
        </w:rPr>
        <w:t xml:space="preserve"> </w:t>
      </w:r>
    </w:p>
    <w:p>
      <w:pPr>
        <w:spacing w:after="0" w:line="240" w:lineRule="auto"/>
        <w:rPr>
          <w:rFonts w:hint="default" w:ascii="Arial" w:hAnsi="Arial" w:eastAsia="Times New Roman" w:cs="Arial"/>
          <w:b/>
          <w:bCs/>
          <w:color w:val="000000"/>
          <w:sz w:val="24"/>
          <w:szCs w:val="24"/>
          <w:lang w:val="sr-Latn-ME"/>
        </w:rPr>
      </w:pPr>
      <w:r>
        <w:rPr>
          <w:rFonts w:hint="default" w:ascii="Arial" w:hAnsi="Arial" w:eastAsia="Times New Roman" w:cs="Arial"/>
          <w:b/>
          <w:bCs/>
          <w:color w:val="000000"/>
          <w:sz w:val="24"/>
          <w:szCs w:val="24"/>
          <w:lang w:val="sr-Latn-ME"/>
        </w:rPr>
        <w:tab/>
      </w:r>
    </w:p>
    <w:p>
      <w:pPr>
        <w:spacing w:after="0" w:line="240" w:lineRule="auto"/>
        <w:ind w:left="360"/>
        <w:jc w:val="center"/>
        <w:rPr>
          <w:rFonts w:hint="default" w:ascii="Arial" w:hAnsi="Arial" w:eastAsia="Times New Roman" w:cs="Arial"/>
          <w:b/>
          <w:bCs/>
          <w:color w:val="000000"/>
          <w:sz w:val="24"/>
          <w:szCs w:val="24"/>
          <w:lang w:val="sr-Latn-ME"/>
        </w:rPr>
      </w:pPr>
    </w:p>
    <w:p>
      <w:pPr>
        <w:numPr>
          <w:ilvl w:val="0"/>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Podaci o naručiocu;</w:t>
      </w:r>
    </w:p>
    <w:p>
      <w:pPr>
        <w:numPr>
          <w:ilvl w:val="0"/>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Podaci o postupku i predmetu javne nabavke: </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Vrsta postupka,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Predmet javne nabavke (vrsta predmeta, naziv i opis predmeta),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Procijenjena vrijednost predmeta nabavke</w:t>
      </w:r>
      <w:r>
        <w:rPr>
          <w:rFonts w:hint="default" w:ascii="Arial" w:hAnsi="Arial" w:eastAsia="Calibri" w:cs="Arial"/>
          <w:color w:val="000000"/>
          <w:sz w:val="24"/>
          <w:szCs w:val="24"/>
          <w:vertAlign w:val="superscript"/>
          <w:lang w:val="sr-Latn-ME"/>
        </w:rPr>
        <w:footnoteReference w:id="1"/>
      </w:r>
      <w:r>
        <w:rPr>
          <w:rFonts w:hint="default" w:ascii="Arial" w:hAnsi="Arial" w:eastAsia="Calibri" w:cs="Arial"/>
          <w:color w:val="000000"/>
          <w:sz w:val="24"/>
          <w:szCs w:val="24"/>
          <w:lang w:val="sr-Latn-ME"/>
        </w:rPr>
        <w:t>,</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Način nabavke: </w:t>
      </w:r>
    </w:p>
    <w:p>
      <w:pPr>
        <w:numPr>
          <w:ilvl w:val="0"/>
          <w:numId w:val="3"/>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Cjelina, po partijama,</w:t>
      </w:r>
    </w:p>
    <w:p>
      <w:pPr>
        <w:numPr>
          <w:ilvl w:val="0"/>
          <w:numId w:val="3"/>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Zajednička nabavka,</w:t>
      </w:r>
    </w:p>
    <w:p>
      <w:pPr>
        <w:numPr>
          <w:ilvl w:val="0"/>
          <w:numId w:val="3"/>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Centralizovana nabavka,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Posebni oblik nabavke:</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Okvirni sporazum,</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Dinamički sistem nabavki,</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Elektronska aukcija,</w:t>
      </w:r>
    </w:p>
    <w:p>
      <w:pPr>
        <w:numPr>
          <w:ilvl w:val="0"/>
          <w:numId w:val="4"/>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Elektronski katalog,</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Uslovi za učešće u postupku javne nabavke i posebni osnovi za isključenje,</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Kriterijum za izbor najpovoljnije ponude,</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Način, mjesto i vrijeme podnošenja ponuda i otvaranja ponuda,</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Rok za donošenje odluke o izboru,</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Rok važenja ponude,</w:t>
      </w:r>
    </w:p>
    <w:p>
      <w:pPr>
        <w:numPr>
          <w:ilvl w:val="1"/>
          <w:numId w:val="2"/>
        </w:numPr>
        <w:spacing w:after="0" w:line="240" w:lineRule="auto"/>
        <w:contextualSpacing/>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Garancija ponude</w:t>
      </w:r>
    </w:p>
    <w:p>
      <w:pPr>
        <w:spacing w:after="0" w:line="240" w:lineRule="auto"/>
        <w:rPr>
          <w:rFonts w:hint="default" w:ascii="Arial" w:hAnsi="Arial" w:eastAsia="Calibri" w:cs="Arial"/>
          <w:color w:val="000000"/>
          <w:sz w:val="24"/>
          <w:szCs w:val="24"/>
          <w:lang w:val="sr-Latn-ME"/>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color w:val="000000"/>
          <w:sz w:val="24"/>
          <w:szCs w:val="24"/>
          <w:lang w:val="sr-Latn-ME"/>
        </w:rPr>
      </w:pPr>
      <w:bookmarkStart w:id="1" w:name="_Toc62730554"/>
      <w:r>
        <w:rPr>
          <w:rFonts w:hint="default" w:ascii="Arial" w:hAnsi="Arial" w:eastAsia="Times New Roman" w:cs="Arial"/>
          <w:b/>
          <w:color w:val="000000"/>
          <w:sz w:val="24"/>
          <w:szCs w:val="24"/>
          <w:lang w:val="sr-Latn-ME"/>
        </w:rPr>
        <w:t>TEHNIČKA SPECIFIKACIJA PREDMETA JAVNE NABAVKE</w:t>
      </w:r>
      <w:r>
        <w:rPr>
          <w:rFonts w:hint="default" w:ascii="Arial" w:hAnsi="Arial" w:eastAsia="Times New Roman" w:cs="Arial"/>
          <w:b/>
          <w:color w:val="000000"/>
          <w:sz w:val="24"/>
          <w:szCs w:val="24"/>
          <w:vertAlign w:val="superscript"/>
          <w:lang w:val="sr-Latn-ME"/>
        </w:rPr>
        <w:footnoteReference w:id="2"/>
      </w:r>
      <w:bookmarkEnd w:id="1"/>
    </w:p>
    <w:p>
      <w:pPr>
        <w:spacing w:after="0" w:line="240" w:lineRule="auto"/>
        <w:rPr>
          <w:rFonts w:hint="default" w:ascii="Arial" w:hAnsi="Arial" w:eastAsia="Calibri" w:cs="Arial"/>
          <w:color w:val="000000"/>
          <w:sz w:val="24"/>
          <w:szCs w:val="24"/>
          <w:lang w:val="sr-Latn-ME"/>
        </w:rPr>
      </w:pPr>
    </w:p>
    <w:p>
      <w:pPr>
        <w:numPr>
          <w:ilvl w:val="0"/>
          <w:numId w:val="5"/>
        </w:numPr>
        <w:spacing w:after="0" w:line="240" w:lineRule="auto"/>
        <w:contextualSpacing/>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Naziv i opis predmeta nabavke u cjelini, po partijama i stavkama sa bitnim karakteristikama</w:t>
      </w:r>
    </w:p>
    <w:p>
      <w:pPr>
        <w:numPr>
          <w:ilvl w:val="0"/>
          <w:numId w:val="5"/>
        </w:numPr>
        <w:spacing w:after="0" w:line="240" w:lineRule="auto"/>
        <w:contextualSpacing/>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Zahtjevi u pogledu načina izvršavanja predmeta nabavke koji su od značaja za sačinjavanje ponude i izvršenje ugovora</w:t>
      </w:r>
    </w:p>
    <w:p>
      <w:pPr>
        <w:spacing w:after="0" w:line="240" w:lineRule="auto"/>
        <w:rPr>
          <w:rFonts w:hint="default" w:ascii="Arial" w:hAnsi="Arial" w:eastAsia="Calibri" w:cs="Arial"/>
          <w:color w:val="000000"/>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hint="default" w:ascii="Arial" w:hAnsi="Arial" w:eastAsia="Times New Roman" w:cs="Arial"/>
          <w:b/>
          <w:color w:val="000000"/>
          <w:sz w:val="24"/>
          <w:szCs w:val="24"/>
          <w:lang w:val="sr-Latn-ME"/>
        </w:rPr>
      </w:pPr>
      <w:bookmarkStart w:id="2" w:name="_Toc62730555"/>
      <w:r>
        <w:rPr>
          <w:rFonts w:hint="default" w:ascii="Arial" w:hAnsi="Arial" w:eastAsia="Times New Roman" w:cs="Arial"/>
          <w:b/>
          <w:color w:val="000000"/>
          <w:sz w:val="24"/>
          <w:szCs w:val="24"/>
          <w:lang w:val="sr-Latn-ME"/>
        </w:rPr>
        <w:t>DODATNE INFORMACIJE O PREDMETU I POSTUPKU NABAVKE</w:t>
      </w:r>
      <w:r>
        <w:rPr>
          <w:rFonts w:hint="default" w:ascii="Arial" w:hAnsi="Arial" w:eastAsia="Times New Roman" w:cs="Arial"/>
          <w:b/>
          <w:color w:val="000000"/>
          <w:sz w:val="24"/>
          <w:szCs w:val="24"/>
          <w:vertAlign w:val="superscript"/>
          <w:lang w:val="sr-Latn-ME"/>
        </w:rPr>
        <w:footnoteReference w:id="3"/>
      </w:r>
      <w:bookmarkEnd w:id="2"/>
    </w:p>
    <w:p>
      <w:pPr>
        <w:spacing w:after="0" w:line="240" w:lineRule="auto"/>
        <w:jc w:val="both"/>
        <w:rPr>
          <w:rFonts w:hint="default"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hint="default" w:ascii="Arial" w:hAnsi="Arial" w:eastAsia="Calibri" w:cs="Arial"/>
          <w:b/>
          <w:bCs/>
          <w:color w:val="000000"/>
          <w:sz w:val="24"/>
          <w:szCs w:val="24"/>
          <w:lang w:val="sr-Latn-ME"/>
        </w:rPr>
      </w:pPr>
      <w:r>
        <w:rPr>
          <w:rFonts w:hint="default" w:ascii="Arial" w:hAnsi="Arial" w:eastAsia="Calibri" w:cs="Arial"/>
          <w:b/>
          <w:bCs/>
          <w:color w:val="000000"/>
          <w:sz w:val="24"/>
          <w:szCs w:val="24"/>
          <w:lang w:val="sr-Latn-ME"/>
        </w:rPr>
        <w:t>Procijenjena vrijednost predmenta nabavke:</w:t>
      </w:r>
      <w:r>
        <w:rPr>
          <w:rFonts w:hint="default" w:ascii="Arial" w:hAnsi="Arial" w:eastAsia="Calibri" w:cs="Arial"/>
          <w:b/>
          <w:bCs/>
          <w:color w:val="000000"/>
          <w:sz w:val="24"/>
          <w:szCs w:val="24"/>
          <w:vertAlign w:val="superscript"/>
          <w:lang w:val="sr-Latn-ME"/>
        </w:rPr>
        <w:footnoteReference w:id="4"/>
      </w:r>
    </w:p>
    <w:p>
      <w:pPr>
        <w:jc w:val="both"/>
        <w:rPr>
          <w:rFonts w:hint="default" w:ascii="Arial" w:hAnsi="Arial" w:eastAsia="Calibri" w:cs="Arial"/>
          <w:color w:val="000000"/>
          <w:sz w:val="24"/>
          <w:szCs w:val="24"/>
          <w:lang w:val="sr-Latn-ME"/>
        </w:rPr>
      </w:pPr>
    </w:p>
    <w:p>
      <w:pPr>
        <w:jc w:val="both"/>
        <w:rPr>
          <w:rFonts w:hint="default" w:ascii="Arial" w:hAnsi="Arial" w:eastAsia="Calibri" w:cs="Arial"/>
          <w:b/>
          <w:bCs/>
          <w:color w:val="000000"/>
          <w:sz w:val="24"/>
          <w:szCs w:val="24"/>
          <w:lang w:val="sr-Latn-ME"/>
        </w:rPr>
      </w:pPr>
      <w:r>
        <w:rPr>
          <w:rFonts w:hint="default" w:ascii="Arial" w:hAnsi="Arial" w:eastAsia="Calibri" w:cs="Arial"/>
          <w:color w:val="000000"/>
          <w:sz w:val="24"/>
          <w:szCs w:val="24"/>
          <w:lang w:val="sr-Latn-ME"/>
        </w:rPr>
        <w:sym w:font="Wingdings" w:char="F078"/>
      </w:r>
      <w:r>
        <w:rPr>
          <w:rFonts w:hint="default" w:ascii="Arial" w:hAnsi="Arial" w:eastAsia="Calibri" w:cs="Arial"/>
          <w:color w:val="000000"/>
          <w:sz w:val="24"/>
          <w:szCs w:val="24"/>
          <w:lang w:val="sr-Latn-ME"/>
        </w:rPr>
        <w:t xml:space="preserve"> </w:t>
      </w:r>
      <w:r>
        <w:rPr>
          <w:rFonts w:hint="default" w:ascii="Arial" w:hAnsi="Arial" w:eastAsia="Calibri" w:cs="Arial"/>
          <w:b/>
          <w:bCs/>
          <w:color w:val="000000"/>
          <w:sz w:val="24"/>
          <w:szCs w:val="24"/>
          <w:lang w:val="sr-Latn-ME"/>
        </w:rPr>
        <w:t>Procijenjena vrijednost predmeta nabavke bez zaključivanja okvirnog sporazuma</w:t>
      </w:r>
      <w:r>
        <w:rPr>
          <w:rFonts w:hint="default" w:ascii="Arial" w:hAnsi="Arial" w:eastAsia="Calibri" w:cs="Arial"/>
          <w:color w:val="000000"/>
          <w:sz w:val="24"/>
          <w:szCs w:val="24"/>
          <w:lang w:val="sr-Latn-ME"/>
        </w:rPr>
        <w:t>:</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78"/>
      </w:r>
      <w:r>
        <w:rPr>
          <w:rFonts w:hint="default" w:ascii="Arial" w:hAnsi="Arial" w:eastAsia="Calibri" w:cs="Arial"/>
          <w:color w:val="000000"/>
          <w:sz w:val="24"/>
          <w:szCs w:val="24"/>
          <w:lang w:val="sr-Latn-ME"/>
        </w:rPr>
        <w:t xml:space="preserve"> kao cjeline je </w:t>
      </w:r>
      <w:r>
        <w:rPr>
          <w:rFonts w:hint="default" w:ascii="Arial" w:hAnsi="Arial" w:eastAsia="Calibri" w:cs="Arial"/>
          <w:b/>
          <w:sz w:val="24"/>
          <w:szCs w:val="24"/>
          <w:lang w:val="sr-Latn-ME"/>
        </w:rPr>
        <w:t>165.250,00</w:t>
      </w:r>
      <w:r>
        <w:rPr>
          <w:rFonts w:hint="default" w:ascii="Arial" w:hAnsi="Arial" w:eastAsia="Calibri" w:cs="Arial"/>
          <w:sz w:val="24"/>
          <w:szCs w:val="24"/>
          <w:lang w:val="sr-Latn-ME"/>
        </w:rPr>
        <w:t xml:space="preserve"> </w:t>
      </w:r>
      <w:r>
        <w:rPr>
          <w:rFonts w:hint="default" w:ascii="Arial" w:hAnsi="Arial" w:eastAsia="Calibri" w:cs="Arial"/>
          <w:b/>
          <w:color w:val="000000"/>
          <w:sz w:val="24"/>
          <w:szCs w:val="24"/>
          <w:lang w:val="sr-Latn-ME"/>
        </w:rPr>
        <w:t>€</w:t>
      </w:r>
    </w:p>
    <w:p>
      <w:pPr>
        <w:jc w:val="both"/>
        <w:rPr>
          <w:rFonts w:hint="default" w:ascii="Arial" w:hAnsi="Arial" w:eastAsia="Calibri"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D9D9D9"/>
        <w:jc w:val="both"/>
        <w:rPr>
          <w:rFonts w:hint="default" w:ascii="Arial" w:hAnsi="Arial" w:eastAsia="Calibri" w:cs="Arial"/>
          <w:b/>
          <w:bCs/>
          <w:color w:val="000000"/>
          <w:sz w:val="24"/>
          <w:szCs w:val="24"/>
          <w:lang w:val="sr-Latn-ME"/>
        </w:rPr>
      </w:pPr>
      <w:r>
        <w:rPr>
          <w:rFonts w:hint="default" w:ascii="Arial" w:hAnsi="Arial" w:eastAsia="Calibri" w:cs="Arial"/>
          <w:color w:val="000000"/>
          <w:sz w:val="24"/>
          <w:szCs w:val="24"/>
          <w:lang w:val="sr-Latn-ME"/>
        </w:rPr>
        <w:t>Obrazloženje razloga zašto predmet nabavke nije podijeljen na partije:</w:t>
      </w:r>
      <w:r>
        <w:rPr>
          <w:rFonts w:hint="default" w:ascii="Arial" w:hAnsi="Arial" w:eastAsia="Calibri" w:cs="Arial"/>
          <w:color w:val="000000"/>
          <w:sz w:val="24"/>
          <w:szCs w:val="24"/>
          <w:vertAlign w:val="superscript"/>
          <w:lang w:val="sr-Latn-ME"/>
        </w:rPr>
        <w:footnoteReference w:id="5"/>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Predmet javne nabavke predstavlja jedinstvenu cjelinu i nemuguće ga je podijeliti po partijama.</w:t>
      </w:r>
    </w:p>
    <w:p>
      <w:pPr>
        <w:pBdr>
          <w:top w:val="single" w:color="auto" w:sz="4" w:space="1"/>
          <w:left w:val="single" w:color="auto" w:sz="4" w:space="4"/>
          <w:bottom w:val="single" w:color="auto" w:sz="4" w:space="1"/>
          <w:right w:val="single" w:color="auto" w:sz="4" w:space="4"/>
        </w:pBdr>
        <w:shd w:val="clear" w:color="auto" w:fill="D9D9D9"/>
        <w:rPr>
          <w:rFonts w:hint="default" w:ascii="Arial" w:hAnsi="Arial" w:eastAsia="Calibri" w:cs="Arial"/>
          <w:b/>
          <w:color w:val="000000"/>
          <w:sz w:val="24"/>
          <w:szCs w:val="24"/>
          <w:lang w:val="sr-Latn-ME"/>
        </w:rPr>
      </w:pPr>
      <w:r>
        <w:rPr>
          <w:rFonts w:hint="default" w:ascii="Arial" w:hAnsi="Arial" w:eastAsia="Calibri" w:cs="Arial"/>
          <w:b/>
          <w:color w:val="000000"/>
          <w:sz w:val="24"/>
          <w:szCs w:val="24"/>
          <w:lang w:val="sr-Latn-ME"/>
        </w:rPr>
        <w:t>ZAKLJUČIVANJE OKVIRNOG SPORAZUMA</w:t>
      </w:r>
      <w:r>
        <w:rPr>
          <w:rFonts w:hint="default" w:ascii="Arial" w:hAnsi="Arial" w:eastAsia="Calibri" w:cs="Arial"/>
          <w:b/>
          <w:color w:val="000000"/>
          <w:sz w:val="24"/>
          <w:szCs w:val="24"/>
          <w:vertAlign w:val="superscript"/>
          <w:lang w:val="sr-Latn-ME"/>
        </w:rPr>
        <w:footnoteReference w:id="6"/>
      </w:r>
    </w:p>
    <w:p>
      <w:pPr>
        <w:jc w:val="both"/>
        <w:rPr>
          <w:rFonts w:hint="default" w:ascii="Arial" w:hAnsi="Arial" w:eastAsia="Calibri"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F2F2F2"/>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Zaključiće se okvirni sporazum:</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ne</w:t>
      </w:r>
    </w:p>
    <w:p>
      <w:pPr>
        <w:pBdr>
          <w:top w:val="single" w:color="auto" w:sz="4" w:space="1"/>
          <w:left w:val="single" w:color="auto" w:sz="4" w:space="4"/>
          <w:bottom w:val="single" w:color="auto" w:sz="4" w:space="1"/>
          <w:right w:val="single" w:color="auto" w:sz="4" w:space="4"/>
        </w:pBdr>
        <w:shd w:val="clear" w:color="auto" w:fill="D9D9D9"/>
        <w:rPr>
          <w:rFonts w:hint="default" w:ascii="Arial" w:hAnsi="Arial" w:eastAsia="Calibri" w:cs="Arial"/>
          <w:b/>
          <w:sz w:val="24"/>
          <w:szCs w:val="24"/>
          <w:lang w:val="sr-Latn-ME"/>
        </w:rPr>
      </w:pPr>
      <w:r>
        <w:rPr>
          <w:rFonts w:hint="default" w:ascii="Arial" w:hAnsi="Arial" w:eastAsia="Calibri" w:cs="Arial"/>
          <w:b/>
          <w:sz w:val="24"/>
          <w:szCs w:val="24"/>
          <w:lang w:val="sr-Latn-ME"/>
        </w:rPr>
        <w:t>PONUDA SA VARIJANTAMA</w:t>
      </w:r>
    </w:p>
    <w:p>
      <w:pPr>
        <w:jc w:val="both"/>
        <w:rPr>
          <w:rFonts w:hint="default" w:ascii="Arial" w:hAnsi="Arial" w:eastAsia="Calibri" w:cs="Arial"/>
          <w:sz w:val="24"/>
          <w:szCs w:val="24"/>
          <w:lang w:val="sr-Latn-ME"/>
        </w:rPr>
      </w:pPr>
      <w:r>
        <w:rPr>
          <w:rFonts w:hint="default" w:ascii="Arial" w:hAnsi="Arial" w:eastAsia="Calibri" w:cs="Arial"/>
          <w:sz w:val="24"/>
          <w:szCs w:val="24"/>
          <w:lang w:val="sr-Latn-ME"/>
        </w:rPr>
        <w:t>Mogućnost podnošenja ponude sa varijantama</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w:t>
      </w:r>
      <w:r>
        <w:rPr>
          <w:rFonts w:hint="default" w:ascii="Arial" w:hAnsi="Arial" w:eastAsia="Calibri" w:cs="Arial"/>
          <w:sz w:val="24"/>
          <w:szCs w:val="24"/>
          <w:lang w:val="sr-Latn-ME"/>
        </w:rPr>
        <w:t>Varijante ponude nijesu dozvoljene i neće biti razmatrane.</w:t>
      </w:r>
    </w:p>
    <w:p>
      <w:pPr>
        <w:pBdr>
          <w:top w:val="single" w:color="auto" w:sz="4" w:space="1"/>
          <w:left w:val="single" w:color="auto" w:sz="4" w:space="4"/>
          <w:bottom w:val="single" w:color="auto" w:sz="4" w:space="1"/>
          <w:right w:val="single" w:color="auto" w:sz="4" w:space="4"/>
        </w:pBdr>
        <w:shd w:val="clear" w:color="auto" w:fill="D9D9D9"/>
        <w:jc w:val="both"/>
        <w:rPr>
          <w:rFonts w:hint="default" w:ascii="Arial" w:hAnsi="Arial" w:eastAsia="Calibri" w:cs="Arial"/>
          <w:b/>
          <w:bCs/>
          <w:color w:val="FF0000"/>
          <w:sz w:val="24"/>
          <w:szCs w:val="24"/>
          <w:lang w:val="sr-Latn-ME"/>
        </w:rPr>
      </w:pPr>
      <w:r>
        <w:rPr>
          <w:rFonts w:hint="default" w:ascii="Arial" w:hAnsi="Arial" w:eastAsia="Calibri" w:cs="Arial"/>
          <w:b/>
          <w:sz w:val="24"/>
          <w:szCs w:val="24"/>
          <w:lang w:val="sr-Latn-ME"/>
        </w:rPr>
        <w:t>REZERVISANA NABAVKA</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sym w:font="Wingdings" w:char="F0A8"/>
      </w:r>
      <w:r>
        <w:rPr>
          <w:rFonts w:hint="default" w:ascii="Arial" w:hAnsi="Arial" w:eastAsia="Calibri" w:cs="Arial"/>
          <w:color w:val="000000"/>
          <w:sz w:val="24"/>
          <w:szCs w:val="24"/>
          <w:lang w:val="sr-Latn-ME"/>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ind w:left="284"/>
        <w:jc w:val="both"/>
        <w:outlineLvl w:val="0"/>
        <w:rPr>
          <w:rFonts w:hint="default" w:ascii="Arial" w:hAnsi="Arial" w:eastAsia="Calibri" w:cs="Arial"/>
          <w:b/>
          <w:sz w:val="24"/>
          <w:szCs w:val="24"/>
          <w:lang w:val="sr-Latn-ME"/>
        </w:rPr>
      </w:pPr>
      <w:bookmarkStart w:id="3" w:name="_Toc62730556"/>
      <w:r>
        <w:rPr>
          <w:rFonts w:hint="default" w:ascii="Arial" w:hAnsi="Arial" w:eastAsia="Calibri" w:cs="Arial"/>
          <w:b/>
          <w:sz w:val="24"/>
          <w:szCs w:val="24"/>
          <w:lang w:val="sr-Latn-ME"/>
        </w:rPr>
        <w:t>NAČIN UTVRĐIVANJA EKVIVALENTNOSTI</w:t>
      </w:r>
      <w:bookmarkEnd w:id="3"/>
    </w:p>
    <w:p>
      <w:pPr>
        <w:jc w:val="both"/>
        <w:rPr>
          <w:rFonts w:hint="default" w:ascii="Arial" w:hAnsi="Arial" w:eastAsia="Calibri" w:cs="Arial"/>
          <w:bCs/>
          <w:color w:val="000000"/>
          <w:sz w:val="24"/>
          <w:szCs w:val="24"/>
          <w:lang w:val="sr-Latn-ME"/>
        </w:rPr>
      </w:pPr>
      <w:r>
        <w:rPr>
          <w:rFonts w:hint="default" w:ascii="Arial" w:hAnsi="Arial" w:eastAsia="Calibri" w:cs="Arial"/>
          <w:bCs/>
          <w:color w:val="000000"/>
          <w:sz w:val="24"/>
          <w:szCs w:val="24"/>
          <w:lang w:val="sr-Latn-ME"/>
        </w:rPr>
        <w:t>Način utvrđivanja ekvivalentnosti:</w:t>
      </w:r>
      <w:r>
        <w:rPr>
          <w:rFonts w:hint="default" w:ascii="Arial" w:hAnsi="Arial" w:eastAsia="Calibri" w:cs="Arial"/>
          <w:sz w:val="24"/>
          <w:szCs w:val="24"/>
          <w:lang w:val="sr-Latn-ME"/>
        </w:rPr>
        <w:t xml:space="preserve"> </w:t>
      </w:r>
      <w:r>
        <w:rPr>
          <w:rFonts w:hint="default" w:ascii="Arial" w:hAnsi="Arial" w:eastAsia="Calibri" w:cs="Arial"/>
          <w:bCs/>
          <w:color w:val="000000"/>
          <w:sz w:val="24"/>
          <w:szCs w:val="24"/>
          <w:lang w:val="sr-Latn-ME"/>
        </w:rPr>
        <w:t>-nije primjenjivo</w:t>
      </w:r>
    </w:p>
    <w:p>
      <w:pPr>
        <w:jc w:val="both"/>
        <w:rPr>
          <w:rFonts w:hint="default" w:ascii="Arial" w:hAnsi="Arial" w:eastAsia="Calibri" w:cs="Arial"/>
          <w:bCs/>
          <w:color w:val="000000"/>
          <w:sz w:val="24"/>
          <w:szCs w:val="24"/>
          <w:lang w:val="sr-Latn-ME"/>
        </w:rPr>
      </w:pPr>
    </w:p>
    <w:p>
      <w:pPr>
        <w:jc w:val="both"/>
        <w:rPr>
          <w:rFonts w:hint="default" w:ascii="Arial" w:hAnsi="Arial" w:eastAsia="Calibri" w:cs="Arial"/>
          <w:bCs/>
          <w:color w:val="000000"/>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ind w:left="284"/>
        <w:outlineLvl w:val="0"/>
        <w:rPr>
          <w:rFonts w:hint="default" w:ascii="Arial" w:hAnsi="Arial" w:eastAsia="Calibri" w:cs="Arial"/>
          <w:b/>
          <w:sz w:val="24"/>
          <w:szCs w:val="24"/>
          <w:lang w:val="sr-Latn-ME"/>
        </w:rPr>
      </w:pPr>
      <w:bookmarkStart w:id="4" w:name="_Toc62730557"/>
      <w:r>
        <w:rPr>
          <w:rFonts w:hint="default" w:ascii="Arial" w:hAnsi="Arial" w:eastAsia="Calibri" w:cs="Arial"/>
          <w:b/>
          <w:sz w:val="24"/>
          <w:szCs w:val="24"/>
          <w:lang w:val="sr-Latn-ME"/>
        </w:rPr>
        <w:t>OSNOVI ZA OBAVEZNO ISKLJUČENJE IZ POSTUPKA JAVNE NABAVKE</w:t>
      </w:r>
      <w:bookmarkEnd w:id="4"/>
    </w:p>
    <w:p>
      <w:pPr>
        <w:jc w:val="both"/>
        <w:rPr>
          <w:rFonts w:hint="default" w:ascii="Arial" w:hAnsi="Arial" w:eastAsia="Calibri" w:cs="Arial"/>
          <w:sz w:val="24"/>
          <w:szCs w:val="24"/>
          <w:lang w:val="sr-Latn-ME"/>
        </w:rPr>
      </w:pPr>
    </w:p>
    <w:p>
      <w:pPr>
        <w:rPr>
          <w:rFonts w:hint="default" w:ascii="Arial" w:hAnsi="Arial" w:eastAsia="Calibri" w:cs="Arial"/>
          <w:sz w:val="24"/>
          <w:szCs w:val="24"/>
          <w:lang w:val="sr-Latn-ME"/>
        </w:rPr>
      </w:pPr>
      <w:r>
        <w:rPr>
          <w:rFonts w:hint="default" w:ascii="Arial" w:hAnsi="Arial" w:eastAsia="Calibri" w:cs="Arial"/>
          <w:sz w:val="24"/>
          <w:szCs w:val="24"/>
          <w:lang w:val="sr-Latn-ME"/>
        </w:rPr>
        <w:t xml:space="preserve">Privredni subjekat će se isključiti iz postupka javne nabavke, ako: </w:t>
      </w:r>
    </w:p>
    <w:p>
      <w:pPr>
        <w:numPr>
          <w:ilvl w:val="0"/>
          <w:numId w:val="6"/>
        </w:numPr>
        <w:spacing w:after="0" w:line="240" w:lineRule="auto"/>
        <w:ind w:left="1080" w:hanging="360"/>
        <w:rPr>
          <w:rFonts w:hint="default" w:ascii="Arial" w:hAnsi="Arial" w:eastAsia="Calibri" w:cs="Arial"/>
          <w:sz w:val="24"/>
          <w:szCs w:val="24"/>
          <w:lang w:val="sr-Latn-ME"/>
        </w:rPr>
      </w:pPr>
      <w:bookmarkStart w:id="5" w:name="_Toc62730558"/>
      <w:r>
        <w:rPr>
          <w:rFonts w:hint="default" w:ascii="Arial" w:hAnsi="Arial" w:eastAsia="Calibri" w:cs="Arial"/>
          <w:sz w:val="24"/>
          <w:szCs w:val="24"/>
          <w:lang w:val="sr-Latn-ME"/>
        </w:rPr>
        <w:t>je vršio neprimjeren uticaj u smislu člana 38 stav 2 tačka 1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postoji sukob interesa iz člana 41 stav 1 tačka 2 ili člana 42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ne ispunjava uslov iz člana 99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ne ispunjava uslov iz čl. 102, 104 ili 106 ovog zakona predviđen tenderskom dokumentacijom;</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nije dostavio izjavu privrednog subjekta ili dostavljena izjava ne sadrži informacije i podatke tražene tenderskom dokumentacijom ili je nepravilno sačinjena;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postoji razlog na osnovu kojeg se smatra da je odustao od prijave, odnosno ponude, a koji je propisan članom 120 stav 15 ovog zakona;</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spacing w:after="0" w:line="240" w:lineRule="auto"/>
        <w:ind w:left="1080" w:hanging="360"/>
        <w:rPr>
          <w:rFonts w:hint="default" w:ascii="Arial" w:hAnsi="Arial" w:eastAsia="Calibri" w:cs="Arial"/>
          <w:sz w:val="24"/>
          <w:szCs w:val="24"/>
          <w:lang w:val="sr-Latn-ME"/>
        </w:rPr>
      </w:pPr>
      <w:r>
        <w:rPr>
          <w:rFonts w:hint="default" w:ascii="Arial" w:hAnsi="Arial" w:eastAsia="Calibri" w:cs="Arial"/>
          <w:sz w:val="24"/>
          <w:szCs w:val="24"/>
          <w:lang w:val="sr-Latn-ME"/>
        </w:rPr>
        <w:t>postoji drugi razlog propisan ovim zakonom.</w:t>
      </w:r>
    </w:p>
    <w:p>
      <w:pPr>
        <w:numPr>
          <w:ilvl w:val="0"/>
          <w:numId w:val="0"/>
        </w:numPr>
        <w:spacing w:after="0" w:line="240" w:lineRule="auto"/>
        <w:ind w:left="720" w:leftChars="0"/>
        <w:rPr>
          <w:rFonts w:hint="default" w:ascii="Arial" w:hAnsi="Arial" w:eastAsia="Calibri" w:cs="Arial"/>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ind w:left="720" w:hanging="360"/>
        <w:outlineLvl w:val="0"/>
        <w:rPr>
          <w:rFonts w:hint="default" w:ascii="Arial" w:hAnsi="Arial" w:eastAsia="Calibri" w:cs="Arial"/>
          <w:b/>
          <w:sz w:val="24"/>
          <w:szCs w:val="24"/>
          <w:lang w:val="sr-Latn-ME"/>
        </w:rPr>
      </w:pPr>
      <w:r>
        <w:rPr>
          <w:rFonts w:hint="default" w:ascii="Arial" w:hAnsi="Arial" w:eastAsia="Calibri" w:cs="Arial"/>
          <w:b/>
          <w:sz w:val="24"/>
          <w:szCs w:val="24"/>
          <w:lang w:val="sr-Latn-ME"/>
        </w:rPr>
        <w:t>SREDSTVA FINANSIJSKOG OBEZBJEĐENJA UGOVORA O JAVNOJ NABAVCI</w:t>
      </w:r>
      <w:bookmarkEnd w:id="5"/>
    </w:p>
    <w:p>
      <w:pPr>
        <w:jc w:val="both"/>
        <w:rPr>
          <w:rFonts w:hint="default" w:ascii="Arial" w:hAnsi="Arial" w:eastAsia="Calibri" w:cs="Arial"/>
          <w:color w:val="000000"/>
          <w:sz w:val="24"/>
          <w:szCs w:val="24"/>
          <w:highlight w:val="yellow"/>
          <w:lang w:val="sr-Latn-ME"/>
        </w:rPr>
      </w:pPr>
    </w:p>
    <w:p>
      <w:pPr>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Ponuđač čija ponuda bude izabrana kao najpovoljnija je dužan da uz potpisan ugovor o javnoj nabavci dostavi naručiocu:</w:t>
      </w:r>
    </w:p>
    <w:p>
      <w:pPr>
        <w:spacing w:before="240"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sym w:font="Wingdings" w:char="F078"/>
      </w:r>
      <w:r>
        <w:rPr>
          <w:rFonts w:hint="default" w:ascii="Arial" w:hAnsi="Arial" w:eastAsia="Times New Roman" w:cs="Arial"/>
          <w:color w:val="000000"/>
          <w:sz w:val="24"/>
          <w:szCs w:val="24"/>
          <w:highlight w:val="none"/>
          <w:lang w:val="sr-Latn-ME"/>
        </w:rPr>
        <w:t xml:space="preserve"> </w:t>
      </w:r>
      <w:r>
        <w:rPr>
          <w:rFonts w:hint="default" w:ascii="Arial" w:hAnsi="Arial" w:eastAsia="Times New Roman" w:cs="Arial"/>
          <w:sz w:val="24"/>
          <w:szCs w:val="24"/>
          <w:highlight w:val="none"/>
          <w:lang w:val="sr-Latn-ME"/>
        </w:rPr>
        <w:t xml:space="preserve">garanciju za dobro izvršenje ugovora za slučaj </w:t>
      </w:r>
      <w:r>
        <w:rPr>
          <w:rFonts w:hint="default" w:ascii="Arial" w:hAnsi="Arial" w:eastAsia="Times New Roman" w:cs="Arial"/>
          <w:color w:val="000000"/>
          <w:sz w:val="24"/>
          <w:szCs w:val="24"/>
          <w:highlight w:val="none"/>
          <w:lang w:val="sr-Latn-ME"/>
        </w:rPr>
        <w:t>povrede ugovorenih obaveze (ako je raskid ugovora nastao zbog neispunjenja ugovorenih obaveza natalih činjenjem ili nečinjenjem ponuđača),</w:t>
      </w:r>
      <w:r>
        <w:rPr>
          <w:rFonts w:hint="default" w:ascii="Arial" w:hAnsi="Arial" w:eastAsia="Times New Roman" w:cs="Arial"/>
          <w:sz w:val="24"/>
          <w:szCs w:val="24"/>
          <w:highlight w:val="none"/>
          <w:lang w:val="sr-Latn-ME"/>
        </w:rPr>
        <w:t xml:space="preserve"> </w:t>
      </w:r>
      <w:r>
        <w:rPr>
          <w:rFonts w:hint="default" w:ascii="Arial" w:hAnsi="Arial" w:eastAsia="Times New Roman" w:cs="Arial"/>
          <w:color w:val="000000"/>
          <w:sz w:val="24"/>
          <w:szCs w:val="24"/>
          <w:highlight w:val="none"/>
          <w:lang w:val="sr-Latn-ME"/>
        </w:rPr>
        <w:t>u iznosu od 10 % od ukupne ugovorene vrijednosti, sa rokom važenja 10 (deset) dana dužim od roka za implementaciju sistema.</w:t>
      </w:r>
    </w:p>
    <w:p>
      <w:pPr>
        <w:spacing w:before="240"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Takođe ponuđač je dužan da dostavi i :</w:t>
      </w:r>
    </w:p>
    <w:p>
      <w:pPr>
        <w:spacing w:before="240"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sym w:font="Wingdings" w:char="F078"/>
      </w:r>
      <w:r>
        <w:rPr>
          <w:rFonts w:hint="default" w:ascii="Arial" w:hAnsi="Arial" w:eastAsia="Times New Roman" w:cs="Arial"/>
          <w:color w:val="000000"/>
          <w:sz w:val="24"/>
          <w:szCs w:val="24"/>
          <w:highlight w:val="none"/>
          <w:lang w:val="sr-Latn-ME"/>
        </w:rPr>
        <w:t>garanciju za otklanjanje nedostataka u garantnom roku, za slučaj da izabrani ponuđač u garantnom roku ne ispuni obaveze na koje se garancija odnosi, u iznosu od 10 % od vrijednosti ugovora, sa rokom važenja 10 (deset) dana dužim od garantnog roka.</w:t>
      </w:r>
    </w:p>
    <w:p>
      <w:pPr>
        <w:spacing w:before="240" w:after="0" w:line="240" w:lineRule="auto"/>
        <w:jc w:val="both"/>
        <w:rPr>
          <w:rFonts w:hint="default" w:ascii="Arial" w:hAnsi="Arial" w:eastAsia="Times New Roman" w:cs="Arial"/>
          <w:color w:val="000000"/>
          <w:sz w:val="24"/>
          <w:szCs w:val="24"/>
          <w:highlight w:val="none"/>
          <w:lang w:val="sr-Latn-ME"/>
        </w:rPr>
      </w:pPr>
    </w:p>
    <w:p>
      <w:pPr>
        <w:jc w:val="both"/>
        <w:rPr>
          <w:rFonts w:hint="default" w:ascii="Arial" w:hAnsi="Arial" w:eastAsia="Calibri" w:cs="Arial"/>
          <w:sz w:val="24"/>
          <w:szCs w:val="24"/>
          <w:highlight w:val="none"/>
          <w:lang w:val="sr-Latn-ME"/>
        </w:rPr>
      </w:pPr>
      <w:r>
        <w:rPr>
          <w:rFonts w:hint="default" w:ascii="Arial" w:hAnsi="Arial" w:eastAsia="Times New Roman" w:cs="Arial"/>
          <w:color w:val="000000"/>
          <w:sz w:val="24"/>
          <w:szCs w:val="24"/>
          <w:highlight w:val="none"/>
          <w:lang w:val="sr-Latn-ME"/>
        </w:rPr>
        <w:sym w:font="Wingdings" w:char="F078"/>
      </w:r>
      <w:r>
        <w:rPr>
          <w:rFonts w:hint="default" w:ascii="Arial" w:hAnsi="Arial" w:eastAsia="Times New Roman" w:cs="Arial"/>
          <w:color w:val="000000"/>
          <w:sz w:val="24"/>
          <w:szCs w:val="24"/>
          <w:highlight w:val="none"/>
          <w:lang w:val="sr-Latn-ME"/>
        </w:rPr>
        <w:t xml:space="preserve"> Novu garanciju za  dobro izvršenje ugovora za slučaj povrede ugovorenih obaveze (ako je raskid ugovora nastao zbog neispunjenja ugovorenih obaveza natalih činjenjem ili nečinjenjem ponuđača) najkasnije 10 dana prije isteka garantnog roka od 6 mjeseci, a kao uslov za nastavak saradnje u fazi održavanja,  u iznosu od 10 % od  ugovorene vrijednosti usluga održavanja, sa rokom važenja 10 (deset) dana dužim od roka za održavanje usluga.</w:t>
      </w:r>
    </w:p>
    <w:p>
      <w:pPr>
        <w:spacing w:after="0" w:line="240" w:lineRule="auto"/>
        <w:jc w:val="both"/>
        <w:rPr>
          <w:rFonts w:hint="default" w:ascii="Arial" w:hAnsi="Arial" w:eastAsia="Times New Roman" w:cs="Arial"/>
          <w:color w:val="000000"/>
          <w:sz w:val="24"/>
          <w:szCs w:val="24"/>
          <w:lang w:val="sr-Latn-M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0" w:line="240" w:lineRule="auto"/>
        <w:ind w:hanging="630"/>
        <w:outlineLvl w:val="0"/>
        <w:rPr>
          <w:rFonts w:hint="default" w:ascii="Arial" w:hAnsi="Arial" w:eastAsia="Times New Roman" w:cs="Arial"/>
          <w:b/>
          <w:color w:val="000000"/>
          <w:sz w:val="24"/>
          <w:szCs w:val="24"/>
          <w:lang w:val="sr-Latn-ME"/>
        </w:rPr>
      </w:pPr>
      <w:bookmarkStart w:id="6" w:name="_Toc62730559"/>
      <w:r>
        <w:rPr>
          <w:rFonts w:hint="default" w:ascii="Arial" w:hAnsi="Arial" w:eastAsia="Times New Roman" w:cs="Arial"/>
          <w:b/>
          <w:sz w:val="24"/>
          <w:szCs w:val="24"/>
          <w:lang w:val="sr-Latn-ME"/>
        </w:rPr>
        <w:t>METODOLOGIJA VREDNOVANJA PONUDA</w:t>
      </w:r>
      <w:bookmarkEnd w:id="6"/>
    </w:p>
    <w:p>
      <w:pPr>
        <w:spacing w:after="0" w:line="240" w:lineRule="auto"/>
        <w:rPr>
          <w:rFonts w:hint="default" w:ascii="Arial" w:hAnsi="Arial" w:eastAsia="Times New Roman" w:cs="Arial"/>
          <w:sz w:val="24"/>
          <w:szCs w:val="24"/>
          <w:highlight w:val="yellow"/>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Naručilac će u postupku javne nabavki izabrati ekonomski najpovoljniju ponudu, primjenom pristupa isplativosti, po osnovu kriterijuma: </w:t>
      </w:r>
    </w:p>
    <w:p>
      <w:pPr>
        <w:spacing w:after="0" w:line="240" w:lineRule="auto"/>
        <w:jc w:val="both"/>
        <w:rPr>
          <w:rFonts w:hint="default" w:ascii="Arial" w:hAnsi="Arial" w:eastAsia="Times New Roman" w:cs="Arial"/>
          <w:sz w:val="24"/>
          <w:szCs w:val="24"/>
          <w:lang w:val="sr-Latn-ME"/>
        </w:rPr>
      </w:pPr>
    </w:p>
    <w:p>
      <w:pPr>
        <w:spacing w:after="0" w:line="240" w:lineRule="auto"/>
        <w:rPr>
          <w:rFonts w:hint="default" w:ascii="Arial" w:hAnsi="Arial" w:eastAsia="Times New Roman" w:cs="Arial"/>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w:t>
      </w:r>
      <w:r>
        <w:rPr>
          <w:rFonts w:hint="default" w:ascii="Arial" w:hAnsi="Arial" w:eastAsia="Times New Roman" w:cs="Arial"/>
          <w:sz w:val="24"/>
          <w:szCs w:val="24"/>
          <w:lang w:val="sr-Latn-ME"/>
        </w:rPr>
        <w:t xml:space="preserve">odnos cijene i kvaliteta </w:t>
      </w:r>
    </w:p>
    <w:p>
      <w:pPr>
        <w:jc w:val="both"/>
        <w:rPr>
          <w:rFonts w:hint="default" w:ascii="Arial" w:hAnsi="Arial" w:cs="Arial"/>
          <w:sz w:val="24"/>
          <w:szCs w:val="24"/>
          <w:lang w:val="sr-Latn-ME"/>
        </w:rPr>
      </w:pPr>
    </w:p>
    <w:p>
      <w:pPr>
        <w:jc w:val="both"/>
        <w:rPr>
          <w:rFonts w:hint="default" w:ascii="Arial" w:hAnsi="Arial" w:cs="Arial"/>
          <w:sz w:val="24"/>
          <w:szCs w:val="24"/>
          <w:lang w:val="sr-Latn-ME"/>
        </w:rPr>
      </w:pPr>
      <w:r>
        <w:rPr>
          <w:rFonts w:hint="default" w:ascii="Arial" w:hAnsi="Arial" w:cs="Arial"/>
          <w:sz w:val="24"/>
          <w:szCs w:val="24"/>
          <w:lang w:val="sr-Latn-ME"/>
        </w:rPr>
        <w:t>Naručilac se opredijelio za vrednovanje ponuda po kriterijumu odnos cijene i kvaliteta, a shodno Pravilniku o metodologiji načina vrednovanja ponuda u postupku javnih nabavki.</w:t>
      </w:r>
    </w:p>
    <w:p>
      <w:pPr>
        <w:jc w:val="both"/>
        <w:rPr>
          <w:rFonts w:hint="default" w:ascii="Arial" w:hAnsi="Arial" w:cs="Arial"/>
          <w:sz w:val="24"/>
          <w:szCs w:val="24"/>
          <w:lang w:val="sr-Latn-ME"/>
        </w:rPr>
      </w:pPr>
      <w:r>
        <w:rPr>
          <w:rFonts w:hint="default" w:ascii="Arial" w:hAnsi="Arial" w:cs="Arial"/>
          <w:sz w:val="24"/>
          <w:szCs w:val="24"/>
          <w:lang w:val="sr-Latn-ME"/>
        </w:rPr>
        <w:t>Vrednovanje će se vršiti na osnovu sljedećih parametara:</w:t>
      </w:r>
    </w:p>
    <w:p>
      <w:pPr>
        <w:ind w:left="284"/>
        <w:jc w:val="center"/>
        <w:rPr>
          <w:rFonts w:hint="default" w:ascii="Arial" w:hAnsi="Arial" w:eastAsia="Calibri" w:cs="Arial"/>
          <w:sz w:val="24"/>
          <w:szCs w:val="24"/>
          <w:lang w:val="sr-Latn-ME"/>
        </w:rPr>
      </w:pPr>
      <w:r>
        <w:rPr>
          <w:rFonts w:hint="default" w:ascii="Arial" w:hAnsi="Arial" w:eastAsia="Calibri" w:cs="Arial"/>
          <w:b/>
          <w:sz w:val="24"/>
          <w:szCs w:val="24"/>
          <w:lang w:val="sr-Latn-ME"/>
        </w:rPr>
        <w:sym w:font="Wingdings" w:char="F0FE"/>
      </w:r>
      <w:r>
        <w:rPr>
          <w:rFonts w:hint="default" w:ascii="Arial" w:hAnsi="Arial" w:eastAsia="Calibri" w:cs="Arial"/>
          <w:sz w:val="24"/>
          <w:szCs w:val="24"/>
          <w:lang w:val="sr-Latn-ME"/>
        </w:rPr>
        <w:t xml:space="preserve"> najniža ponuđena cijena (C)</w:t>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 xml:space="preserve">broj bodova  </w:t>
      </w:r>
      <w:r>
        <w:rPr>
          <w:rFonts w:hint="default" w:ascii="Arial" w:hAnsi="Arial" w:eastAsia="Calibri" w:cs="Arial"/>
          <w:sz w:val="24"/>
          <w:szCs w:val="24"/>
          <w:bdr w:val="single" w:color="auto" w:sz="4" w:space="0"/>
          <w:lang w:val="sr-Latn-ME"/>
        </w:rPr>
        <w:t xml:space="preserve">50 </w:t>
      </w:r>
    </w:p>
    <w:p>
      <w:pPr>
        <w:ind w:left="284"/>
        <w:jc w:val="center"/>
        <w:rPr>
          <w:rFonts w:hint="default" w:ascii="Arial" w:hAnsi="Arial" w:eastAsia="Calibri" w:cs="Arial"/>
          <w:sz w:val="24"/>
          <w:szCs w:val="24"/>
          <w:bdr w:val="single" w:color="auto" w:sz="4" w:space="0"/>
          <w:lang w:val="sr-Latn-ME"/>
        </w:rPr>
      </w:pPr>
      <w:r>
        <w:rPr>
          <w:rFonts w:hint="default" w:ascii="Arial" w:hAnsi="Arial" w:eastAsia="Calibri" w:cs="Arial"/>
          <w:b/>
          <w:sz w:val="24"/>
          <w:szCs w:val="24"/>
          <w:lang w:val="sr-Latn-ME"/>
        </w:rPr>
        <w:sym w:font="Wingdings" w:char="F0FE"/>
      </w:r>
      <w:r>
        <w:rPr>
          <w:rFonts w:hint="default" w:ascii="Arial" w:hAnsi="Arial" w:eastAsia="Calibri" w:cs="Arial"/>
          <w:sz w:val="24"/>
          <w:szCs w:val="24"/>
          <w:lang w:val="sr-Latn-ME"/>
        </w:rPr>
        <w:t xml:space="preserve"> kvalitet  (K)</w:t>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ab/>
      </w:r>
      <w:r>
        <w:rPr>
          <w:rFonts w:hint="default" w:ascii="Arial" w:hAnsi="Arial" w:eastAsia="Calibri" w:cs="Arial"/>
          <w:sz w:val="24"/>
          <w:szCs w:val="24"/>
          <w:lang w:val="sr-Latn-ME"/>
        </w:rPr>
        <w:t xml:space="preserve">           broj bodova  </w:t>
      </w:r>
      <w:r>
        <w:rPr>
          <w:rFonts w:hint="default" w:ascii="Arial" w:hAnsi="Arial" w:eastAsia="Calibri" w:cs="Arial"/>
          <w:sz w:val="24"/>
          <w:szCs w:val="24"/>
          <w:bdr w:val="single" w:color="auto" w:sz="4" w:space="0"/>
          <w:lang w:val="sr-Latn-ME"/>
        </w:rPr>
        <w:t>50</w:t>
      </w:r>
    </w:p>
    <w:p>
      <w:pPr>
        <w:jc w:val="both"/>
        <w:rPr>
          <w:rFonts w:hint="default" w:ascii="Arial" w:hAnsi="Arial" w:eastAsia="Calibri" w:cs="Arial"/>
          <w:b/>
          <w:sz w:val="24"/>
          <w:szCs w:val="24"/>
          <w:lang w:val="sr-Latn-ME"/>
        </w:rPr>
      </w:pPr>
      <w:r>
        <w:rPr>
          <w:rFonts w:hint="default" w:ascii="Arial" w:hAnsi="Arial" w:eastAsia="Calibri" w:cs="Arial"/>
          <w:color w:val="000000"/>
          <w:sz w:val="24"/>
          <w:szCs w:val="24"/>
          <w:lang w:val="sr-Latn-ME"/>
        </w:rPr>
        <w:sym w:font="Wingdings" w:char="F0FE"/>
      </w:r>
      <w:r>
        <w:rPr>
          <w:rFonts w:hint="default" w:ascii="Arial" w:hAnsi="Arial" w:eastAsia="Calibri" w:cs="Arial"/>
          <w:color w:val="000000"/>
          <w:sz w:val="24"/>
          <w:szCs w:val="24"/>
          <w:lang w:val="sr-Latn-ME"/>
        </w:rPr>
        <w:t xml:space="preserve"> </w:t>
      </w:r>
      <w:r>
        <w:rPr>
          <w:rFonts w:hint="default" w:ascii="Arial" w:hAnsi="Arial" w:eastAsia="Calibri" w:cs="Arial"/>
          <w:b/>
          <w:sz w:val="24"/>
          <w:szCs w:val="24"/>
          <w:lang w:val="sr-Latn-ME"/>
        </w:rPr>
        <w:t>parametar najniža ponuđena cijena vrednovaće se na sljedeći način: ukupno 50 bodova</w:t>
      </w:r>
    </w:p>
    <w:p>
      <w:pPr>
        <w:tabs>
          <w:tab w:val="left" w:pos="0"/>
        </w:tabs>
        <w:jc w:val="both"/>
        <w:rPr>
          <w:rFonts w:hint="default" w:ascii="Arial" w:hAnsi="Arial" w:eastAsia="Calibri" w:cs="Arial"/>
          <w:iCs/>
          <w:sz w:val="24"/>
          <w:szCs w:val="24"/>
          <w:lang w:val="sr-Latn-ME"/>
        </w:rPr>
      </w:pPr>
      <w:r>
        <w:rPr>
          <w:rFonts w:hint="default" w:ascii="Arial" w:hAnsi="Arial" w:eastAsia="Calibri" w:cs="Arial"/>
          <w:iCs/>
          <w:sz w:val="24"/>
          <w:szCs w:val="24"/>
          <w:lang w:val="sr-Latn-ME"/>
        </w:rPr>
        <w:t>Bodovi za parametar ponuđena cijena izračunavaju se na način što se kao osnova za vrednovanje uzima najniža ponuđena cijena, koja dobija maksimalan broj bodova.</w:t>
      </w:r>
    </w:p>
    <w:p>
      <w:pPr>
        <w:rPr>
          <w:rFonts w:hint="default" w:ascii="Arial" w:hAnsi="Arial" w:eastAsia="Calibri" w:cs="Arial"/>
          <w:sz w:val="24"/>
          <w:szCs w:val="24"/>
          <w:lang w:val="sr-Latn-ME"/>
        </w:rPr>
      </w:pPr>
      <w:r>
        <w:rPr>
          <w:rFonts w:hint="default" w:ascii="Arial" w:hAnsi="Arial" w:eastAsia="Calibri" w:cs="Arial"/>
          <w:sz w:val="24"/>
          <w:szCs w:val="24"/>
          <w:lang w:val="sr-Latn-ME"/>
        </w:rPr>
        <w:t>Maksimalno predviđeni broj bodova je 50.</w:t>
      </w:r>
    </w:p>
    <w:p>
      <w:pPr>
        <w:jc w:val="both"/>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Ponuđena cijena će se bodovati na sljedeći način:</w:t>
      </w:r>
    </w:p>
    <w:p>
      <w:pPr>
        <w:numPr>
          <w:ilvl w:val="0"/>
          <w:numId w:val="7"/>
        </w:numPr>
        <w:bidi w:val="0"/>
        <w:rPr>
          <w:rFonts w:hint="default" w:ascii="Arial" w:hAnsi="Arial" w:cs="Arial"/>
          <w:sz w:val="24"/>
          <w:szCs w:val="24"/>
          <w:lang w:val="sr-Latn-ME" w:eastAsia="zh-TW"/>
        </w:rPr>
      </w:pPr>
      <w:r>
        <w:rPr>
          <w:rFonts w:hint="default" w:ascii="Arial" w:hAnsi="Arial" w:eastAsia="PMingLiU" w:cs="Arial"/>
          <w:sz w:val="24"/>
          <w:szCs w:val="24"/>
          <w:lang w:val="sr-Latn-ME" w:eastAsia="zh-TW"/>
        </w:rPr>
        <w:t>Najniža cijena</w:t>
      </w:r>
      <w:r>
        <w:rPr>
          <w:rFonts w:hint="default" w:ascii="Arial" w:hAnsi="Arial" w:cs="Arial"/>
          <w:sz w:val="24"/>
          <w:szCs w:val="24"/>
          <w:lang w:val="sr-Latn-ME" w:eastAsia="zh-TW"/>
        </w:rPr>
        <w:t xml:space="preserve"> dobija maksimalni broj bodova </w:t>
      </w:r>
    </w:p>
    <w:p>
      <w:pPr>
        <w:numPr>
          <w:ilvl w:val="0"/>
          <w:numId w:val="7"/>
        </w:numPr>
        <w:bidi w:val="0"/>
        <w:rPr>
          <w:rFonts w:hint="default" w:ascii="Arial" w:hAnsi="Arial" w:eastAsia="PMingLiU" w:cs="Arial"/>
          <w:sz w:val="24"/>
          <w:szCs w:val="24"/>
          <w:u w:val="single"/>
          <w:lang w:val="sr-Latn-ME" w:eastAsia="zh-TW"/>
        </w:rPr>
      </w:pPr>
      <w:r>
        <w:rPr>
          <w:rFonts w:hint="default" w:ascii="Arial" w:hAnsi="Arial" w:cs="Arial"/>
          <w:sz w:val="24"/>
          <w:szCs w:val="24"/>
          <w:lang w:val="sr-Latn-ME" w:eastAsia="zh-TW"/>
        </w:rPr>
        <w:t>Ostale ponude će dobi</w:t>
      </w:r>
      <w:r>
        <w:rPr>
          <w:rFonts w:hint="default" w:ascii="Arial" w:hAnsi="Arial" w:eastAsia="PMingLiU" w:cs="Arial"/>
          <w:sz w:val="24"/>
          <w:szCs w:val="24"/>
          <w:lang w:val="sr-Latn-ME" w:eastAsia="zh-TW"/>
        </w:rPr>
        <w:t xml:space="preserve">ti bodove po sljedećoj formuli: </w:t>
      </w:r>
    </w:p>
    <w:p>
      <w:pPr>
        <w:spacing w:before="96" w:after="0" w:line="240" w:lineRule="auto"/>
        <w:ind w:left="567"/>
        <w:rPr>
          <w:rFonts w:hint="default" w:ascii="Arial" w:hAnsi="Arial" w:eastAsia="PMingLiU" w:cs="Arial"/>
          <w:sz w:val="24"/>
          <w:szCs w:val="24"/>
          <w:u w:val="single"/>
          <w:lang w:val="sr-Latn-ME" w:eastAsia="zh-TW"/>
        </w:rPr>
      </w:pPr>
      <w:r>
        <w:rPr>
          <w:rFonts w:hint="default" w:ascii="Arial" w:hAnsi="Arial" w:eastAsia="PMingLiU" w:cs="Arial"/>
          <w:sz w:val="24"/>
          <w:szCs w:val="24"/>
          <w:lang w:val="sr-Latn-ME" w:eastAsia="zh-TW"/>
        </w:rPr>
        <w:t xml:space="preserve">           C= (C</w:t>
      </w:r>
      <w:r>
        <w:rPr>
          <w:rFonts w:hint="default" w:ascii="Arial" w:hAnsi="Arial" w:eastAsia="PMingLiU" w:cs="Arial"/>
          <w:sz w:val="24"/>
          <w:szCs w:val="24"/>
          <w:vertAlign w:val="subscript"/>
          <w:lang w:val="sr-Latn-ME" w:eastAsia="zh-TW"/>
        </w:rPr>
        <w:t>min</w:t>
      </w:r>
      <w:r>
        <w:rPr>
          <w:rFonts w:hint="default" w:ascii="Arial" w:hAnsi="Arial" w:eastAsia="PMingLiU" w:cs="Arial"/>
          <w:sz w:val="24"/>
          <w:szCs w:val="24"/>
          <w:lang w:val="sr-Latn-ME" w:eastAsia="zh-TW"/>
        </w:rPr>
        <w:t>/ C</w:t>
      </w:r>
      <w:r>
        <w:rPr>
          <w:rFonts w:hint="default" w:ascii="Arial" w:hAnsi="Arial" w:eastAsia="PMingLiU" w:cs="Arial"/>
          <w:sz w:val="24"/>
          <w:szCs w:val="24"/>
          <w:vertAlign w:val="subscript"/>
          <w:lang w:val="sr-Latn-ME" w:eastAsia="zh-TW"/>
        </w:rPr>
        <w:t>p</w:t>
      </w:r>
      <w:r>
        <w:rPr>
          <w:rFonts w:hint="default" w:ascii="Arial" w:hAnsi="Arial" w:eastAsia="PMingLiU" w:cs="Arial"/>
          <w:sz w:val="24"/>
          <w:szCs w:val="24"/>
          <w:lang w:val="sr-Latn-ME" w:eastAsia="zh-TW"/>
        </w:rPr>
        <w:t>) x 50</w:t>
      </w:r>
    </w:p>
    <w:p>
      <w:pPr>
        <w:ind w:left="851"/>
        <w:jc w:val="both"/>
        <w:rPr>
          <w:rFonts w:hint="default" w:ascii="Arial" w:hAnsi="Arial" w:eastAsia="Calibri" w:cs="Arial"/>
          <w:b/>
          <w:bCs/>
          <w:i/>
          <w:iCs/>
          <w:color w:val="000000"/>
          <w:sz w:val="24"/>
          <w:szCs w:val="24"/>
          <w:lang w:val="sr-Latn-ME"/>
        </w:rPr>
      </w:pPr>
      <w:r>
        <w:rPr>
          <w:rFonts w:hint="default" w:ascii="Arial" w:hAnsi="Arial" w:eastAsia="PMingLiU" w:cs="Arial"/>
          <w:sz w:val="24"/>
          <w:szCs w:val="24"/>
          <w:lang w:val="sr-Latn-ME" w:eastAsia="zh-TW"/>
        </w:rPr>
        <w:t xml:space="preserve">      C</w:t>
      </w:r>
      <w:r>
        <w:rPr>
          <w:rFonts w:hint="default" w:ascii="Arial" w:hAnsi="Arial" w:eastAsia="PMingLiU" w:cs="Arial"/>
          <w:sz w:val="24"/>
          <w:szCs w:val="24"/>
          <w:vertAlign w:val="subscript"/>
          <w:lang w:val="sr-Latn-ME" w:eastAsia="zh-TW"/>
        </w:rPr>
        <w:t>min</w:t>
      </w:r>
      <w:r>
        <w:rPr>
          <w:rFonts w:hint="default" w:ascii="Arial" w:hAnsi="Arial" w:eastAsia="PMingLiU" w:cs="Arial"/>
          <w:sz w:val="24"/>
          <w:szCs w:val="24"/>
          <w:lang w:val="sr-Latn-ME" w:eastAsia="zh-TW"/>
        </w:rPr>
        <w:t xml:space="preserve"> – najniža ponuđena cijena </w:t>
      </w:r>
    </w:p>
    <w:p>
      <w:pPr>
        <w:ind w:left="1134"/>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 xml:space="preserve">  C</w:t>
      </w:r>
      <w:r>
        <w:rPr>
          <w:rFonts w:hint="default" w:ascii="Arial" w:hAnsi="Arial" w:eastAsia="PMingLiU" w:cs="Arial"/>
          <w:sz w:val="24"/>
          <w:szCs w:val="24"/>
          <w:vertAlign w:val="subscript"/>
          <w:lang w:val="sr-Latn-ME" w:eastAsia="zh-TW"/>
        </w:rPr>
        <w:t>p</w:t>
      </w:r>
      <w:r>
        <w:rPr>
          <w:rFonts w:hint="default"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b/>
          <w:color w:val="000000"/>
          <w:sz w:val="24"/>
          <w:szCs w:val="24"/>
          <w:highlight w:val="yellow"/>
          <w:lang w:val="sr-Latn-ME"/>
        </w:rPr>
      </w:pPr>
      <w:bookmarkStart w:id="18" w:name="_GoBack"/>
      <w:bookmarkEnd w:id="18"/>
    </w:p>
    <w:p>
      <w:pPr>
        <w:spacing w:after="0" w:line="240" w:lineRule="auto"/>
        <w:jc w:val="both"/>
        <w:rPr>
          <w:rFonts w:ascii="Arial" w:hAnsi="Arial" w:eastAsia="Calibri" w:cs="Arial"/>
          <w:b/>
          <w:sz w:val="24"/>
          <w:szCs w:val="24"/>
          <w:highlight w:val="none"/>
          <w:lang w:val="sr-Latn-ME"/>
        </w:rPr>
      </w:pPr>
      <w:r>
        <w:rPr>
          <w:rFonts w:ascii="Arial" w:hAnsi="Arial" w:eastAsia="Calibri" w:cs="Arial"/>
          <w:b/>
          <w:color w:val="000000"/>
          <w:sz w:val="24"/>
          <w:szCs w:val="24"/>
          <w:highlight w:val="none"/>
          <w:lang w:val="sr-Latn-ME"/>
        </w:rPr>
        <w:sym w:font="Wingdings" w:char="00FE"/>
      </w:r>
      <w:r>
        <w:rPr>
          <w:rFonts w:ascii="Arial" w:hAnsi="Arial" w:eastAsia="Calibri" w:cs="Arial"/>
          <w:b/>
          <w:sz w:val="24"/>
          <w:szCs w:val="24"/>
          <w:highlight w:val="none"/>
          <w:lang w:val="sr-Latn-ME"/>
        </w:rPr>
        <w:t xml:space="preserve"> parametar kvalitet (K) vrednovaće se na sljedeći način: ukupno </w:t>
      </w:r>
      <w:r>
        <w:rPr>
          <w:rFonts w:hint="default" w:ascii="Arial" w:hAnsi="Arial" w:eastAsia="Calibri" w:cs="Arial"/>
          <w:b/>
          <w:sz w:val="24"/>
          <w:szCs w:val="24"/>
          <w:highlight w:val="none"/>
          <w:lang w:val="sr-Latn-ME"/>
        </w:rPr>
        <w:t>5</w:t>
      </w:r>
      <w:r>
        <w:rPr>
          <w:rFonts w:hint="default" w:ascii="Arial" w:hAnsi="Arial" w:eastAsia="Calibri" w:cs="Arial"/>
          <w:b/>
          <w:sz w:val="24"/>
          <w:szCs w:val="24"/>
          <w:highlight w:val="none"/>
          <w:lang w:val="sr-Latn-RS"/>
        </w:rPr>
        <w:t>0</w:t>
      </w:r>
      <w:r>
        <w:rPr>
          <w:rFonts w:ascii="Arial" w:hAnsi="Arial" w:eastAsia="Calibri" w:cs="Arial"/>
          <w:b/>
          <w:sz w:val="24"/>
          <w:szCs w:val="24"/>
          <w:highlight w:val="none"/>
          <w:lang w:val="sr-Latn-ME"/>
        </w:rPr>
        <w:t xml:space="preserve"> bodova</w:t>
      </w:r>
    </w:p>
    <w:p>
      <w:pPr>
        <w:spacing w:after="0"/>
        <w:jc w:val="both"/>
        <w:rPr>
          <w:rFonts w:ascii="Arial" w:hAnsi="Arial" w:eastAsia="Calibri" w:cs="Arial"/>
          <w:b/>
          <w:sz w:val="24"/>
          <w:szCs w:val="24"/>
          <w:highlight w:val="none"/>
          <w:lang w:val="sr-Latn-ME"/>
        </w:rPr>
      </w:pPr>
    </w:p>
    <w:p>
      <w:pPr>
        <w:jc w:val="both"/>
        <w:rPr>
          <w:rFonts w:ascii="Arial" w:hAnsi="Arial" w:eastAsia="Calibri" w:cs="Arial"/>
          <w:sz w:val="24"/>
          <w:szCs w:val="24"/>
          <w:highlight w:val="none"/>
          <w:lang w:val="sr-Latn-ME"/>
        </w:rPr>
      </w:pPr>
      <w:r>
        <w:rPr>
          <w:rFonts w:ascii="Arial" w:hAnsi="Arial" w:eastAsia="Calibri" w:cs="Arial"/>
          <w:sz w:val="24"/>
          <w:szCs w:val="24"/>
          <w:highlight w:val="none"/>
          <w:lang w:val="sr-Latn-ME"/>
        </w:rPr>
        <w:t>Naručilac je u cilju vrednovanja odredio da se za parametar kvalitet uvedu dodatni elementi</w:t>
      </w:r>
      <w:r>
        <w:rPr>
          <w:rFonts w:hint="default" w:ascii="Arial" w:hAnsi="Arial" w:eastAsia="Calibri" w:cs="Arial"/>
          <w:sz w:val="24"/>
          <w:szCs w:val="24"/>
          <w:highlight w:val="none"/>
          <w:lang w:val="sr-Latn-ME"/>
        </w:rPr>
        <w:t xml:space="preserve"> -podparametri</w:t>
      </w:r>
      <w:r>
        <w:rPr>
          <w:rFonts w:ascii="Arial" w:hAnsi="Arial" w:eastAsia="Calibri" w:cs="Arial"/>
          <w:sz w:val="24"/>
          <w:szCs w:val="24"/>
          <w:highlight w:val="none"/>
          <w:lang w:val="sr-Latn-ME"/>
        </w:rPr>
        <w:t xml:space="preserve">, na način što se za svaki element </w:t>
      </w:r>
      <w:r>
        <w:rPr>
          <w:rFonts w:hint="default" w:ascii="Arial" w:hAnsi="Arial" w:eastAsia="Calibri" w:cs="Arial"/>
          <w:sz w:val="24"/>
          <w:szCs w:val="24"/>
          <w:highlight w:val="none"/>
          <w:lang w:val="sr-Latn-ME"/>
        </w:rPr>
        <w:t xml:space="preserve">-podparametar </w:t>
      </w:r>
      <w:r>
        <w:rPr>
          <w:rFonts w:ascii="Arial" w:hAnsi="Arial" w:eastAsia="Calibri" w:cs="Arial"/>
          <w:sz w:val="24"/>
          <w:szCs w:val="24"/>
          <w:highlight w:val="none"/>
          <w:lang w:val="sr-Latn-ME"/>
        </w:rPr>
        <w:t>utvrdi određeni broj bodova tako da njihov zbir daje maksimalan broj bodova predviđen po ovom parametru (</w:t>
      </w:r>
      <w:r>
        <w:rPr>
          <w:rFonts w:hint="default" w:ascii="Arial" w:hAnsi="Arial" w:eastAsia="Calibri" w:cs="Arial"/>
          <w:sz w:val="24"/>
          <w:szCs w:val="24"/>
          <w:highlight w:val="none"/>
          <w:lang w:val="sr-Latn-ME"/>
        </w:rPr>
        <w:t>5</w:t>
      </w:r>
      <w:r>
        <w:rPr>
          <w:rFonts w:ascii="Arial" w:hAnsi="Arial" w:eastAsia="Calibri" w:cs="Arial"/>
          <w:sz w:val="24"/>
          <w:szCs w:val="24"/>
          <w:highlight w:val="none"/>
          <w:lang w:val="sr-Latn-ME"/>
        </w:rPr>
        <w:t>0 bodova), i to:</w:t>
      </w:r>
    </w:p>
    <w:p>
      <w:pPr>
        <w:spacing w:after="0" w:line="256" w:lineRule="auto"/>
        <w:rPr>
          <w:rFonts w:ascii="Arial" w:hAnsi="Arial" w:eastAsia="Calibri" w:cs="Arial"/>
          <w:b/>
          <w:kern w:val="2"/>
          <w:sz w:val="24"/>
          <w:szCs w:val="24"/>
          <w:highlight w:val="none"/>
          <w14:ligatures w14:val="standardContextual"/>
        </w:rPr>
      </w:pPr>
      <w:r>
        <w:rPr>
          <w:rFonts w:ascii="Arial" w:hAnsi="Arial" w:eastAsia="Calibri" w:cs="Arial"/>
          <w:b/>
          <w:kern w:val="2"/>
          <w:sz w:val="24"/>
          <w:szCs w:val="24"/>
          <w:highlight w:val="none"/>
          <w14:ligatures w14:val="standardContextual"/>
        </w:rPr>
        <w:t xml:space="preserve">               </w:t>
      </w:r>
    </w:p>
    <w:p>
      <w:pPr>
        <w:spacing w:after="0" w:line="256" w:lineRule="auto"/>
        <w:rPr>
          <w:rFonts w:hint="default" w:ascii="Arial" w:hAnsi="Arial" w:eastAsia="Calibri" w:cs="Arial"/>
          <w:kern w:val="2"/>
          <w:sz w:val="24"/>
          <w:szCs w:val="24"/>
          <w:highlight w:val="none"/>
          <w:lang w:val="sr-Latn-ME"/>
          <w14:ligatures w14:val="standardContextual"/>
        </w:rPr>
      </w:pPr>
      <w:r>
        <w:rPr>
          <w:rFonts w:ascii="Arial" w:hAnsi="Arial" w:eastAsia="Calibri" w:cs="Arial"/>
          <w:b/>
          <w:kern w:val="2"/>
          <w:sz w:val="24"/>
          <w:szCs w:val="24"/>
          <w:highlight w:val="none"/>
          <w14:ligatures w14:val="standardContextual"/>
        </w:rPr>
        <w:t xml:space="preserve">  K = </w:t>
      </w:r>
      <w:r>
        <w:rPr>
          <w:rFonts w:hint="default" w:ascii="Arial" w:hAnsi="Arial" w:eastAsia="Calibri" w:cs="Arial"/>
          <w:b/>
          <w:kern w:val="2"/>
          <w:sz w:val="24"/>
          <w:szCs w:val="24"/>
          <w:highlight w:val="none"/>
          <w:lang w:val="sr-Latn-ME"/>
          <w14:ligatures w14:val="standardContextual"/>
        </w:rPr>
        <w:t xml:space="preserve">R </w:t>
      </w:r>
      <w:r>
        <w:rPr>
          <w:rFonts w:ascii="Arial" w:hAnsi="Arial" w:eastAsia="Calibri" w:cs="Arial"/>
          <w:b/>
          <w:kern w:val="2"/>
          <w:sz w:val="24"/>
          <w:szCs w:val="24"/>
          <w:highlight w:val="none"/>
          <w14:ligatures w14:val="standardContextual"/>
        </w:rPr>
        <w:t xml:space="preserve"> + </w:t>
      </w:r>
      <w:r>
        <w:rPr>
          <w:rFonts w:hint="default" w:ascii="Arial" w:hAnsi="Arial" w:eastAsia="Calibri" w:cs="Arial"/>
          <w:b/>
          <w:kern w:val="2"/>
          <w:sz w:val="24"/>
          <w:szCs w:val="24"/>
          <w:highlight w:val="none"/>
          <w:lang w:val="sr-Latn-ME"/>
          <w14:ligatures w14:val="standardContextual"/>
        </w:rPr>
        <w:t>S</w:t>
      </w:r>
    </w:p>
    <w:p>
      <w:pPr>
        <w:jc w:val="both"/>
        <w:rPr>
          <w:rFonts w:hint="default" w:ascii="Arial" w:hAnsi="Arial" w:eastAsia="Calibri" w:cs="Arial"/>
          <w:b/>
          <w:sz w:val="22"/>
          <w:szCs w:val="22"/>
          <w:highlight w:val="yellow"/>
          <w:lang w:val="sr-Latn-ME"/>
        </w:rPr>
      </w:pPr>
    </w:p>
    <w:p>
      <w:pPr>
        <w:spacing w:before="96" w:after="120" w:line="360" w:lineRule="atLeast"/>
        <w:jc w:val="both"/>
        <w:rPr>
          <w:rFonts w:hint="default" w:ascii="Arial" w:hAnsi="Arial" w:cs="Arial"/>
          <w:bCs/>
          <w:color w:val="000000"/>
          <w:sz w:val="22"/>
          <w:szCs w:val="22"/>
          <w:highlight w:val="yellow"/>
          <w:shd w:val="clear" w:color="auto" w:fill="FFFFFF"/>
        </w:rPr>
      </w:pPr>
    </w:p>
    <w:p>
      <w:pPr>
        <w:numPr>
          <w:ilvl w:val="0"/>
          <w:numId w:val="8"/>
        </w:numPr>
        <w:jc w:val="both"/>
        <w:rPr>
          <w:rFonts w:hint="default" w:ascii="Arial" w:hAnsi="Arial" w:cs="Arial"/>
          <w:b/>
          <w:bCs/>
          <w:color w:val="000000"/>
          <w:sz w:val="24"/>
          <w:szCs w:val="24"/>
          <w:lang w:val="sr-Latn-ME"/>
        </w:rPr>
      </w:pPr>
      <w:r>
        <w:rPr>
          <w:rFonts w:hint="default" w:ascii="Arial" w:hAnsi="Arial" w:cs="Arial"/>
          <w:b w:val="0"/>
          <w:bCs w:val="0"/>
          <w:color w:val="000000" w:themeColor="text1"/>
          <w:sz w:val="24"/>
          <w:szCs w:val="24"/>
          <w:lang w:val="sr-Latn-ME"/>
          <w14:textFill>
            <w14:solidFill>
              <w14:schemeClr w14:val="tx1"/>
            </w14:solidFill>
          </w14:textFill>
        </w:rPr>
        <w:t xml:space="preserve">Vrednovanje ponuda po osnovu </w:t>
      </w:r>
      <w:r>
        <w:rPr>
          <w:rFonts w:hint="default" w:ascii="Arial" w:hAnsi="Arial" w:cs="Arial"/>
          <w:b/>
          <w:bCs/>
          <w:color w:val="000000" w:themeColor="text1"/>
          <w:sz w:val="24"/>
          <w:szCs w:val="24"/>
          <w:lang w:val="sr-Latn-ME"/>
          <w14:textFill>
            <w14:solidFill>
              <w14:schemeClr w14:val="tx1"/>
            </w14:solidFill>
          </w14:textFill>
        </w:rPr>
        <w:t xml:space="preserve">podparametara kvaliteta </w:t>
      </w:r>
      <w:r>
        <w:rPr>
          <w:rFonts w:hint="default" w:ascii="Arial" w:hAnsi="Arial" w:cs="Arial"/>
          <w:b w:val="0"/>
          <w:bCs w:val="0"/>
          <w:color w:val="000000" w:themeColor="text1"/>
          <w:sz w:val="24"/>
          <w:szCs w:val="24"/>
          <w:lang w:val="sr-Latn-ME"/>
          <w14:textFill>
            <w14:solidFill>
              <w14:schemeClr w14:val="tx1"/>
            </w14:solidFill>
          </w14:textFill>
        </w:rPr>
        <w:t xml:space="preserve">vrši se na osnovu </w:t>
      </w:r>
      <w:r>
        <w:rPr>
          <w:rFonts w:hint="default" w:ascii="Arial" w:hAnsi="Arial" w:cs="Arial"/>
          <w:color w:val="000000" w:themeColor="text1"/>
          <w:sz w:val="24"/>
          <w:szCs w:val="24"/>
          <w:lang w:val="sr-Latn-ME"/>
          <w14:textFill>
            <w14:solidFill>
              <w14:schemeClr w14:val="tx1"/>
            </w14:solidFill>
          </w14:textFill>
        </w:rPr>
        <w:t xml:space="preserve">iskustva lica kojima će biti povjereno izvršenje predmeta nabavke, što se dokazuje dokazima nadležnog organa i/ili ovlašćene organizacije, odnosno pravnog lica o nivou okvira kvalifikacije i/ili stručne osposobljenosti lica kojima će biti povjereno izvršenje predmeta nabavke. Vrednovanje će se vršiti za ponuđene parametre iznad predviđenih minimalnih zahtjeva stručne i tehničke osposobljenosti </w:t>
      </w:r>
      <w:r>
        <w:rPr>
          <w:rFonts w:hint="default" w:ascii="Arial" w:hAnsi="Arial" w:cs="Arial"/>
          <w:bCs/>
          <w:color w:val="000000" w:themeColor="text1"/>
          <w:sz w:val="24"/>
          <w:szCs w:val="24"/>
          <w:shd w:val="clear" w:color="auto" w:fill="FFFFFF"/>
          <w:lang w:val="sr-Latn-ME"/>
          <w14:textFill>
            <w14:solidFill>
              <w14:schemeClr w14:val="tx1"/>
            </w14:solidFill>
          </w14:textFill>
        </w:rPr>
        <w:t>na osnovu referenci stručnih lica na uspješnom i blagovremenom izvršenju istih ili sličnih poslova koje su potvrđene od strane investitora, odnosno korisnika pruženih usluga tokom prethodnih 5 godina, računajući i godinu u kojoj je započet postupak nabavke.</w:t>
      </w:r>
    </w:p>
    <w:p>
      <w:pPr>
        <w:numPr>
          <w:ilvl w:val="0"/>
          <w:numId w:val="0"/>
        </w:numPr>
        <w:jc w:val="both"/>
        <w:rPr>
          <w:rFonts w:hint="default" w:ascii="Arial" w:hAnsi="Arial" w:cs="Arial"/>
          <w:b/>
          <w:bCs/>
          <w:color w:val="000000"/>
          <w:sz w:val="24"/>
          <w:szCs w:val="24"/>
          <w:lang w:val="sr-Latn-ME"/>
        </w:rPr>
      </w:pPr>
    </w:p>
    <w:p>
      <w:pPr>
        <w:jc w:val="both"/>
        <w:rPr>
          <w:rFonts w:hint="default" w:ascii="Arial" w:hAnsi="Arial" w:cs="Arial"/>
          <w:bCs/>
          <w:sz w:val="24"/>
          <w:szCs w:val="24"/>
          <w:shd w:val="clear" w:color="auto" w:fill="FFFFFF"/>
          <w:lang w:val="sr-Latn-ME"/>
        </w:rPr>
      </w:pPr>
      <w:r>
        <w:rPr>
          <w:rFonts w:hint="default" w:ascii="Arial" w:hAnsi="Arial" w:cs="Arial"/>
          <w:bCs/>
          <w:sz w:val="24"/>
          <w:szCs w:val="24"/>
          <w:shd w:val="clear" w:color="auto" w:fill="FFFFFF"/>
          <w:lang w:val="sr-Latn-ME"/>
        </w:rPr>
        <w:t>Broj bodova za ovaj parametar određuje se po formuli:</w:t>
      </w:r>
    </w:p>
    <w:p>
      <w:pPr>
        <w:jc w:val="both"/>
        <w:rPr>
          <w:rFonts w:hint="default" w:ascii="Arial" w:hAnsi="Arial" w:cs="Arial"/>
          <w:bCs/>
          <w:sz w:val="24"/>
          <w:szCs w:val="24"/>
          <w:shd w:val="clear" w:color="auto" w:fill="FFFFFF"/>
          <w:lang w:val="sr-Latn-ME"/>
        </w:rPr>
      </w:pPr>
    </w:p>
    <w:p>
      <w:pPr>
        <w:ind w:left="360"/>
        <w:contextualSpacing/>
        <w:jc w:val="center"/>
        <w:rPr>
          <w:rFonts w:hint="default" w:ascii="Arial" w:hAnsi="Arial" w:cs="Arial"/>
          <w:b/>
          <w:bCs/>
          <w:color w:val="000000"/>
          <w:sz w:val="24"/>
          <w:szCs w:val="24"/>
          <w:shd w:val="clear" w:color="auto" w:fill="FFFFFF"/>
          <w:vertAlign w:val="subscript"/>
          <w:lang w:val="sr-Latn-ME"/>
        </w:rPr>
      </w:pPr>
      <w:r>
        <w:rPr>
          <w:rFonts w:hint="default" w:ascii="Arial" w:hAnsi="Arial" w:cs="Arial"/>
          <w:b/>
          <w:bCs/>
          <w:color w:val="000000"/>
          <w:sz w:val="24"/>
          <w:szCs w:val="24"/>
          <w:shd w:val="clear" w:color="auto" w:fill="FFFFFF"/>
          <w:lang w:val="sr-Latn-ME"/>
        </w:rPr>
        <w:t>R=R1+R2+R3+R4+R5</w:t>
      </w:r>
    </w:p>
    <w:p>
      <w:pPr>
        <w:ind w:left="360"/>
        <w:contextualSpacing/>
        <w:jc w:val="center"/>
        <w:rPr>
          <w:rFonts w:hint="default" w:ascii="Arial" w:hAnsi="Arial" w:cs="Arial"/>
          <w:b/>
          <w:bCs/>
          <w:color w:val="000000"/>
          <w:sz w:val="24"/>
          <w:szCs w:val="24"/>
          <w:shd w:val="clear" w:color="auto" w:fill="FFFFFF"/>
          <w:lang w:val="sr-Latn-ME"/>
        </w:rPr>
      </w:pPr>
    </w:p>
    <w:p>
      <w:pPr>
        <w:spacing w:before="96" w:after="120" w:line="360" w:lineRule="atLeast"/>
        <w:jc w:val="both"/>
        <w:rPr>
          <w:rFonts w:hint="default" w:ascii="Arial" w:hAnsi="Arial" w:cs="Arial"/>
          <w:bCs/>
          <w:color w:val="000000"/>
          <w:sz w:val="24"/>
          <w:szCs w:val="24"/>
          <w:highlight w:val="none"/>
          <w:shd w:val="clear" w:color="auto" w:fill="FFFFFF"/>
          <w:lang w:val="sr-Latn-ME"/>
        </w:rPr>
      </w:pPr>
      <w:r>
        <w:rPr>
          <w:rFonts w:hint="default" w:ascii="Arial" w:hAnsi="Arial" w:cs="Arial"/>
          <w:bCs/>
          <w:color w:val="000000"/>
          <w:sz w:val="24"/>
          <w:szCs w:val="24"/>
          <w:highlight w:val="none"/>
          <w:shd w:val="clear" w:color="auto" w:fill="FFFFFF"/>
          <w:lang w:val="sr-Latn-ME"/>
        </w:rPr>
        <w:t xml:space="preserve">Ponude po potkriterijumu kvalitet  referenci stručnih lica vrednovaće se na osnovu </w:t>
      </w:r>
    </w:p>
    <w:p>
      <w:pPr>
        <w:pStyle w:val="10"/>
        <w:numPr>
          <w:ilvl w:val="0"/>
          <w:numId w:val="9"/>
        </w:numPr>
        <w:spacing w:before="96" w:after="120" w:line="360" w:lineRule="atLeast"/>
        <w:jc w:val="both"/>
        <w:rPr>
          <w:rFonts w:hint="default" w:ascii="Arial" w:hAnsi="Arial" w:eastAsia="Times New Roman" w:cs="Arial"/>
          <w:bCs/>
          <w:color w:val="000000"/>
          <w:sz w:val="24"/>
          <w:szCs w:val="24"/>
          <w:highlight w:val="none"/>
          <w:shd w:val="clear" w:color="auto" w:fill="FFFFFF"/>
          <w:lang w:val="sr-Latn-ME"/>
        </w:rPr>
      </w:pPr>
      <w:r>
        <w:rPr>
          <w:rFonts w:hint="default" w:ascii="Arial" w:hAnsi="Arial" w:eastAsia="Times New Roman" w:cs="Arial"/>
          <w:b/>
          <w:bCs/>
          <w:color w:val="000000"/>
          <w:sz w:val="24"/>
          <w:szCs w:val="24"/>
          <w:highlight w:val="none"/>
          <w:shd w:val="clear" w:color="auto" w:fill="FFFFFF"/>
          <w:lang w:val="sr-Latn-ME"/>
        </w:rPr>
        <w:t>R</w:t>
      </w:r>
      <w:r>
        <w:rPr>
          <w:rFonts w:hint="default" w:ascii="Arial" w:hAnsi="Arial" w:eastAsia="Times New Roman" w:cs="Arial"/>
          <w:bCs/>
          <w:color w:val="000000"/>
          <w:sz w:val="24"/>
          <w:szCs w:val="24"/>
          <w:highlight w:val="none"/>
          <w:shd w:val="clear" w:color="auto" w:fill="FFFFFF"/>
          <w:lang w:val="sr-Latn-ME"/>
        </w:rPr>
        <w:t xml:space="preserve"> - referenci stručnih lica na uspješnom i blagovremenom izvršenju istih ili sličnih poslova koje su potvrđene od strane investitora, odnosno korisnika pruženih usluga tokom prethodnih 5 godina, računajući i godinu u kojoj je započet postupak nabavke.</w:t>
      </w:r>
    </w:p>
    <w:p>
      <w:pPr>
        <w:bidi w:val="0"/>
        <w:jc w:val="both"/>
        <w:rPr>
          <w:rFonts w:hint="default" w:ascii="Arial" w:hAnsi="Arial" w:cs="Arial"/>
          <w:sz w:val="24"/>
          <w:szCs w:val="24"/>
        </w:rPr>
      </w:pPr>
      <w:r>
        <w:rPr>
          <w:rFonts w:hint="default" w:ascii="Arial" w:hAnsi="Arial" w:cs="Arial"/>
          <w:sz w:val="24"/>
          <w:szCs w:val="24"/>
          <w:lang w:val="sr-Latn-ME"/>
        </w:rPr>
        <w:t>Pod i</w:t>
      </w:r>
      <w:r>
        <w:rPr>
          <w:rFonts w:hint="default" w:ascii="Arial" w:hAnsi="Arial" w:cs="Arial"/>
          <w:sz w:val="24"/>
          <w:szCs w:val="24"/>
        </w:rPr>
        <w:t>stim poslo</w:t>
      </w:r>
      <w:r>
        <w:rPr>
          <w:rFonts w:hint="default" w:ascii="Arial" w:hAnsi="Arial" w:cs="Arial"/>
          <w:sz w:val="24"/>
          <w:szCs w:val="24"/>
          <w:lang w:val="sr-Latn-ME"/>
        </w:rPr>
        <w:t>vima</w:t>
      </w:r>
      <w:r>
        <w:rPr>
          <w:rFonts w:hint="default" w:ascii="Arial" w:hAnsi="Arial" w:cs="Arial"/>
          <w:sz w:val="24"/>
          <w:szCs w:val="24"/>
        </w:rPr>
        <w:t>, u smislu uslova privrednog subjekta, smatra se usluga razvoja i implementacije informacionog sistema koji kumulativno ispunjava sljedeće: (a) putem sistema se vrši prikaz budžetskih, fiskalnih ili drugih javnih finansijskih podataka (planirani i/ili izvršeni budžet, javni rashodi i prihodi, javne investicije ili uporedivi javni finansijski podaci); (b) sistem je javno dostupan putem interneta, namijenjen građanima i javnosti; (c) sistem obuhvata interaktivni prikaz podataka (grafikoni, kontrolne table, filtriranje, poređenje); (d) podaci se u sistem preuzimaju iz drugog informacionog sistema ili se objavljuju u mašinski čitljivom obliku.</w:t>
      </w:r>
    </w:p>
    <w:p>
      <w:pPr>
        <w:bidi w:val="0"/>
        <w:jc w:val="both"/>
        <w:rPr>
          <w:rFonts w:hint="default" w:ascii="Arial" w:hAnsi="Arial" w:cs="Arial"/>
          <w:sz w:val="24"/>
          <w:szCs w:val="24"/>
          <w:lang w:val="sr-Latn-ME"/>
        </w:rPr>
      </w:pPr>
      <w:r>
        <w:rPr>
          <w:rFonts w:hint="default" w:ascii="Arial" w:hAnsi="Arial" w:cs="Arial"/>
          <w:sz w:val="24"/>
          <w:szCs w:val="24"/>
          <w:lang w:val="sr-Latn-ME"/>
        </w:rPr>
        <w:t>Pod s</w:t>
      </w:r>
      <w:r>
        <w:rPr>
          <w:rFonts w:hint="default" w:ascii="Arial" w:hAnsi="Arial" w:cs="Arial"/>
          <w:sz w:val="24"/>
          <w:szCs w:val="24"/>
        </w:rPr>
        <w:t>ličnim poslo</w:t>
      </w:r>
      <w:r>
        <w:rPr>
          <w:rFonts w:hint="default" w:ascii="Arial" w:hAnsi="Arial" w:cs="Arial"/>
          <w:sz w:val="24"/>
          <w:szCs w:val="24"/>
          <w:lang w:val="sr-Latn-ME"/>
        </w:rPr>
        <w:t>vima</w:t>
      </w:r>
      <w:r>
        <w:rPr>
          <w:rFonts w:hint="default" w:ascii="Arial" w:hAnsi="Arial" w:cs="Arial"/>
          <w:sz w:val="24"/>
          <w:szCs w:val="24"/>
        </w:rPr>
        <w:t xml:space="preserve"> iz oblasti predmeta nabavke smatra se usluga razvoja, održavanja ili nadogradnje informacionih sistema</w:t>
      </w:r>
      <w:r>
        <w:rPr>
          <w:rFonts w:hint="default" w:ascii="Arial" w:hAnsi="Arial" w:cs="Arial"/>
          <w:sz w:val="24"/>
          <w:szCs w:val="24"/>
          <w:lang w:val="sr-Latn-ME"/>
        </w:rPr>
        <w:t>.</w:t>
      </w:r>
    </w:p>
    <w:p>
      <w:pPr>
        <w:spacing w:before="96" w:after="120" w:line="360" w:lineRule="atLeast"/>
        <w:jc w:val="both"/>
        <w:rPr>
          <w:rFonts w:hint="default" w:ascii="Arial" w:hAnsi="Arial" w:cs="Arial"/>
          <w:bCs/>
          <w:color w:val="000000"/>
          <w:sz w:val="24"/>
          <w:szCs w:val="24"/>
          <w:highlight w:val="none"/>
          <w:shd w:val="clear" w:color="auto" w:fill="FFFFFF"/>
          <w:lang w:val="sr-Latn-RS"/>
        </w:rPr>
      </w:pPr>
    </w:p>
    <w:p>
      <w:pPr>
        <w:spacing w:before="96" w:after="120" w:line="360" w:lineRule="atLeast"/>
        <w:jc w:val="both"/>
        <w:rPr>
          <w:rFonts w:hint="default" w:ascii="Arial" w:hAnsi="Arial" w:cs="Arial"/>
          <w:bCs/>
          <w:color w:val="000000"/>
          <w:sz w:val="24"/>
          <w:szCs w:val="24"/>
          <w:shd w:val="clear" w:color="auto" w:fill="FFFFFF"/>
          <w:lang w:val="sr-Latn-ME"/>
        </w:rPr>
      </w:pPr>
      <w:r>
        <w:rPr>
          <w:rFonts w:hint="default" w:ascii="Arial" w:hAnsi="Arial" w:cs="Arial"/>
          <w:bCs/>
          <w:color w:val="000000"/>
          <w:sz w:val="24"/>
          <w:szCs w:val="24"/>
          <w:shd w:val="clear" w:color="auto" w:fill="FFFFFF"/>
          <w:lang w:val="sr-Latn-ME"/>
        </w:rPr>
        <w:t xml:space="preserve">Potvrde o izvršenim uslugama sadrže opis i vrijednost predmeta nabavke na čijoj je realizaciji stručno lice bilo angažovano, vrijeme realizacije ugovora i konstataciju da su usluge blagovremeno i kvalitetno izvršen. </w:t>
      </w:r>
    </w:p>
    <w:tbl>
      <w:tblPr>
        <w:tblStyle w:val="4"/>
        <w:tblW w:w="9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680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b/>
                <w:sz w:val="24"/>
                <w:szCs w:val="24"/>
                <w:shd w:val="clear" w:color="auto" w:fill="FFFFFF"/>
                <w:lang w:val="sr-Latn-ME"/>
              </w:rPr>
            </w:pPr>
            <w:r>
              <w:rPr>
                <w:rFonts w:hint="default" w:ascii="Arial" w:hAnsi="Arial" w:eastAsia="Calibri" w:cs="Arial"/>
                <w:b/>
                <w:sz w:val="24"/>
                <w:szCs w:val="24"/>
                <w:shd w:val="clear" w:color="auto" w:fill="FFFFFF"/>
                <w:lang w:val="sr-Latn-ME"/>
              </w:rPr>
              <w:t>Oznaka</w:t>
            </w:r>
          </w:p>
        </w:tc>
        <w:tc>
          <w:tcPr>
            <w:tcW w:w="6804"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b/>
                <w:sz w:val="24"/>
                <w:szCs w:val="24"/>
                <w:shd w:val="clear" w:color="auto" w:fill="FFFFFF"/>
                <w:lang w:val="sr-Latn-ME"/>
              </w:rPr>
            </w:pPr>
            <w:r>
              <w:rPr>
                <w:rFonts w:hint="default" w:ascii="Arial" w:hAnsi="Arial" w:eastAsia="Calibri" w:cs="Arial"/>
                <w:b/>
                <w:sz w:val="24"/>
                <w:szCs w:val="24"/>
                <w:shd w:val="clear" w:color="auto" w:fill="FFFFFF"/>
                <w:lang w:val="sr-Latn-ME"/>
              </w:rPr>
              <w:t>Kvalifikacija o iskustvu lica</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b/>
                <w:sz w:val="24"/>
                <w:szCs w:val="24"/>
                <w:shd w:val="clear" w:color="auto" w:fill="FFFFFF"/>
                <w:lang w:val="sr-Latn-ME"/>
              </w:rPr>
            </w:pPr>
            <w:r>
              <w:rPr>
                <w:rFonts w:hint="default" w:ascii="Arial" w:hAnsi="Arial" w:eastAsia="Calibri" w:cs="Arial"/>
                <w:b/>
                <w:sz w:val="24"/>
                <w:szCs w:val="24"/>
                <w:shd w:val="clear" w:color="auto" w:fill="FFFFFF"/>
                <w:lang w:val="sr-Latn-ME"/>
              </w:rPr>
              <w:t>max Broj bodova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vertAlign w:val="subscript"/>
                <w:lang w:val="sr-Latn-ME"/>
              </w:rPr>
            </w:pPr>
            <w:r>
              <w:rPr>
                <w:rFonts w:hint="default" w:ascii="Arial" w:hAnsi="Arial" w:eastAsia="Calibri" w:cs="Arial"/>
                <w:sz w:val="24"/>
                <w:szCs w:val="24"/>
                <w:shd w:val="clear" w:color="auto" w:fill="FFFFFF"/>
                <w:lang w:val="sr-Latn-ME"/>
              </w:rPr>
              <w:t>R1</w:t>
            </w:r>
          </w:p>
        </w:tc>
        <w:tc>
          <w:tcPr>
            <w:tcW w:w="6804" w:type="dxa"/>
            <w:tcBorders>
              <w:top w:val="single" w:color="auto" w:sz="4" w:space="0"/>
              <w:left w:val="single" w:color="auto" w:sz="4" w:space="0"/>
              <w:bottom w:val="single" w:color="auto" w:sz="4" w:space="0"/>
              <w:right w:val="single" w:color="auto" w:sz="4" w:space="0"/>
            </w:tcBorders>
            <w:vAlign w:val="center"/>
          </w:tcPr>
          <w:p>
            <w:pPr>
              <w:rPr>
                <w:rFonts w:hint="default" w:ascii="Arial" w:hAnsi="Arial" w:cs="Arial"/>
                <w:sz w:val="24"/>
                <w:szCs w:val="24"/>
                <w:lang w:val="sr-Latn-ME"/>
              </w:rPr>
            </w:pPr>
            <w:r>
              <w:rPr>
                <w:rFonts w:hint="default" w:ascii="Arial" w:hAnsi="Arial" w:cs="Arial"/>
                <w:sz w:val="24"/>
                <w:szCs w:val="24"/>
                <w:lang w:val="sr-Latn-ME"/>
              </w:rPr>
              <w:t>Lice angažovano kao Projekt menadžer</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R2</w:t>
            </w:r>
          </w:p>
        </w:tc>
        <w:tc>
          <w:tcPr>
            <w:tcW w:w="6804" w:type="dxa"/>
            <w:tcBorders>
              <w:top w:val="single" w:color="auto" w:sz="4" w:space="0"/>
              <w:left w:val="single" w:color="auto" w:sz="4" w:space="0"/>
              <w:bottom w:val="single" w:color="auto" w:sz="4" w:space="0"/>
              <w:right w:val="single" w:color="auto" w:sz="4" w:space="0"/>
            </w:tcBorders>
            <w:vAlign w:val="center"/>
          </w:tcPr>
          <w:p>
            <w:pPr>
              <w:bidi w:val="0"/>
              <w:rPr>
                <w:rFonts w:hint="default" w:ascii="Arial" w:hAnsi="Arial" w:cs="Arial"/>
                <w:szCs w:val="24"/>
                <w:lang w:val="sr-Latn-ME"/>
              </w:rPr>
            </w:pPr>
            <w:r>
              <w:rPr>
                <w:rFonts w:hint="default" w:ascii="Arial" w:hAnsi="Arial" w:cs="Arial"/>
                <w:sz w:val="24"/>
                <w:szCs w:val="24"/>
                <w:lang w:val="sr-Latn-ME"/>
              </w:rPr>
              <w:t xml:space="preserve"> Lice angažovano kao Glavni softverski ekspert</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R3</w:t>
            </w:r>
          </w:p>
        </w:tc>
        <w:tc>
          <w:tcPr>
            <w:tcW w:w="6804" w:type="dxa"/>
            <w:tcBorders>
              <w:top w:val="single" w:color="auto" w:sz="4" w:space="0"/>
              <w:left w:val="single" w:color="auto" w:sz="4" w:space="0"/>
              <w:bottom w:val="single" w:color="auto" w:sz="4" w:space="0"/>
              <w:right w:val="single" w:color="auto" w:sz="4" w:space="0"/>
            </w:tcBorders>
            <w:vAlign w:val="center"/>
          </w:tcPr>
          <w:p>
            <w:pPr>
              <w:rPr>
                <w:rFonts w:hint="default" w:ascii="Arial" w:hAnsi="Arial" w:cs="Arial"/>
                <w:sz w:val="24"/>
                <w:szCs w:val="24"/>
                <w:lang w:val="sr-Latn-ME"/>
              </w:rPr>
            </w:pPr>
            <w:r>
              <w:rPr>
                <w:rFonts w:hint="default" w:ascii="Arial" w:hAnsi="Arial" w:cs="Arial"/>
                <w:sz w:val="24"/>
                <w:szCs w:val="24"/>
                <w:lang w:val="sr-Latn-ME"/>
              </w:rPr>
              <w:t xml:space="preserve">Lice angažovano kao Softverski ekspert </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R4</w:t>
            </w:r>
          </w:p>
        </w:tc>
        <w:tc>
          <w:tcPr>
            <w:tcW w:w="6804" w:type="dxa"/>
            <w:tcBorders>
              <w:top w:val="single" w:color="auto" w:sz="4" w:space="0"/>
              <w:left w:val="single" w:color="auto" w:sz="4" w:space="0"/>
              <w:bottom w:val="single" w:color="auto" w:sz="4" w:space="0"/>
              <w:right w:val="single" w:color="auto" w:sz="4" w:space="0"/>
            </w:tcBorders>
            <w:vAlign w:val="center"/>
          </w:tcPr>
          <w:p>
            <w:pPr>
              <w:rPr>
                <w:rFonts w:hint="default" w:ascii="Arial" w:hAnsi="Arial" w:cs="Arial"/>
                <w:sz w:val="24"/>
                <w:szCs w:val="24"/>
                <w:lang w:val="sr-Latn-ME"/>
              </w:rPr>
            </w:pPr>
            <w:r>
              <w:rPr>
                <w:rFonts w:hint="default" w:ascii="Arial" w:hAnsi="Arial" w:cs="Arial"/>
                <w:sz w:val="24"/>
                <w:szCs w:val="24"/>
                <w:lang w:val="sr-Latn-ME"/>
              </w:rPr>
              <w:t xml:space="preserve">Lice angažovano kao Softverski ekspert </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R5</w:t>
            </w:r>
          </w:p>
        </w:tc>
        <w:tc>
          <w:tcPr>
            <w:tcW w:w="6804" w:type="dxa"/>
            <w:tcBorders>
              <w:top w:val="single" w:color="auto" w:sz="4" w:space="0"/>
              <w:left w:val="single" w:color="auto" w:sz="4" w:space="0"/>
              <w:bottom w:val="single" w:color="auto" w:sz="4" w:space="0"/>
              <w:right w:val="single" w:color="auto" w:sz="4" w:space="0"/>
            </w:tcBorders>
            <w:vAlign w:val="center"/>
          </w:tcPr>
          <w:p>
            <w:pPr>
              <w:rPr>
                <w:rFonts w:hint="default" w:ascii="Arial" w:hAnsi="Arial" w:cs="Arial"/>
                <w:sz w:val="24"/>
                <w:szCs w:val="24"/>
                <w:lang w:val="sr-Latn-ME"/>
              </w:rPr>
            </w:pPr>
            <w:r>
              <w:rPr>
                <w:rFonts w:hint="default" w:ascii="Arial" w:hAnsi="Arial" w:cs="Arial"/>
                <w:sz w:val="24"/>
                <w:szCs w:val="24"/>
                <w:lang w:val="sr-Latn-ME"/>
              </w:rPr>
              <w:t xml:space="preserve">Lice angažovano kao Softverski ekspert </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hint="default" w:ascii="Arial" w:hAnsi="Arial" w:eastAsia="Calibri" w:cs="Arial"/>
                <w:sz w:val="24"/>
                <w:szCs w:val="24"/>
                <w:shd w:val="clear" w:color="auto" w:fill="FFFFFF"/>
                <w:lang w:val="sr-Latn-ME"/>
              </w:rPr>
            </w:pPr>
            <w:r>
              <w:rPr>
                <w:rFonts w:hint="default" w:ascii="Arial" w:hAnsi="Arial" w:eastAsia="Calibri" w:cs="Arial"/>
                <w:sz w:val="24"/>
                <w:szCs w:val="24"/>
                <w:shd w:val="clear" w:color="auto" w:fill="FFFFFF"/>
                <w:lang w:val="sr-Latn-ME"/>
              </w:rPr>
              <w:t>6</w:t>
            </w:r>
          </w:p>
        </w:tc>
      </w:tr>
    </w:tbl>
    <w:p>
      <w:pPr>
        <w:spacing w:before="96" w:after="120" w:line="360" w:lineRule="atLeast"/>
        <w:jc w:val="both"/>
        <w:rPr>
          <w:rFonts w:hint="default" w:ascii="Arial" w:hAnsi="Arial" w:cs="Arial"/>
          <w:bCs/>
          <w:color w:val="000000"/>
          <w:sz w:val="24"/>
          <w:szCs w:val="24"/>
          <w:shd w:val="clear" w:color="auto" w:fill="FFFFFF"/>
          <w:lang w:val="sr-Latn-ME"/>
        </w:rPr>
      </w:pP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14:ligatures w14:val="standardContextual"/>
        </w:rPr>
        <w:tab/>
      </w:r>
      <w:r>
        <w:rPr>
          <w:rFonts w:hint="default" w:ascii="Arial" w:hAnsi="Arial" w:eastAsia="Calibri" w:cs="Arial"/>
          <w:b/>
          <w:bCs/>
          <w:kern w:val="2"/>
          <w:sz w:val="24"/>
          <w:szCs w:val="24"/>
          <w:highlight w:val="none"/>
          <w14:ligatures w14:val="standardContextual"/>
        </w:rPr>
        <w:t>Princip vrednovanja R1</w:t>
      </w:r>
      <w:r>
        <w:rPr>
          <w:rFonts w:hint="default" w:ascii="Arial" w:hAnsi="Arial" w:eastAsia="Calibri" w:cs="Arial"/>
          <w:kern w:val="2"/>
          <w:sz w:val="24"/>
          <w:szCs w:val="24"/>
          <w:highlight w:val="none"/>
          <w14:ligatures w14:val="standardContextual"/>
        </w:rPr>
        <w:t xml:space="preserve"> za lice angažovano na poziciji rukovodioca projekta (Proje</w:t>
      </w:r>
      <w:r>
        <w:rPr>
          <w:rFonts w:hint="default" w:ascii="Arial" w:hAnsi="Arial" w:eastAsia="Calibri" w:cs="Arial"/>
          <w:kern w:val="2"/>
          <w:sz w:val="24"/>
          <w:szCs w:val="24"/>
          <w:highlight w:val="none"/>
          <w:lang w:val="sr-Latn-ME"/>
          <w14:ligatures w14:val="standardContextual"/>
        </w:rPr>
        <w:t>k</w:t>
      </w:r>
      <w:r>
        <w:rPr>
          <w:rFonts w:hint="default" w:ascii="Arial" w:hAnsi="Arial" w:eastAsia="Calibri" w:cs="Arial"/>
          <w:kern w:val="2"/>
          <w:sz w:val="24"/>
          <w:szCs w:val="24"/>
          <w:highlight w:val="none"/>
          <w14:ligatures w14:val="standardContextual"/>
        </w:rPr>
        <w:t xml:space="preserve">t Manager) </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Za predloženog Project managera (R1) uzeće se u razmatranje broj referenci na istim poslovima u kojima je lice bilo angažovano kao Proje</w:t>
      </w:r>
      <w:r>
        <w:rPr>
          <w:rFonts w:hint="default" w:ascii="Arial" w:hAnsi="Arial" w:eastAsia="Calibri" w:cs="Arial"/>
          <w:kern w:val="2"/>
          <w:sz w:val="24"/>
          <w:szCs w:val="24"/>
          <w:highlight w:val="none"/>
          <w:lang w:val="sr-Latn-ME"/>
          <w14:ligatures w14:val="standardContextual"/>
        </w:rPr>
        <w:t>k</w:t>
      </w:r>
      <w:r>
        <w:rPr>
          <w:rFonts w:hint="default" w:ascii="Arial" w:hAnsi="Arial" w:eastAsia="Calibri" w:cs="Arial"/>
          <w:kern w:val="2"/>
          <w:sz w:val="24"/>
          <w:szCs w:val="24"/>
          <w:highlight w:val="none"/>
          <w14:ligatures w14:val="standardContextual"/>
        </w:rPr>
        <w:t>t manager.</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Princip vrednovanja je sljedeći: Project manager koji ima najveći broj potvrđenih referenci dobija maksimalan broj bodova po ovom parametru, a vrednovanje ostalih ponuđača izvršiće se na osnovu sljedeće formule:</w:t>
      </w:r>
    </w:p>
    <w:p>
      <w:pPr>
        <w:spacing w:after="0" w:line="256" w:lineRule="auto"/>
        <w:jc w:val="both"/>
        <w:rPr>
          <w:rFonts w:hint="default" w:ascii="Arial" w:hAnsi="Arial" w:eastAsia="Calibri" w:cs="Arial"/>
          <w:kern w:val="2"/>
          <w:sz w:val="24"/>
          <w:szCs w:val="24"/>
          <w:highlight w:val="none"/>
          <w14:ligatures w14:val="standardContextual"/>
        </w:rPr>
      </w:pPr>
    </w:p>
    <w:p>
      <w:pPr>
        <w:spacing w:after="0" w:line="256" w:lineRule="auto"/>
        <w:jc w:val="both"/>
        <w:rPr>
          <w:rFonts w:hint="default" w:ascii="Arial" w:hAnsi="Arial" w:eastAsia="Calibri" w:cs="Arial"/>
          <w:kern w:val="2"/>
          <w:sz w:val="24"/>
          <w:szCs w:val="24"/>
          <w:highlight w:val="none"/>
          <w:lang w:val="sr-Latn-ME"/>
          <w14:ligatures w14:val="standardContextual"/>
        </w:rPr>
      </w:pPr>
      <w:r>
        <w:rPr>
          <w:rFonts w:hint="default" w:ascii="Arial" w:hAnsi="Arial" w:eastAsia="Calibri" w:cs="Arial"/>
          <w:kern w:val="2"/>
          <w:sz w:val="24"/>
          <w:szCs w:val="24"/>
          <w:highlight w:val="none"/>
          <w14:ligatures w14:val="standardContextual"/>
        </w:rPr>
        <w:t>Broj bodova (R1)=(broj potvrdjenih referenci )/(najveći broj potvrdjenih referenci)×</w:t>
      </w:r>
      <w:r>
        <w:rPr>
          <w:rFonts w:hint="default" w:ascii="Arial" w:hAnsi="Arial" w:eastAsia="Calibri" w:cs="Arial"/>
          <w:kern w:val="2"/>
          <w:sz w:val="24"/>
          <w:szCs w:val="24"/>
          <w:highlight w:val="none"/>
          <w:lang w:val="sr-Latn-ME"/>
          <w14:ligatures w14:val="standardContextual"/>
        </w:rPr>
        <w:t>15</w:t>
      </w:r>
    </w:p>
    <w:p>
      <w:pPr>
        <w:spacing w:after="0" w:line="256" w:lineRule="auto"/>
        <w:jc w:val="both"/>
        <w:rPr>
          <w:rFonts w:hint="default" w:ascii="Arial" w:hAnsi="Arial" w:eastAsia="Calibri" w:cs="Arial"/>
          <w:kern w:val="2"/>
          <w:sz w:val="24"/>
          <w:szCs w:val="24"/>
          <w:highlight w:val="yellow"/>
          <w14:ligatures w14:val="standardContextual"/>
        </w:rPr>
      </w:pP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ab/>
      </w:r>
      <w:r>
        <w:rPr>
          <w:rFonts w:hint="default" w:ascii="Arial" w:hAnsi="Arial" w:eastAsia="Calibri" w:cs="Arial"/>
          <w:b/>
          <w:bCs/>
          <w:kern w:val="2"/>
          <w:sz w:val="24"/>
          <w:szCs w:val="24"/>
          <w:highlight w:val="none"/>
          <w14:ligatures w14:val="standardContextual"/>
        </w:rPr>
        <w:t>Princip vrednovanja R2 lica</w:t>
      </w:r>
      <w:r>
        <w:rPr>
          <w:rFonts w:hint="default" w:ascii="Arial" w:hAnsi="Arial" w:eastAsia="Calibri" w:cs="Arial"/>
          <w:kern w:val="2"/>
          <w:sz w:val="24"/>
          <w:szCs w:val="24"/>
          <w:highlight w:val="none"/>
          <w14:ligatures w14:val="standardContextual"/>
        </w:rPr>
        <w:t xml:space="preserv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cs="Arial"/>
          <w:sz w:val="24"/>
          <w:szCs w:val="24"/>
          <w:highlight w:val="none"/>
          <w:lang w:val="sr-Latn-ME"/>
        </w:rPr>
        <w:t xml:space="preserve"> (programer, software developer, softverski inženjer i slično).</w:t>
      </w:r>
      <w:r>
        <w:rPr>
          <w:rFonts w:hint="default" w:ascii="Arial" w:hAnsi="Arial" w:eastAsia="Calibri" w:cs="Arial"/>
          <w:kern w:val="2"/>
          <w:sz w:val="24"/>
          <w:szCs w:val="24"/>
          <w:highlight w:val="none"/>
          <w:lang w:val="sr-Latn-ME"/>
          <w14:ligatures w14:val="standardContextual"/>
        </w:rPr>
        <w:t xml:space="preserve"> </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Za predloženo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(R2) uzeće se u razmatranje broj referenci na istim poslovima u kojima je lice bilo angažovano kao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Princip vrednovanja je sljedeći: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koji poseduje koji ima najveći broj potvrđenih referenci dobija maksimalan broj bodova po ovom parametru, a vrednovanje ostalih ponuđača izvršiće se na osnovu sljedeće formule:</w:t>
      </w:r>
    </w:p>
    <w:p>
      <w:pPr>
        <w:spacing w:after="0" w:line="256" w:lineRule="auto"/>
        <w:jc w:val="both"/>
        <w:rPr>
          <w:rFonts w:hint="default" w:ascii="Arial" w:hAnsi="Arial" w:eastAsia="Calibri" w:cs="Arial"/>
          <w:kern w:val="2"/>
          <w:sz w:val="24"/>
          <w:szCs w:val="24"/>
          <w:highlight w:val="none"/>
          <w14:ligatures w14:val="standardContextual"/>
        </w:rPr>
      </w:pPr>
    </w:p>
    <w:p>
      <w:pPr>
        <w:spacing w:after="0" w:line="256" w:lineRule="auto"/>
        <w:jc w:val="both"/>
        <w:rPr>
          <w:rFonts w:hint="default" w:ascii="Arial" w:hAnsi="Arial" w:eastAsia="Calibri" w:cs="Arial"/>
          <w:kern w:val="2"/>
          <w:sz w:val="24"/>
          <w:szCs w:val="24"/>
          <w:highlight w:val="none"/>
          <w:lang w:val="sr-Latn-ME"/>
          <w14:ligatures w14:val="standardContextual"/>
        </w:rPr>
      </w:pPr>
      <w:r>
        <w:rPr>
          <w:rFonts w:hint="default" w:ascii="Arial" w:hAnsi="Arial" w:eastAsia="Calibri" w:cs="Arial"/>
          <w:kern w:val="2"/>
          <w:sz w:val="24"/>
          <w:szCs w:val="24"/>
          <w:highlight w:val="none"/>
          <w14:ligatures w14:val="standardContextual"/>
        </w:rPr>
        <w:t>Broj bodova (R2)=(broj potvrdjenih referenci )/(najveći broj potvrdjenih referenci)×</w:t>
      </w:r>
      <w:r>
        <w:rPr>
          <w:rFonts w:hint="default" w:ascii="Arial" w:hAnsi="Arial" w:eastAsia="Calibri" w:cs="Arial"/>
          <w:kern w:val="2"/>
          <w:sz w:val="24"/>
          <w:szCs w:val="24"/>
          <w:highlight w:val="none"/>
          <w:lang w:val="sr-Latn-ME"/>
          <w14:ligatures w14:val="standardContextual"/>
        </w:rPr>
        <w:t>9</w:t>
      </w:r>
    </w:p>
    <w:p>
      <w:pPr>
        <w:spacing w:before="96" w:after="120" w:line="360" w:lineRule="atLeast"/>
        <w:jc w:val="both"/>
        <w:rPr>
          <w:rFonts w:hint="default" w:ascii="Arial" w:hAnsi="Arial" w:cs="Arial"/>
          <w:bCs/>
          <w:color w:val="000000"/>
          <w:sz w:val="22"/>
          <w:szCs w:val="22"/>
          <w:highlight w:val="yellow"/>
          <w:shd w:val="clear" w:color="auto" w:fill="FFFFFF"/>
        </w:rPr>
      </w:pPr>
    </w:p>
    <w:p>
      <w:pPr>
        <w:spacing w:after="0" w:line="256" w:lineRule="auto"/>
        <w:ind w:firstLine="720" w:firstLineChars="300"/>
        <w:jc w:val="both"/>
        <w:rPr>
          <w:rFonts w:hint="default" w:ascii="Arial" w:hAnsi="Arial" w:eastAsia="Calibri" w:cs="Arial"/>
          <w:kern w:val="2"/>
          <w:sz w:val="24"/>
          <w:szCs w:val="24"/>
          <w:highlight w:val="none"/>
          <w14:ligatures w14:val="standardContextual"/>
        </w:rPr>
      </w:pPr>
      <w:r>
        <w:rPr>
          <w:rFonts w:hint="default" w:ascii="Arial" w:hAnsi="Arial" w:eastAsia="Calibri" w:cs="Arial"/>
          <w:b/>
          <w:bCs/>
          <w:kern w:val="2"/>
          <w:sz w:val="24"/>
          <w:szCs w:val="24"/>
          <w:highlight w:val="none"/>
          <w14:ligatures w14:val="standardContextual"/>
        </w:rPr>
        <w:t>Princip vrednovanja R</w:t>
      </w:r>
      <w:r>
        <w:rPr>
          <w:rFonts w:hint="default" w:ascii="Arial" w:hAnsi="Arial" w:eastAsia="Calibri" w:cs="Arial"/>
          <w:b/>
          <w:bCs/>
          <w:kern w:val="2"/>
          <w:sz w:val="24"/>
          <w:szCs w:val="24"/>
          <w:highlight w:val="none"/>
          <w:lang w:val="sr-Latn-ME"/>
          <w14:ligatures w14:val="standardContextual"/>
        </w:rPr>
        <w:t>3</w:t>
      </w:r>
      <w:r>
        <w:rPr>
          <w:rFonts w:hint="default" w:ascii="Arial" w:hAnsi="Arial" w:eastAsia="Calibri" w:cs="Arial"/>
          <w:b/>
          <w:bCs/>
          <w:kern w:val="2"/>
          <w:sz w:val="24"/>
          <w:szCs w:val="24"/>
          <w:highlight w:val="none"/>
          <w14:ligatures w14:val="standardContextual"/>
        </w:rPr>
        <w:t xml:space="preserve"> lica</w:t>
      </w:r>
      <w:r>
        <w:rPr>
          <w:rFonts w:hint="default" w:ascii="Arial" w:hAnsi="Arial" w:eastAsia="Calibri" w:cs="Arial"/>
          <w:kern w:val="2"/>
          <w:sz w:val="24"/>
          <w:szCs w:val="24"/>
          <w:highlight w:val="none"/>
          <w14:ligatures w14:val="standardContextual"/>
        </w:rPr>
        <w:t xml:space="preserve"> na poziciji </w:t>
      </w:r>
      <w:r>
        <w:rPr>
          <w:rFonts w:hint="default" w:ascii="Arial" w:hAnsi="Arial" w:eastAsia="Calibri" w:cs="Arial"/>
          <w:kern w:val="2"/>
          <w:sz w:val="24"/>
          <w:szCs w:val="24"/>
          <w:highlight w:val="none"/>
          <w:lang w:val="sr-Latn-ME"/>
          <w14:ligatures w14:val="standardContextual"/>
        </w:rPr>
        <w:t xml:space="preserve"> softverski ekspert</w:t>
      </w:r>
      <w:r>
        <w:rPr>
          <w:rFonts w:hint="default" w:ascii="Arial" w:hAnsi="Arial" w:cs="Arial"/>
          <w:sz w:val="24"/>
          <w:szCs w:val="24"/>
          <w:highlight w:val="none"/>
          <w:lang w:val="sr-Latn-ME"/>
        </w:rPr>
        <w:t xml:space="preserve"> (programer, software developer, softverski inženjer i slično).</w:t>
      </w:r>
      <w:r>
        <w:rPr>
          <w:rFonts w:hint="default" w:ascii="Arial" w:hAnsi="Arial" w:eastAsia="Calibri" w:cs="Arial"/>
          <w:kern w:val="2"/>
          <w:sz w:val="24"/>
          <w:szCs w:val="24"/>
          <w:highlight w:val="none"/>
          <w:lang w:val="sr-Latn-ME"/>
          <w14:ligatures w14:val="standardContextual"/>
        </w:rPr>
        <w:t xml:space="preserve"> </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Za predloženo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(R</w:t>
      </w:r>
      <w:r>
        <w:rPr>
          <w:rFonts w:hint="default" w:ascii="Arial" w:hAnsi="Arial" w:eastAsia="Calibri" w:cs="Arial"/>
          <w:kern w:val="2"/>
          <w:sz w:val="24"/>
          <w:szCs w:val="24"/>
          <w:highlight w:val="none"/>
          <w:lang w:val="sr-Latn-ME"/>
          <w14:ligatures w14:val="standardContextual"/>
        </w:rPr>
        <w:t>3</w:t>
      </w:r>
      <w:r>
        <w:rPr>
          <w:rFonts w:hint="default" w:ascii="Arial" w:hAnsi="Arial" w:eastAsia="Calibri" w:cs="Arial"/>
          <w:kern w:val="2"/>
          <w:sz w:val="24"/>
          <w:szCs w:val="24"/>
          <w:highlight w:val="none"/>
          <w14:ligatures w14:val="standardContextual"/>
        </w:rPr>
        <w:t xml:space="preserve">) uzeće se u razmatranje broj referenci na istim poslovima u kojima je lice bilo angažovano kao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Princip vrednovanja je sljedeći: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koji poseduje koji ima najveći broj potvrđenih referenci dobija maksimalan broj bodova po ovom parametru, a vrednovanje ostalih ponuđača izvršiće se na osnovu sljedeće formule:</w:t>
      </w:r>
    </w:p>
    <w:p>
      <w:pPr>
        <w:spacing w:after="0" w:line="256" w:lineRule="auto"/>
        <w:jc w:val="both"/>
        <w:rPr>
          <w:rFonts w:hint="default" w:ascii="Arial" w:hAnsi="Arial" w:eastAsia="Calibri" w:cs="Arial"/>
          <w:kern w:val="2"/>
          <w:sz w:val="24"/>
          <w:szCs w:val="24"/>
          <w:highlight w:val="none"/>
          <w14:ligatures w14:val="standardContextual"/>
        </w:rPr>
      </w:pPr>
    </w:p>
    <w:p>
      <w:pPr>
        <w:spacing w:after="0" w:line="256" w:lineRule="auto"/>
        <w:jc w:val="both"/>
        <w:rPr>
          <w:rFonts w:hint="default" w:ascii="Arial" w:hAnsi="Arial" w:eastAsia="Calibri" w:cs="Arial"/>
          <w:kern w:val="2"/>
          <w:sz w:val="24"/>
          <w:szCs w:val="24"/>
          <w:highlight w:val="none"/>
          <w:lang w:val="sr-Latn-ME"/>
          <w14:ligatures w14:val="standardContextual"/>
        </w:rPr>
      </w:pPr>
      <w:r>
        <w:rPr>
          <w:rFonts w:hint="default" w:ascii="Arial" w:hAnsi="Arial" w:eastAsia="Calibri" w:cs="Arial"/>
          <w:kern w:val="2"/>
          <w:sz w:val="24"/>
          <w:szCs w:val="24"/>
          <w:highlight w:val="none"/>
          <w14:ligatures w14:val="standardContextual"/>
        </w:rPr>
        <w:t>Broj bodova (R</w:t>
      </w:r>
      <w:r>
        <w:rPr>
          <w:rFonts w:hint="default" w:ascii="Arial" w:hAnsi="Arial" w:eastAsia="Calibri" w:cs="Arial"/>
          <w:kern w:val="2"/>
          <w:sz w:val="24"/>
          <w:szCs w:val="24"/>
          <w:highlight w:val="none"/>
          <w:lang w:val="sr-Latn-ME"/>
          <w14:ligatures w14:val="standardContextual"/>
        </w:rPr>
        <w:t>3</w:t>
      </w:r>
      <w:r>
        <w:rPr>
          <w:rFonts w:hint="default" w:ascii="Arial" w:hAnsi="Arial" w:eastAsia="Calibri" w:cs="Arial"/>
          <w:kern w:val="2"/>
          <w:sz w:val="24"/>
          <w:szCs w:val="24"/>
          <w:highlight w:val="none"/>
          <w14:ligatures w14:val="standardContextual"/>
        </w:rPr>
        <w:t>)=(broj potvrdjenih referenci )/(najveći broj potvrdjenih referenci)×</w:t>
      </w:r>
      <w:r>
        <w:rPr>
          <w:rFonts w:hint="default" w:ascii="Arial" w:hAnsi="Arial" w:eastAsia="Calibri" w:cs="Arial"/>
          <w:kern w:val="2"/>
          <w:sz w:val="24"/>
          <w:szCs w:val="24"/>
          <w:highlight w:val="none"/>
          <w:lang w:val="sr-Latn-ME"/>
          <w14:ligatures w14:val="standardContextual"/>
        </w:rPr>
        <w:t>6</w:t>
      </w:r>
    </w:p>
    <w:p>
      <w:pPr>
        <w:spacing w:before="96" w:after="120" w:line="360" w:lineRule="atLeast"/>
        <w:jc w:val="both"/>
        <w:rPr>
          <w:rFonts w:hint="default" w:ascii="Arial" w:hAnsi="Arial" w:cs="Arial"/>
          <w:bCs/>
          <w:color w:val="000000"/>
          <w:sz w:val="22"/>
          <w:szCs w:val="22"/>
          <w:highlight w:val="yellow"/>
          <w:shd w:val="clear" w:color="auto" w:fill="FFFFFF"/>
        </w:rPr>
      </w:pPr>
    </w:p>
    <w:p>
      <w:pPr>
        <w:spacing w:after="0" w:line="256" w:lineRule="auto"/>
        <w:ind w:firstLine="720" w:firstLineChars="300"/>
        <w:jc w:val="both"/>
        <w:rPr>
          <w:rFonts w:hint="default" w:ascii="Arial" w:hAnsi="Arial" w:eastAsia="Calibri" w:cs="Arial"/>
          <w:kern w:val="2"/>
          <w:sz w:val="24"/>
          <w:szCs w:val="24"/>
          <w:highlight w:val="none"/>
          <w14:ligatures w14:val="standardContextual"/>
        </w:rPr>
      </w:pPr>
      <w:r>
        <w:rPr>
          <w:rFonts w:hint="default" w:ascii="Arial" w:hAnsi="Arial" w:eastAsia="Calibri" w:cs="Arial"/>
          <w:b/>
          <w:bCs/>
          <w:kern w:val="2"/>
          <w:sz w:val="24"/>
          <w:szCs w:val="24"/>
          <w:highlight w:val="none"/>
          <w14:ligatures w14:val="standardContextual"/>
        </w:rPr>
        <w:t>Princip vrednovanja R</w:t>
      </w:r>
      <w:r>
        <w:rPr>
          <w:rFonts w:hint="default" w:ascii="Arial" w:hAnsi="Arial" w:eastAsia="Calibri" w:cs="Arial"/>
          <w:b/>
          <w:bCs/>
          <w:kern w:val="2"/>
          <w:sz w:val="24"/>
          <w:szCs w:val="24"/>
          <w:highlight w:val="none"/>
          <w:lang w:val="sr-Latn-ME"/>
          <w14:ligatures w14:val="standardContextual"/>
        </w:rPr>
        <w:t>4</w:t>
      </w:r>
      <w:r>
        <w:rPr>
          <w:rFonts w:hint="default" w:ascii="Arial" w:hAnsi="Arial" w:eastAsia="Calibri" w:cs="Arial"/>
          <w:b/>
          <w:bCs/>
          <w:kern w:val="2"/>
          <w:sz w:val="24"/>
          <w:szCs w:val="24"/>
          <w:highlight w:val="none"/>
          <w14:ligatures w14:val="standardContextual"/>
        </w:rPr>
        <w:t xml:space="preserve"> lica</w:t>
      </w:r>
      <w:r>
        <w:rPr>
          <w:rFonts w:hint="default" w:ascii="Arial" w:hAnsi="Arial" w:eastAsia="Calibri" w:cs="Arial"/>
          <w:kern w:val="2"/>
          <w:sz w:val="24"/>
          <w:szCs w:val="24"/>
          <w:highlight w:val="none"/>
          <w14:ligatures w14:val="standardContextual"/>
        </w:rPr>
        <w:t xml:space="preserve"> na poziciji </w:t>
      </w:r>
      <w:r>
        <w:rPr>
          <w:rFonts w:hint="default" w:ascii="Arial" w:hAnsi="Arial" w:eastAsia="Calibri" w:cs="Arial"/>
          <w:kern w:val="2"/>
          <w:sz w:val="24"/>
          <w:szCs w:val="24"/>
          <w:highlight w:val="none"/>
          <w:lang w:val="sr-Latn-ME"/>
          <w14:ligatures w14:val="standardContextual"/>
        </w:rPr>
        <w:t xml:space="preserve"> softverski ekspert</w:t>
      </w:r>
      <w:r>
        <w:rPr>
          <w:rFonts w:hint="default" w:ascii="Arial" w:hAnsi="Arial" w:cs="Arial"/>
          <w:sz w:val="24"/>
          <w:szCs w:val="24"/>
          <w:highlight w:val="none"/>
          <w:lang w:val="sr-Latn-ME"/>
        </w:rPr>
        <w:t xml:space="preserve"> (programer, software developer, softverski inženjer i slično).</w:t>
      </w:r>
      <w:r>
        <w:rPr>
          <w:rFonts w:hint="default" w:ascii="Arial" w:hAnsi="Arial" w:eastAsia="Calibri" w:cs="Arial"/>
          <w:kern w:val="2"/>
          <w:sz w:val="24"/>
          <w:szCs w:val="24"/>
          <w:highlight w:val="none"/>
          <w:lang w:val="sr-Latn-ME"/>
          <w14:ligatures w14:val="standardContextual"/>
        </w:rPr>
        <w:t xml:space="preserve"> </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Za predloženo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(R</w:t>
      </w:r>
      <w:r>
        <w:rPr>
          <w:rFonts w:hint="default" w:ascii="Arial" w:hAnsi="Arial" w:eastAsia="Calibri" w:cs="Arial"/>
          <w:kern w:val="2"/>
          <w:sz w:val="24"/>
          <w:szCs w:val="24"/>
          <w:highlight w:val="none"/>
          <w:lang w:val="sr-Latn-ME"/>
          <w14:ligatures w14:val="standardContextual"/>
        </w:rPr>
        <w:t>4</w:t>
      </w:r>
      <w:r>
        <w:rPr>
          <w:rFonts w:hint="default" w:ascii="Arial" w:hAnsi="Arial" w:eastAsia="Calibri" w:cs="Arial"/>
          <w:kern w:val="2"/>
          <w:sz w:val="24"/>
          <w:szCs w:val="24"/>
          <w:highlight w:val="none"/>
          <w14:ligatures w14:val="standardContextual"/>
        </w:rPr>
        <w:t xml:space="preserve">) uzeće se u razmatranje broj referenci na istim poslovima u kojima je lice bilo angažovano kao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Princip vrednovanja je sljedeći: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koji poseduje koji ima najveći broj potvrđenih referenci dobija maksimalan broj bodova po ovom parametru, a vrednovanje ostalih ponuđača izvršiće se na osnovu sljedeće formule:</w:t>
      </w:r>
    </w:p>
    <w:p>
      <w:pPr>
        <w:spacing w:after="0" w:line="256" w:lineRule="auto"/>
        <w:jc w:val="both"/>
        <w:rPr>
          <w:rFonts w:hint="default" w:ascii="Arial" w:hAnsi="Arial" w:eastAsia="Calibri" w:cs="Arial"/>
          <w:kern w:val="2"/>
          <w:sz w:val="24"/>
          <w:szCs w:val="24"/>
          <w:highlight w:val="none"/>
          <w14:ligatures w14:val="standardContextual"/>
        </w:rPr>
      </w:pPr>
    </w:p>
    <w:p>
      <w:pPr>
        <w:spacing w:after="0" w:line="256" w:lineRule="auto"/>
        <w:jc w:val="both"/>
        <w:rPr>
          <w:rFonts w:hint="default" w:ascii="Arial" w:hAnsi="Arial" w:eastAsia="Calibri" w:cs="Arial"/>
          <w:kern w:val="2"/>
          <w:sz w:val="24"/>
          <w:szCs w:val="24"/>
          <w:highlight w:val="none"/>
          <w:lang w:val="sr-Latn-ME"/>
          <w14:ligatures w14:val="standardContextual"/>
        </w:rPr>
      </w:pPr>
      <w:r>
        <w:rPr>
          <w:rFonts w:hint="default" w:ascii="Arial" w:hAnsi="Arial" w:eastAsia="Calibri" w:cs="Arial"/>
          <w:kern w:val="2"/>
          <w:sz w:val="24"/>
          <w:szCs w:val="24"/>
          <w:highlight w:val="none"/>
          <w14:ligatures w14:val="standardContextual"/>
        </w:rPr>
        <w:t>Broj bodova (R</w:t>
      </w:r>
      <w:r>
        <w:rPr>
          <w:rFonts w:hint="default" w:ascii="Arial" w:hAnsi="Arial" w:eastAsia="Calibri" w:cs="Arial"/>
          <w:kern w:val="2"/>
          <w:sz w:val="24"/>
          <w:szCs w:val="24"/>
          <w:highlight w:val="none"/>
          <w:lang w:val="sr-Latn-ME"/>
          <w14:ligatures w14:val="standardContextual"/>
        </w:rPr>
        <w:t>4</w:t>
      </w:r>
      <w:r>
        <w:rPr>
          <w:rFonts w:hint="default" w:ascii="Arial" w:hAnsi="Arial" w:eastAsia="Calibri" w:cs="Arial"/>
          <w:kern w:val="2"/>
          <w:sz w:val="24"/>
          <w:szCs w:val="24"/>
          <w:highlight w:val="none"/>
          <w14:ligatures w14:val="standardContextual"/>
        </w:rPr>
        <w:t>)=(broj potvrdjenih referenci )/(najveći broj potvrdjenih referenci)×</w:t>
      </w:r>
      <w:r>
        <w:rPr>
          <w:rFonts w:hint="default" w:ascii="Arial" w:hAnsi="Arial" w:eastAsia="Calibri" w:cs="Arial"/>
          <w:kern w:val="2"/>
          <w:sz w:val="24"/>
          <w:szCs w:val="24"/>
          <w:highlight w:val="none"/>
          <w:lang w:val="sr-Latn-ME"/>
          <w14:ligatures w14:val="standardContextual"/>
        </w:rPr>
        <w:t>6</w:t>
      </w:r>
    </w:p>
    <w:p>
      <w:pPr>
        <w:spacing w:before="96" w:after="120" w:line="360" w:lineRule="atLeast"/>
        <w:jc w:val="both"/>
        <w:rPr>
          <w:rFonts w:hint="default" w:ascii="Arial" w:hAnsi="Arial" w:cs="Arial"/>
          <w:bCs/>
          <w:color w:val="000000"/>
          <w:sz w:val="22"/>
          <w:szCs w:val="22"/>
          <w:highlight w:val="yellow"/>
          <w:shd w:val="clear" w:color="auto" w:fill="FFFFFF"/>
        </w:rPr>
      </w:pPr>
    </w:p>
    <w:p>
      <w:pPr>
        <w:spacing w:after="0" w:line="256" w:lineRule="auto"/>
        <w:ind w:firstLine="720" w:firstLineChars="300"/>
        <w:jc w:val="both"/>
        <w:rPr>
          <w:rFonts w:hint="default" w:ascii="Arial" w:hAnsi="Arial" w:eastAsia="Calibri" w:cs="Arial"/>
          <w:kern w:val="2"/>
          <w:sz w:val="24"/>
          <w:szCs w:val="24"/>
          <w:highlight w:val="none"/>
          <w14:ligatures w14:val="standardContextual"/>
        </w:rPr>
      </w:pPr>
      <w:r>
        <w:rPr>
          <w:rFonts w:hint="default" w:ascii="Arial" w:hAnsi="Arial" w:eastAsia="Calibri" w:cs="Arial"/>
          <w:b/>
          <w:bCs/>
          <w:kern w:val="2"/>
          <w:sz w:val="24"/>
          <w:szCs w:val="24"/>
          <w:highlight w:val="none"/>
          <w14:ligatures w14:val="standardContextual"/>
        </w:rPr>
        <w:t>Princip vrednovanja R</w:t>
      </w:r>
      <w:r>
        <w:rPr>
          <w:rFonts w:hint="default" w:ascii="Arial" w:hAnsi="Arial" w:eastAsia="Calibri" w:cs="Arial"/>
          <w:b/>
          <w:bCs/>
          <w:kern w:val="2"/>
          <w:sz w:val="24"/>
          <w:szCs w:val="24"/>
          <w:highlight w:val="none"/>
          <w:lang w:val="sr-Latn-ME"/>
          <w14:ligatures w14:val="standardContextual"/>
        </w:rPr>
        <w:t>5</w:t>
      </w:r>
      <w:r>
        <w:rPr>
          <w:rFonts w:hint="default" w:ascii="Arial" w:hAnsi="Arial" w:eastAsia="Calibri" w:cs="Arial"/>
          <w:b/>
          <w:bCs/>
          <w:kern w:val="2"/>
          <w:sz w:val="24"/>
          <w:szCs w:val="24"/>
          <w:highlight w:val="none"/>
          <w14:ligatures w14:val="standardContextual"/>
        </w:rPr>
        <w:t xml:space="preserve"> lica</w:t>
      </w:r>
      <w:r>
        <w:rPr>
          <w:rFonts w:hint="default" w:ascii="Arial" w:hAnsi="Arial" w:eastAsia="Calibri" w:cs="Arial"/>
          <w:kern w:val="2"/>
          <w:sz w:val="24"/>
          <w:szCs w:val="24"/>
          <w:highlight w:val="none"/>
          <w14:ligatures w14:val="standardContextual"/>
        </w:rPr>
        <w:t xml:space="preserve"> na poziciji </w:t>
      </w:r>
      <w:r>
        <w:rPr>
          <w:rFonts w:hint="default" w:ascii="Arial" w:hAnsi="Arial" w:eastAsia="Calibri" w:cs="Arial"/>
          <w:kern w:val="2"/>
          <w:sz w:val="24"/>
          <w:szCs w:val="24"/>
          <w:highlight w:val="none"/>
          <w:lang w:val="sr-Latn-ME"/>
          <w14:ligatures w14:val="standardContextual"/>
        </w:rPr>
        <w:t xml:space="preserve"> softverski ekspert</w:t>
      </w:r>
      <w:r>
        <w:rPr>
          <w:rFonts w:hint="default" w:ascii="Arial" w:hAnsi="Arial" w:cs="Arial"/>
          <w:sz w:val="24"/>
          <w:szCs w:val="24"/>
          <w:highlight w:val="none"/>
          <w:lang w:val="sr-Latn-ME"/>
        </w:rPr>
        <w:t xml:space="preserve"> (programer, software developer, softverski inženjer i slično).</w:t>
      </w:r>
      <w:r>
        <w:rPr>
          <w:rFonts w:hint="default" w:ascii="Arial" w:hAnsi="Arial" w:eastAsia="Calibri" w:cs="Arial"/>
          <w:kern w:val="2"/>
          <w:sz w:val="24"/>
          <w:szCs w:val="24"/>
          <w:highlight w:val="none"/>
          <w:lang w:val="sr-Latn-ME"/>
          <w14:ligatures w14:val="standardContextual"/>
        </w:rPr>
        <w:t xml:space="preserve"> </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Za predloženo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(R</w:t>
      </w:r>
      <w:r>
        <w:rPr>
          <w:rFonts w:hint="default" w:ascii="Arial" w:hAnsi="Arial" w:eastAsia="Calibri" w:cs="Arial"/>
          <w:kern w:val="2"/>
          <w:sz w:val="24"/>
          <w:szCs w:val="24"/>
          <w:highlight w:val="none"/>
          <w:lang w:val="sr-Latn-ME"/>
          <w14:ligatures w14:val="standardContextual"/>
        </w:rPr>
        <w:t>5</w:t>
      </w:r>
      <w:r>
        <w:rPr>
          <w:rFonts w:hint="default" w:ascii="Arial" w:hAnsi="Arial" w:eastAsia="Calibri" w:cs="Arial"/>
          <w:kern w:val="2"/>
          <w:sz w:val="24"/>
          <w:szCs w:val="24"/>
          <w:highlight w:val="none"/>
          <w14:ligatures w14:val="standardContextual"/>
        </w:rPr>
        <w:t xml:space="preserve">) uzeće se u razmatranje broj referenci na istim poslovima u kojima je lice bilo angažovano kao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w:t>
      </w:r>
    </w:p>
    <w:p>
      <w:pPr>
        <w:spacing w:after="0" w:line="256" w:lineRule="auto"/>
        <w:jc w:val="both"/>
        <w:rPr>
          <w:rFonts w:hint="default" w:ascii="Arial" w:hAnsi="Arial" w:eastAsia="Calibri" w:cs="Arial"/>
          <w:kern w:val="2"/>
          <w:sz w:val="24"/>
          <w:szCs w:val="24"/>
          <w:highlight w:val="none"/>
          <w14:ligatures w14:val="standardContextual"/>
        </w:rPr>
      </w:pPr>
      <w:r>
        <w:rPr>
          <w:rFonts w:hint="default" w:ascii="Arial" w:hAnsi="Arial" w:eastAsia="Calibri" w:cs="Arial"/>
          <w:kern w:val="2"/>
          <w:sz w:val="24"/>
          <w:szCs w:val="24"/>
          <w:highlight w:val="none"/>
          <w14:ligatures w14:val="standardContextual"/>
        </w:rPr>
        <w:t xml:space="preserve">Princip vrednovanja je sljedeći: lice na poziciji </w:t>
      </w:r>
      <w:r>
        <w:rPr>
          <w:rFonts w:hint="default" w:ascii="Arial" w:hAnsi="Arial" w:eastAsia="Calibri" w:cs="Arial"/>
          <w:kern w:val="2"/>
          <w:sz w:val="24"/>
          <w:szCs w:val="24"/>
          <w:highlight w:val="none"/>
          <w:lang w:val="sr-Latn-ME"/>
          <w14:ligatures w14:val="standardContextual"/>
        </w:rPr>
        <w:t>glavni softverski ekspert</w:t>
      </w:r>
      <w:r>
        <w:rPr>
          <w:rFonts w:hint="default" w:ascii="Arial" w:hAnsi="Arial" w:eastAsia="Calibri" w:cs="Arial"/>
          <w:kern w:val="2"/>
          <w:sz w:val="24"/>
          <w:szCs w:val="24"/>
          <w:highlight w:val="none"/>
          <w14:ligatures w14:val="standardContextual"/>
        </w:rPr>
        <w:t xml:space="preserve"> koji poseduje koji ima najveći broj potvrđenih referenci dobija maksimalan broj bodova po ovom parametru, a vrednovanje ostalih ponuđača izvršiće se na osnovu sljedeće formule:</w:t>
      </w:r>
    </w:p>
    <w:p>
      <w:pPr>
        <w:spacing w:after="0" w:line="256" w:lineRule="auto"/>
        <w:jc w:val="both"/>
        <w:rPr>
          <w:rFonts w:hint="default" w:ascii="Arial" w:hAnsi="Arial" w:eastAsia="Calibri" w:cs="Arial"/>
          <w:kern w:val="2"/>
          <w:sz w:val="24"/>
          <w:szCs w:val="24"/>
          <w:highlight w:val="none"/>
          <w14:ligatures w14:val="standardContextual"/>
        </w:rPr>
      </w:pPr>
    </w:p>
    <w:p>
      <w:pPr>
        <w:spacing w:after="0" w:line="256" w:lineRule="auto"/>
        <w:jc w:val="both"/>
        <w:rPr>
          <w:rFonts w:hint="default" w:ascii="Arial" w:hAnsi="Arial" w:eastAsia="Calibri" w:cs="Arial"/>
          <w:kern w:val="2"/>
          <w:sz w:val="24"/>
          <w:szCs w:val="24"/>
          <w:highlight w:val="none"/>
          <w:lang w:val="sr-Latn-ME"/>
          <w14:ligatures w14:val="standardContextual"/>
        </w:rPr>
      </w:pPr>
      <w:r>
        <w:rPr>
          <w:rFonts w:hint="default" w:ascii="Arial" w:hAnsi="Arial" w:eastAsia="Calibri" w:cs="Arial"/>
          <w:kern w:val="2"/>
          <w:sz w:val="24"/>
          <w:szCs w:val="24"/>
          <w:highlight w:val="none"/>
          <w14:ligatures w14:val="standardContextual"/>
        </w:rPr>
        <w:t>Broj bodova (R</w:t>
      </w:r>
      <w:r>
        <w:rPr>
          <w:rFonts w:hint="default" w:ascii="Arial" w:hAnsi="Arial" w:eastAsia="Calibri" w:cs="Arial"/>
          <w:kern w:val="2"/>
          <w:sz w:val="24"/>
          <w:szCs w:val="24"/>
          <w:highlight w:val="none"/>
          <w:lang w:val="sr-Latn-ME"/>
          <w14:ligatures w14:val="standardContextual"/>
        </w:rPr>
        <w:t>5</w:t>
      </w:r>
      <w:r>
        <w:rPr>
          <w:rFonts w:hint="default" w:ascii="Arial" w:hAnsi="Arial" w:eastAsia="Calibri" w:cs="Arial"/>
          <w:kern w:val="2"/>
          <w:sz w:val="24"/>
          <w:szCs w:val="24"/>
          <w:highlight w:val="none"/>
          <w14:ligatures w14:val="standardContextual"/>
        </w:rPr>
        <w:t>)=(broj potvrdjenih referenci )/(najveći broj potvrdjenih referenci)×</w:t>
      </w:r>
      <w:r>
        <w:rPr>
          <w:rFonts w:hint="default" w:ascii="Arial" w:hAnsi="Arial" w:eastAsia="Calibri" w:cs="Arial"/>
          <w:kern w:val="2"/>
          <w:sz w:val="24"/>
          <w:szCs w:val="24"/>
          <w:highlight w:val="none"/>
          <w:lang w:val="sr-Latn-ME"/>
          <w14:ligatures w14:val="standardContextual"/>
        </w:rPr>
        <w:t>6</w:t>
      </w:r>
    </w:p>
    <w:p>
      <w:pPr>
        <w:spacing w:before="96" w:after="120" w:line="360" w:lineRule="atLeast"/>
        <w:jc w:val="both"/>
        <w:rPr>
          <w:rFonts w:hint="default" w:ascii="Arial" w:hAnsi="Arial" w:cs="Arial"/>
          <w:bCs/>
          <w:color w:val="000000"/>
          <w:sz w:val="22"/>
          <w:szCs w:val="22"/>
          <w:highlight w:val="yellow"/>
          <w:shd w:val="clear" w:color="auto" w:fill="FFFFFF"/>
        </w:rPr>
      </w:pPr>
    </w:p>
    <w:p>
      <w:pPr>
        <w:numPr>
          <w:ilvl w:val="0"/>
          <w:numId w:val="8"/>
        </w:numPr>
        <w:spacing w:before="96" w:after="120" w:line="360" w:lineRule="atLeast"/>
        <w:ind w:left="0" w:leftChars="0" w:firstLine="0" w:firstLineChars="0"/>
        <w:jc w:val="both"/>
        <w:rPr>
          <w:rFonts w:hint="default" w:ascii="Arial" w:hAnsi="Arial" w:cs="Arial"/>
          <w:b/>
          <w:bCs w:val="0"/>
          <w:color w:val="000000"/>
          <w:sz w:val="24"/>
          <w:szCs w:val="24"/>
          <w:highlight w:val="none"/>
          <w:shd w:val="clear" w:color="auto" w:fill="FFFFFF"/>
          <w:lang w:val="sr-Latn-ME"/>
        </w:rPr>
      </w:pPr>
      <w:r>
        <w:rPr>
          <w:rFonts w:hint="default" w:ascii="Arial" w:hAnsi="Arial" w:cs="Arial"/>
          <w:b/>
          <w:bCs w:val="0"/>
          <w:color w:val="000000"/>
          <w:sz w:val="24"/>
          <w:szCs w:val="24"/>
          <w:highlight w:val="none"/>
          <w:shd w:val="clear" w:color="auto" w:fill="FFFFFF"/>
          <w:lang w:val="sr-Latn-ME"/>
        </w:rPr>
        <w:t xml:space="preserve">Podparametar odgovarajući ISO sertifikati </w:t>
      </w:r>
    </w:p>
    <w:p>
      <w:pPr>
        <w:numPr>
          <w:ilvl w:val="0"/>
          <w:numId w:val="0"/>
        </w:numPr>
        <w:spacing w:before="96" w:after="120" w:line="360" w:lineRule="atLeast"/>
        <w:ind w:leftChars="0"/>
        <w:jc w:val="both"/>
        <w:rPr>
          <w:rFonts w:hint="default" w:ascii="Arial" w:hAnsi="Arial" w:cs="Arial"/>
          <w:b/>
          <w:bCs w:val="0"/>
          <w:color w:val="000000"/>
          <w:sz w:val="24"/>
          <w:szCs w:val="24"/>
          <w:highlight w:val="yellow"/>
          <w:shd w:val="clear" w:color="auto" w:fill="FFFFFF"/>
          <w:lang w:val="sr-Latn-ME"/>
        </w:rPr>
      </w:pPr>
    </w:p>
    <w:p>
      <w:pPr>
        <w:jc w:val="both"/>
        <w:rPr>
          <w:rFonts w:hint="default" w:ascii="Arial" w:hAnsi="Arial" w:cs="Arial"/>
          <w:bCs/>
          <w:sz w:val="24"/>
          <w:szCs w:val="24"/>
          <w:shd w:val="clear" w:color="auto" w:fill="FFFFFF"/>
          <w:lang w:val="sr-Latn-ME"/>
        </w:rPr>
      </w:pPr>
      <w:r>
        <w:rPr>
          <w:rFonts w:hint="default" w:ascii="Arial" w:hAnsi="Arial" w:cs="Arial"/>
          <w:bCs/>
          <w:sz w:val="24"/>
          <w:szCs w:val="24"/>
          <w:shd w:val="clear" w:color="auto" w:fill="FFFFFF"/>
          <w:lang w:val="sr-Latn-ME"/>
        </w:rPr>
        <w:t>Broj bodova za ovaj parametar određuje se po formuli:</w:t>
      </w:r>
    </w:p>
    <w:p>
      <w:pPr>
        <w:jc w:val="both"/>
        <w:rPr>
          <w:rFonts w:hint="default" w:ascii="Arial" w:hAnsi="Arial" w:cs="Arial"/>
          <w:bCs/>
          <w:sz w:val="24"/>
          <w:szCs w:val="24"/>
          <w:shd w:val="clear" w:color="auto" w:fill="FFFFFF"/>
          <w:lang w:val="sr-Latn-ME"/>
        </w:rPr>
      </w:pPr>
    </w:p>
    <w:p>
      <w:pPr>
        <w:ind w:left="360"/>
        <w:contextualSpacing/>
        <w:jc w:val="center"/>
        <w:rPr>
          <w:rFonts w:hint="default" w:ascii="Arial" w:hAnsi="Arial" w:cs="Arial"/>
          <w:b/>
          <w:bCs/>
          <w:color w:val="000000"/>
          <w:sz w:val="24"/>
          <w:szCs w:val="24"/>
          <w:shd w:val="clear" w:color="auto" w:fill="FFFFFF"/>
          <w:vertAlign w:val="subscript"/>
          <w:lang w:val="sr-Latn-ME"/>
        </w:rPr>
      </w:pPr>
      <w:r>
        <w:rPr>
          <w:rFonts w:hint="default" w:ascii="Arial" w:hAnsi="Arial" w:cs="Arial"/>
          <w:b/>
          <w:bCs/>
          <w:color w:val="000000"/>
          <w:sz w:val="24"/>
          <w:szCs w:val="24"/>
          <w:shd w:val="clear" w:color="auto" w:fill="FFFFFF"/>
          <w:lang w:val="sr-Latn-ME"/>
        </w:rPr>
        <w:t>S=S1+S2+S3+S4</w:t>
      </w:r>
    </w:p>
    <w:p>
      <w:pPr>
        <w:spacing w:before="96" w:after="120" w:line="360" w:lineRule="atLeast"/>
        <w:jc w:val="both"/>
        <w:rPr>
          <w:rFonts w:hint="default" w:ascii="Arial" w:hAnsi="Arial" w:cs="Arial"/>
          <w:bCs/>
          <w:color w:val="000000"/>
          <w:sz w:val="22"/>
          <w:szCs w:val="22"/>
          <w:highlight w:val="yellow"/>
          <w:shd w:val="clear" w:color="auto" w:fill="FFFFFF"/>
        </w:rPr>
      </w:pPr>
    </w:p>
    <w:p>
      <w:pPr>
        <w:bidi w:val="0"/>
        <w:jc w:val="both"/>
        <w:rPr>
          <w:rFonts w:hint="default" w:ascii="Arial" w:hAnsi="Arial" w:cs="Arial"/>
          <w:sz w:val="24"/>
          <w:szCs w:val="24"/>
          <w:lang w:val="sr-Latn-ME"/>
        </w:rPr>
      </w:pPr>
      <w:r>
        <w:rPr>
          <w:rFonts w:hint="default" w:ascii="Arial" w:hAnsi="Arial" w:cs="Arial"/>
          <w:b/>
          <w:bCs/>
          <w:sz w:val="24"/>
          <w:szCs w:val="24"/>
          <w:lang w:val="sr-Latn-ME"/>
        </w:rPr>
        <w:t>S1</w:t>
      </w:r>
      <w:r>
        <w:rPr>
          <w:rFonts w:hint="default" w:ascii="Arial" w:hAnsi="Arial" w:cs="Arial"/>
          <w:sz w:val="24"/>
          <w:szCs w:val="24"/>
          <w:lang w:val="sr-Latn-ME"/>
        </w:rPr>
        <w:t xml:space="preserve"> privredni subjekt koji posjeduje odgovarajući certifikat max 2 boda. Posjedovanje certifikata ISO 9001 – sistem upravljanja kvalitetom, vrednuje se na način da se za posjedovanje certifikata ili ekvivalentnog međunarodno priznatog certifikata dobija 2 boda. U slučaju da ponuđač ne posjeduje navedeni certifikat, dobija se 0 bodova. Posjedovanje certifikata dokazuje dokazom da je certifikat izdat od strane nadležnog organa ili organizacije.</w:t>
      </w:r>
    </w:p>
    <w:p>
      <w:pPr>
        <w:bidi w:val="0"/>
        <w:jc w:val="both"/>
        <w:rPr>
          <w:rFonts w:hint="default" w:ascii="Arial" w:hAnsi="Arial"/>
          <w:sz w:val="24"/>
          <w:szCs w:val="24"/>
          <w:lang w:val="sr-Latn-ME"/>
        </w:rPr>
      </w:pPr>
      <w:r>
        <w:rPr>
          <w:rFonts w:hint="default" w:ascii="Arial" w:hAnsi="Arial"/>
          <w:b/>
          <w:bCs/>
          <w:sz w:val="24"/>
          <w:szCs w:val="24"/>
          <w:lang w:val="sr-Latn-ME"/>
        </w:rPr>
        <w:t>S2</w:t>
      </w:r>
      <w:r>
        <w:rPr>
          <w:rFonts w:hint="default" w:ascii="Arial" w:hAnsi="Arial"/>
          <w:sz w:val="24"/>
          <w:szCs w:val="24"/>
          <w:lang w:val="sr-Latn-ME"/>
        </w:rPr>
        <w:t xml:space="preserve"> – Privredni subjekt koji posjeduje odgovarajući certifikat max 2 bodova. Posjedovanje certifikata ISO/IEC 27001 – sistem upravljanja bezbjednošću informacija ili ekvivalentnog međunarodno priznatog certifikata dobija 2 boda. U slučaju da ponuđač ne posjeduje navedeni certifikat, dobija se 0 bodova. Posjedovanje certifikata dokazuje dokazom da je certifikat izdat od strane nadležnog organa ili organizacije.</w:t>
      </w:r>
    </w:p>
    <w:p>
      <w:pPr>
        <w:bidi w:val="0"/>
        <w:jc w:val="both"/>
        <w:rPr>
          <w:rFonts w:hint="default" w:ascii="Arial" w:hAnsi="Arial"/>
          <w:sz w:val="24"/>
          <w:szCs w:val="24"/>
          <w:lang w:val="sr-Latn-ME"/>
        </w:rPr>
      </w:pPr>
      <w:r>
        <w:rPr>
          <w:rFonts w:hint="default" w:ascii="Arial" w:hAnsi="Arial"/>
          <w:b/>
          <w:bCs/>
          <w:sz w:val="24"/>
          <w:szCs w:val="24"/>
          <w:lang w:val="sr-Latn-ME"/>
        </w:rPr>
        <w:t>S3</w:t>
      </w:r>
      <w:r>
        <w:rPr>
          <w:rFonts w:hint="default" w:ascii="Arial" w:hAnsi="Arial"/>
          <w:sz w:val="24"/>
          <w:szCs w:val="24"/>
          <w:lang w:val="sr-Latn-ME"/>
        </w:rPr>
        <w:t xml:space="preserve"> – Privredni subjekt koji posjeduje odgovarajući certifikat max 2 boda. Posjedovanje certifikata ISO/IEC 20000 – upravljanje IT uslugama, vrednuje se na način da se za posjedovanje navedenogcertifikata ili ekvivalentnog međunarodno priznatog certifikata dobija 2 boda. U slučaju da ponuđač ne posjeduje navedeni certifikat, dobija se 0 bodova. Posjedovanje certifikata dokazuje dokazom da je certifikat izdat od strane nadležnog organa ili organizacije.</w:t>
      </w:r>
    </w:p>
    <w:p>
      <w:pPr>
        <w:bidi w:val="0"/>
        <w:jc w:val="both"/>
        <w:rPr>
          <w:rFonts w:hint="default" w:ascii="Arial" w:hAnsi="Arial"/>
          <w:sz w:val="24"/>
          <w:szCs w:val="24"/>
          <w:lang w:val="sr-Latn-ME"/>
        </w:rPr>
      </w:pPr>
      <w:r>
        <w:rPr>
          <w:rFonts w:hint="default" w:ascii="Arial" w:hAnsi="Arial"/>
          <w:b/>
          <w:bCs/>
          <w:sz w:val="24"/>
          <w:szCs w:val="24"/>
          <w:lang w:val="sr-Latn-ME"/>
        </w:rPr>
        <w:t>S4</w:t>
      </w:r>
      <w:r>
        <w:rPr>
          <w:rFonts w:hint="default" w:ascii="Arial" w:hAnsi="Arial"/>
          <w:sz w:val="24"/>
          <w:szCs w:val="24"/>
          <w:lang w:val="sr-Latn-ME"/>
        </w:rPr>
        <w:t xml:space="preserve"> – Privredni subjekt koji posjeduje odgovarajući certifikat max 2 boda. Posjedovanje certifikata ISO 22301 - međunarodni standard za sisteme upravljanja kontinuitetom poslovanja (BCMS) vrednuje se na način da se za posjedovanje navedenog certifikata ili ekvivalentnog međunarodno priznatog certifikata dobija 2 boda. U slučaju da ponuđač ne posjeduje navedeni certifikat, dobija se 0 bodova. Posjedovanje certifikata dokazuje dokazom da je certifikat izdat od strane nadležnog organa ili organizacije.</w:t>
      </w:r>
    </w:p>
    <w:p>
      <w:pPr>
        <w:jc w:val="both"/>
        <w:rPr>
          <w:rFonts w:hint="default" w:ascii="Arial" w:hAnsi="Arial" w:cs="Arial"/>
          <w:bCs/>
          <w:color w:val="000000"/>
          <w:sz w:val="22"/>
          <w:szCs w:val="22"/>
          <w:highlight w:val="yellow"/>
          <w:shd w:val="clear" w:color="auto" w:fill="FFFFFF"/>
        </w:rPr>
      </w:pPr>
    </w:p>
    <w:p>
      <w:pPr>
        <w:jc w:val="both"/>
        <w:rPr>
          <w:rFonts w:hint="default" w:ascii="Arial" w:hAnsi="Arial" w:cs="Arial"/>
          <w:bCs/>
          <w:color w:val="000000"/>
          <w:sz w:val="22"/>
          <w:szCs w:val="22"/>
          <w:highlight w:val="yellow"/>
          <w:shd w:val="clear" w:color="auto" w:fill="FFFFFF"/>
        </w:rPr>
      </w:pPr>
    </w:p>
    <w:p>
      <w:pPr>
        <w:rPr>
          <w:rFonts w:hint="default" w:ascii="Arial" w:hAnsi="Arial" w:cs="Arial"/>
          <w:b/>
          <w:bCs/>
          <w:i/>
          <w:iCs/>
          <w:color w:val="000000"/>
          <w:sz w:val="24"/>
          <w:szCs w:val="24"/>
          <w:highlight w:val="none"/>
          <w:shd w:val="clear" w:color="auto" w:fill="FFFFFF"/>
          <w:lang w:val="sr-Latn-ME"/>
        </w:rPr>
      </w:pPr>
      <w:r>
        <w:rPr>
          <w:rFonts w:hint="default" w:ascii="Arial" w:hAnsi="Arial" w:cs="Arial"/>
          <w:b/>
          <w:bCs/>
          <w:i/>
          <w:iCs/>
          <w:color w:val="000000"/>
          <w:sz w:val="24"/>
          <w:szCs w:val="24"/>
          <w:highlight w:val="none"/>
          <w:shd w:val="clear" w:color="auto" w:fill="FFFFFF"/>
        </w:rPr>
        <w:t>UKUPAN BROJ BODOVA= C+</w:t>
      </w:r>
      <w:r>
        <w:rPr>
          <w:rFonts w:hint="default" w:ascii="Arial" w:hAnsi="Arial" w:cs="Arial"/>
          <w:b/>
          <w:bCs/>
          <w:i/>
          <w:iCs/>
          <w:color w:val="000000"/>
          <w:sz w:val="24"/>
          <w:szCs w:val="24"/>
          <w:highlight w:val="none"/>
          <w:shd w:val="clear" w:color="auto" w:fill="FFFFFF"/>
          <w:lang w:val="sr-Latn-ME"/>
        </w:rPr>
        <w:t>K</w:t>
      </w:r>
    </w:p>
    <w:p>
      <w:pPr>
        <w:rPr>
          <w:rFonts w:hint="default" w:ascii="Arial" w:hAnsi="Arial" w:cs="Arial"/>
          <w:b/>
          <w:bCs/>
          <w:i/>
          <w:iCs/>
          <w:color w:val="000000"/>
          <w:sz w:val="24"/>
          <w:szCs w:val="24"/>
          <w:highlight w:val="none"/>
          <w:u w:val="single"/>
          <w:shd w:val="clear" w:color="auto" w:fill="FFFFFF"/>
          <w:lang w:val="sr-Latn-ME"/>
        </w:rPr>
      </w:pPr>
    </w:p>
    <w:p>
      <w:pPr>
        <w:rPr>
          <w:rFonts w:hint="default" w:ascii="Arial" w:hAnsi="Arial" w:cs="Arial"/>
          <w:b/>
          <w:bCs/>
          <w:i/>
          <w:iCs/>
          <w:color w:val="000000"/>
          <w:sz w:val="24"/>
          <w:szCs w:val="24"/>
          <w:highlight w:val="none"/>
          <w:u w:val="single"/>
          <w:shd w:val="clear" w:color="auto" w:fill="FFFFFF"/>
          <w:lang w:val="sr-Latn-ME"/>
        </w:rPr>
      </w:pPr>
      <w:r>
        <w:rPr>
          <w:rFonts w:hint="default" w:ascii="Arial" w:hAnsi="Arial" w:cs="Arial"/>
          <w:b/>
          <w:bCs/>
          <w:i/>
          <w:iCs/>
          <w:color w:val="000000"/>
          <w:sz w:val="24"/>
          <w:szCs w:val="24"/>
          <w:highlight w:val="none"/>
          <w:u w:val="single"/>
          <w:shd w:val="clear" w:color="auto" w:fill="FFFFFF"/>
          <w:lang w:val="sr-Latn-ME"/>
        </w:rPr>
        <w:t>Napomena:</w:t>
      </w:r>
    </w:p>
    <w:p>
      <w:pPr>
        <w:spacing w:before="96" w:line="360" w:lineRule="atLeast"/>
        <w:jc w:val="both"/>
        <w:rPr>
          <w:rFonts w:hint="default" w:ascii="Arial" w:hAnsi="Arial" w:eastAsia="Calibri" w:cs="Arial"/>
          <w:b/>
          <w:i/>
          <w:iCs/>
          <w:sz w:val="24"/>
          <w:szCs w:val="24"/>
          <w:highlight w:val="none"/>
          <w:u w:val="single"/>
          <w:lang w:val="sr-Latn-ME"/>
        </w:rPr>
      </w:pPr>
      <w:r>
        <w:rPr>
          <w:rFonts w:hint="default" w:ascii="Arial" w:hAnsi="Arial" w:eastAsia="Calibri" w:cs="Arial"/>
          <w:b/>
          <w:i/>
          <w:iCs/>
          <w:sz w:val="24"/>
          <w:szCs w:val="24"/>
          <w:highlight w:val="none"/>
          <w:u w:val="single"/>
          <w:lang w:val="sr-Latn-ME"/>
        </w:rPr>
        <w:t xml:space="preserve">U skladu sa Pravilnikom o metodologiji načina vrednovanja ponuda u postupku javnih nabavki, vrednovanje će se vršiti za ponuđene parametre iznad predviđenih minimalnih zahtjeva stručne i tehničke osposobljenosti. </w:t>
      </w:r>
    </w:p>
    <w:p>
      <w:pPr>
        <w:spacing w:before="96" w:line="360" w:lineRule="atLeast"/>
        <w:jc w:val="both"/>
        <w:rPr>
          <w:rFonts w:hint="default" w:ascii="Arial" w:hAnsi="Arial" w:eastAsia="Calibri" w:cs="Arial"/>
          <w:b/>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7" w:name="_Toc62730560"/>
      <w:r>
        <w:rPr>
          <w:rFonts w:hint="default" w:ascii="Arial" w:hAnsi="Arial" w:eastAsia="Times New Roman" w:cs="Arial"/>
          <w:b/>
          <w:sz w:val="24"/>
          <w:szCs w:val="24"/>
          <w:lang w:val="sr-Latn-RS"/>
        </w:rPr>
        <w:t>8</w:t>
      </w:r>
      <w:r>
        <w:rPr>
          <w:rFonts w:hint="default" w:ascii="Arial" w:hAnsi="Arial" w:eastAsia="Times New Roman" w:cs="Arial"/>
          <w:b/>
          <w:sz w:val="24"/>
          <w:szCs w:val="24"/>
          <w:lang w:val="sr-Latn-ME"/>
        </w:rPr>
        <w:t>. JEZIK PONUDE</w:t>
      </w:r>
      <w:bookmarkEnd w:id="7"/>
    </w:p>
    <w:p>
      <w:pPr>
        <w:jc w:val="both"/>
        <w:rPr>
          <w:rFonts w:hint="default" w:ascii="Arial" w:hAnsi="Arial" w:eastAsia="Calibri" w:cs="Arial"/>
          <w:b/>
          <w:bCs/>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A8"/>
      </w:r>
      <w:r>
        <w:rPr>
          <w:rFonts w:hint="default" w:ascii="Arial" w:hAnsi="Arial" w:eastAsia="Times New Roman" w:cs="Arial"/>
          <w:color w:val="000000"/>
          <w:sz w:val="24"/>
          <w:szCs w:val="24"/>
          <w:lang w:val="sr-Latn-ME"/>
        </w:rPr>
        <w:t xml:space="preserve"> crnogorski jezik i drugi jezik koji je u službenoj upotrebi u Crnoj Gori, u skladu sa Ustavom i zakonom</w:t>
      </w:r>
    </w:p>
    <w:p>
      <w:pPr>
        <w:tabs>
          <w:tab w:val="left" w:pos="426"/>
        </w:tabs>
        <w:spacing w:before="96" w:after="0" w:line="240" w:lineRule="auto"/>
        <w:jc w:val="both"/>
        <w:rPr>
          <w:rFonts w:hint="default" w:ascii="Arial" w:hAnsi="Arial" w:eastAsia="Calibri" w:cs="Arial"/>
          <w:sz w:val="24"/>
          <w:szCs w:val="24"/>
          <w:lang w:val="sr-Latn-ME" w:eastAsia="zh-CN"/>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8" w:name="_Toc62730561"/>
      <w:r>
        <w:rPr>
          <w:rFonts w:hint="default" w:ascii="Arial" w:hAnsi="Arial" w:eastAsia="Times New Roman" w:cs="Arial"/>
          <w:b/>
          <w:sz w:val="24"/>
          <w:szCs w:val="24"/>
          <w:lang w:val="sr-Latn-RS"/>
        </w:rPr>
        <w:t>9</w:t>
      </w:r>
      <w:r>
        <w:rPr>
          <w:rFonts w:hint="default" w:ascii="Arial" w:hAnsi="Arial" w:eastAsia="Times New Roman" w:cs="Arial"/>
          <w:b/>
          <w:sz w:val="24"/>
          <w:szCs w:val="24"/>
          <w:lang w:val="sr-Latn-ME"/>
        </w:rPr>
        <w:t>. NAČIN, MJESTO I VRIJEME PODNOŠENJA PONUDA I OTVARANJA PONUDA</w:t>
      </w:r>
      <w:bookmarkEnd w:id="8"/>
    </w:p>
    <w:p>
      <w:pPr>
        <w:spacing w:after="0" w:line="240" w:lineRule="auto"/>
        <w:jc w:val="both"/>
        <w:rPr>
          <w:rFonts w:hint="default" w:ascii="Arial" w:hAnsi="Arial" w:eastAsia="Times New Roman" w:cs="Arial"/>
          <w:b/>
          <w:bCs/>
          <w:color w:val="000000"/>
          <w:sz w:val="24"/>
          <w:szCs w:val="24"/>
          <w:highlight w:val="none"/>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Ponude se podnose preko ESJN-a zaključno sa danom</w:t>
      </w:r>
      <w:r>
        <w:rPr>
          <w:rFonts w:hint="default" w:ascii="Arial" w:hAnsi="Arial" w:eastAsia="Times New Roman" w:cs="Arial"/>
          <w:color w:val="000000"/>
          <w:sz w:val="24"/>
          <w:szCs w:val="24"/>
          <w:highlight w:val="none"/>
          <w:lang w:val="sr-Latn-RS"/>
        </w:rPr>
        <w:t xml:space="preserve"> </w:t>
      </w:r>
      <w:r>
        <w:rPr>
          <w:rFonts w:hint="default" w:ascii="Arial" w:hAnsi="Arial" w:eastAsia="Times New Roman" w:cs="Arial"/>
          <w:color w:val="000000"/>
          <w:sz w:val="24"/>
          <w:szCs w:val="24"/>
          <w:highlight w:val="none"/>
          <w:lang w:val="sr-Latn-ME"/>
        </w:rPr>
        <w:t>12</w:t>
      </w:r>
      <w:r>
        <w:rPr>
          <w:rFonts w:hint="default" w:ascii="Arial" w:hAnsi="Arial" w:eastAsia="Times New Roman" w:cs="Arial"/>
          <w:color w:val="000000"/>
          <w:sz w:val="24"/>
          <w:szCs w:val="24"/>
          <w:highlight w:val="none"/>
          <w:lang w:val="sr-Latn-RS"/>
        </w:rPr>
        <w:t>.</w:t>
      </w:r>
      <w:r>
        <w:rPr>
          <w:rFonts w:hint="default" w:ascii="Arial" w:hAnsi="Arial" w:eastAsia="Times New Roman" w:cs="Arial"/>
          <w:color w:val="000000"/>
          <w:sz w:val="24"/>
          <w:szCs w:val="24"/>
          <w:highlight w:val="none"/>
          <w:lang w:val="sr-Latn-ME"/>
        </w:rPr>
        <w:t>10</w:t>
      </w:r>
      <w:r>
        <w:rPr>
          <w:rFonts w:hint="default" w:ascii="Arial" w:hAnsi="Arial" w:eastAsia="Times New Roman" w:cs="Arial"/>
          <w:color w:val="000000"/>
          <w:sz w:val="24"/>
          <w:szCs w:val="24"/>
          <w:highlight w:val="none"/>
          <w:lang w:val="sr-Latn-RS"/>
        </w:rPr>
        <w:t>.202</w:t>
      </w:r>
      <w:r>
        <w:rPr>
          <w:rFonts w:hint="default" w:ascii="Arial" w:hAnsi="Arial" w:eastAsia="Times New Roman" w:cs="Arial"/>
          <w:color w:val="000000"/>
          <w:sz w:val="24"/>
          <w:szCs w:val="24"/>
          <w:highlight w:val="none"/>
          <w:lang w:val="sr-Latn-ME"/>
        </w:rPr>
        <w:t xml:space="preserve">6. godine do </w:t>
      </w:r>
      <w:r>
        <w:rPr>
          <w:rFonts w:hint="default" w:ascii="Arial" w:hAnsi="Arial" w:eastAsia="Times New Roman" w:cs="Arial"/>
          <w:color w:val="000000"/>
          <w:sz w:val="24"/>
          <w:szCs w:val="24"/>
          <w:highlight w:val="none"/>
          <w:lang w:val="sr-Latn-RS"/>
        </w:rPr>
        <w:t>1</w:t>
      </w:r>
      <w:r>
        <w:rPr>
          <w:rFonts w:hint="default" w:ascii="Arial" w:hAnsi="Arial" w:eastAsia="Times New Roman" w:cs="Arial"/>
          <w:color w:val="000000"/>
          <w:sz w:val="24"/>
          <w:szCs w:val="24"/>
          <w:highlight w:val="none"/>
          <w:lang w:val="sr-Latn-ME"/>
        </w:rPr>
        <w:t>4</w:t>
      </w:r>
      <w:r>
        <w:rPr>
          <w:rFonts w:hint="default" w:ascii="Arial" w:hAnsi="Arial" w:eastAsia="Times New Roman" w:cs="Arial"/>
          <w:color w:val="000000"/>
          <w:sz w:val="24"/>
          <w:szCs w:val="24"/>
          <w:highlight w:val="none"/>
          <w:lang w:val="sr-Latn-RS"/>
        </w:rPr>
        <w:t xml:space="preserve">:00 </w:t>
      </w:r>
      <w:r>
        <w:rPr>
          <w:rFonts w:hint="default" w:ascii="Arial" w:hAnsi="Arial" w:eastAsia="Times New Roman" w:cs="Arial"/>
          <w:color w:val="000000"/>
          <w:sz w:val="24"/>
          <w:szCs w:val="24"/>
          <w:highlight w:val="none"/>
          <w:lang w:val="sr-Latn-ME"/>
        </w:rPr>
        <w:t>sati.</w:t>
      </w:r>
    </w:p>
    <w:p>
      <w:pPr>
        <w:spacing w:after="0" w:line="240" w:lineRule="auto"/>
        <w:jc w:val="both"/>
        <w:rPr>
          <w:rFonts w:hint="default" w:ascii="Arial" w:hAnsi="Arial" w:eastAsia="Times New Roman" w:cs="Arial"/>
          <w:color w:val="000000"/>
          <w:sz w:val="24"/>
          <w:szCs w:val="24"/>
          <w:highlight w:val="none"/>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 xml:space="preserve">Otvaranje ponuda održaće se dana 12.10.2026. godine u 14:00 sati. </w:t>
      </w:r>
    </w:p>
    <w:p>
      <w:pPr>
        <w:spacing w:after="0" w:line="240" w:lineRule="auto"/>
        <w:jc w:val="both"/>
        <w:rPr>
          <w:rFonts w:hint="default" w:ascii="Arial" w:hAnsi="Arial" w:eastAsia="Times New Roman" w:cs="Arial"/>
          <w:color w:val="000000"/>
          <w:sz w:val="24"/>
          <w:szCs w:val="24"/>
          <w:highlight w:val="yellow"/>
          <w:lang w:val="sr-Latn-ME"/>
        </w:rPr>
      </w:pPr>
    </w:p>
    <w:p>
      <w:pPr>
        <w:spacing w:after="0" w:line="240" w:lineRule="auto"/>
        <w:jc w:val="both"/>
        <w:rPr>
          <w:rFonts w:hint="default" w:ascii="Arial" w:hAnsi="Arial" w:eastAsia="Times New Roman" w:cs="Arial"/>
          <w:color w:val="000000"/>
          <w:sz w:val="24"/>
          <w:szCs w:val="24"/>
          <w:highlight w:val="yellow"/>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sym w:font="Wingdings" w:char="F078"/>
      </w:r>
      <w:r>
        <w:rPr>
          <w:rFonts w:hint="default" w:ascii="Arial" w:hAnsi="Arial" w:eastAsia="Times New Roman" w:cs="Arial"/>
          <w:color w:val="000000"/>
          <w:sz w:val="24"/>
          <w:szCs w:val="24"/>
          <w:highlight w:val="none"/>
          <w:lang w:val="sr-Latn-ME"/>
        </w:rPr>
        <w:t xml:space="preserve"> Dio ponude koji se ne dostavlja preko ESJN-a, a odnosi se na </w:t>
      </w:r>
      <w:r>
        <w:rPr>
          <w:rFonts w:hint="default" w:ascii="Arial" w:hAnsi="Arial" w:eastAsia="Times New Roman" w:cs="Arial"/>
          <w:b/>
          <w:color w:val="000000"/>
          <w:sz w:val="24"/>
          <w:szCs w:val="24"/>
          <w:highlight w:val="none"/>
          <w:lang w:val="sr-Latn-ME"/>
        </w:rPr>
        <w:t>Garanciju ponude</w:t>
      </w:r>
      <w:r>
        <w:rPr>
          <w:rFonts w:hint="default" w:ascii="Arial" w:hAnsi="Arial" w:eastAsia="Times New Roman" w:cs="Arial"/>
          <w:color w:val="000000"/>
          <w:sz w:val="24"/>
          <w:szCs w:val="24"/>
          <w:highlight w:val="none"/>
          <w:lang w:val="sr-Latn-ME"/>
        </w:rPr>
        <w:t xml:space="preserve"> dostavlja se: </w:t>
      </w:r>
    </w:p>
    <w:p>
      <w:pPr>
        <w:numPr>
          <w:ilvl w:val="0"/>
          <w:numId w:val="10"/>
        </w:numPr>
        <w:spacing w:before="96"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 xml:space="preserve">neposredno podnošenjem na arhivi naručioca na adresi Bulevar </w:t>
      </w:r>
      <w:r>
        <w:rPr>
          <w:rFonts w:hint="default" w:ascii="Arial" w:hAnsi="Arial" w:eastAsia="Times New Roman" w:cs="Arial"/>
          <w:sz w:val="24"/>
          <w:szCs w:val="24"/>
          <w:highlight w:val="none"/>
          <w:lang w:val="sr-Latn-ME"/>
        </w:rPr>
        <w:t>Stanka Dragojevića br. 2;</w:t>
      </w:r>
    </w:p>
    <w:p>
      <w:pPr>
        <w:numPr>
          <w:ilvl w:val="0"/>
          <w:numId w:val="10"/>
        </w:numPr>
        <w:spacing w:before="96"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 xml:space="preserve">preporučenom pošiljkom sa povratnicom na adresi Bulevar </w:t>
      </w:r>
      <w:r>
        <w:rPr>
          <w:rFonts w:hint="default" w:ascii="Arial" w:hAnsi="Arial" w:eastAsia="Times New Roman" w:cs="Arial"/>
          <w:sz w:val="24"/>
          <w:szCs w:val="24"/>
          <w:highlight w:val="none"/>
          <w:lang w:val="sr-Latn-ME"/>
        </w:rPr>
        <w:t>Stanka Dragojevića br. 2</w:t>
      </w:r>
      <w:r>
        <w:rPr>
          <w:rFonts w:hint="default" w:ascii="Arial" w:hAnsi="Arial" w:eastAsia="Calibri" w:cs="Arial"/>
          <w:color w:val="000000"/>
          <w:sz w:val="24"/>
          <w:szCs w:val="24"/>
          <w:highlight w:val="none"/>
          <w:lang w:val="sr-Latn-ME"/>
        </w:rPr>
        <w:t xml:space="preserve">, s tim što Garancija ponude mora biti uručena od strane poštanskog operatora najkasnije do roka određenog za podnošenje ponude, </w:t>
      </w:r>
    </w:p>
    <w:p>
      <w:pPr>
        <w:spacing w:after="0" w:line="240" w:lineRule="auto"/>
        <w:jc w:val="both"/>
        <w:rPr>
          <w:rFonts w:hint="default" w:ascii="Arial" w:hAnsi="Arial" w:eastAsia="Times New Roman" w:cs="Arial"/>
          <w:color w:val="000000"/>
          <w:sz w:val="24"/>
          <w:szCs w:val="24"/>
          <w:highlight w:val="yellow"/>
          <w:lang w:val="sr-Latn-ME"/>
        </w:rPr>
      </w:pPr>
    </w:p>
    <w:p>
      <w:pPr>
        <w:spacing w:after="0" w:line="240" w:lineRule="auto"/>
        <w:jc w:val="both"/>
        <w:rPr>
          <w:rFonts w:hint="default" w:ascii="Arial" w:hAnsi="Arial" w:eastAsia="Times New Roman" w:cs="Arial"/>
          <w:color w:val="000000"/>
          <w:sz w:val="24"/>
          <w:szCs w:val="24"/>
          <w:highlight w:val="none"/>
          <w:lang w:val="sr-Latn-ME"/>
        </w:rPr>
      </w:pPr>
      <w:r>
        <w:rPr>
          <w:rFonts w:hint="default" w:ascii="Arial" w:hAnsi="Arial" w:eastAsia="Times New Roman" w:cs="Arial"/>
          <w:color w:val="000000"/>
          <w:sz w:val="24"/>
          <w:szCs w:val="24"/>
          <w:highlight w:val="none"/>
          <w:lang w:val="sr-Latn-ME"/>
        </w:rPr>
        <w:t xml:space="preserve">radnim danima od </w:t>
      </w:r>
      <w:r>
        <w:rPr>
          <w:rFonts w:hint="default" w:ascii="Arial" w:hAnsi="Arial" w:eastAsia="Times New Roman" w:cs="Arial"/>
          <w:color w:val="000000"/>
          <w:sz w:val="24"/>
          <w:szCs w:val="24"/>
          <w:highlight w:val="none"/>
          <w:lang w:val="sr-Latn-RS"/>
        </w:rPr>
        <w:t>7</w:t>
      </w:r>
      <w:r>
        <w:rPr>
          <w:rFonts w:hint="default" w:ascii="Arial" w:hAnsi="Arial" w:eastAsia="Times New Roman" w:cs="Arial"/>
          <w:color w:val="000000"/>
          <w:sz w:val="24"/>
          <w:szCs w:val="24"/>
          <w:highlight w:val="none"/>
          <w:lang w:val="sr-Latn-ME"/>
        </w:rPr>
        <w:t>:00 do 15:00 sati, zaključno sa danom 12.10</w:t>
      </w:r>
      <w:r>
        <w:rPr>
          <w:rFonts w:hint="default" w:ascii="Arial" w:hAnsi="Arial" w:eastAsia="Times New Roman" w:cs="Arial"/>
          <w:color w:val="000000"/>
          <w:sz w:val="24"/>
          <w:szCs w:val="24"/>
          <w:highlight w:val="none"/>
          <w:lang w:val="sr-Latn-RS"/>
        </w:rPr>
        <w:t>.202</w:t>
      </w:r>
      <w:r>
        <w:rPr>
          <w:rFonts w:hint="default" w:ascii="Arial" w:hAnsi="Arial" w:eastAsia="Times New Roman" w:cs="Arial"/>
          <w:color w:val="000000"/>
          <w:sz w:val="24"/>
          <w:szCs w:val="24"/>
          <w:highlight w:val="none"/>
          <w:lang w:val="sr-Latn-ME"/>
        </w:rPr>
        <w:t xml:space="preserve">6. godine od </w:t>
      </w:r>
      <w:r>
        <w:rPr>
          <w:rFonts w:hint="default" w:ascii="Arial" w:hAnsi="Arial" w:eastAsia="Times New Roman" w:cs="Arial"/>
          <w:color w:val="000000"/>
          <w:sz w:val="24"/>
          <w:szCs w:val="24"/>
          <w:highlight w:val="none"/>
          <w:lang w:val="sr-Latn-RS"/>
        </w:rPr>
        <w:t>7</w:t>
      </w:r>
      <w:r>
        <w:rPr>
          <w:rFonts w:hint="default" w:ascii="Arial" w:hAnsi="Arial" w:eastAsia="Times New Roman" w:cs="Arial"/>
          <w:color w:val="000000"/>
          <w:sz w:val="24"/>
          <w:szCs w:val="24"/>
          <w:highlight w:val="none"/>
          <w:lang w:val="sr-Latn-ME"/>
        </w:rPr>
        <w:t>:00 do 14:00 sati.</w:t>
      </w:r>
    </w:p>
    <w:p>
      <w:pPr>
        <w:spacing w:after="0" w:line="240" w:lineRule="auto"/>
        <w:jc w:val="both"/>
        <w:rPr>
          <w:rFonts w:hint="default" w:ascii="Arial" w:hAnsi="Arial" w:eastAsia="Times New Roman" w:cs="Arial"/>
          <w:color w:val="000000"/>
          <w:sz w:val="24"/>
          <w:szCs w:val="24"/>
          <w:highlight w:val="yellow"/>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9" w:name="_Toc62730562"/>
      <w:r>
        <w:rPr>
          <w:rFonts w:hint="default" w:ascii="Arial" w:hAnsi="Arial" w:eastAsia="Times New Roman" w:cs="Arial"/>
          <w:b/>
          <w:sz w:val="24"/>
          <w:szCs w:val="24"/>
          <w:lang w:val="sr-Latn-RS"/>
        </w:rPr>
        <w:t>10</w:t>
      </w:r>
      <w:r>
        <w:rPr>
          <w:rFonts w:hint="default" w:ascii="Arial" w:hAnsi="Arial" w:eastAsia="Times New Roman" w:cs="Arial"/>
          <w:b/>
          <w:sz w:val="24"/>
          <w:szCs w:val="24"/>
          <w:lang w:val="sr-Latn-ME"/>
        </w:rPr>
        <w:t>. USLOVI ZA AKTIVIRANJE GARANCIJE PONUDE</w:t>
      </w:r>
      <w:r>
        <w:rPr>
          <w:rFonts w:hint="default" w:ascii="Arial" w:hAnsi="Arial" w:eastAsia="Times New Roman" w:cs="Arial"/>
          <w:b/>
          <w:sz w:val="24"/>
          <w:szCs w:val="24"/>
          <w:vertAlign w:val="superscript"/>
          <w:lang w:val="sr-Latn-ME"/>
        </w:rPr>
        <w:footnoteReference w:id="7"/>
      </w:r>
      <w:bookmarkEnd w:id="9"/>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hint="default" w:ascii="Arial" w:hAnsi="Arial" w:eastAsia="Times New Roman" w:cs="Arial"/>
          <w:b/>
          <w:bCs/>
          <w:color w:val="000000"/>
          <w:sz w:val="24"/>
          <w:szCs w:val="24"/>
          <w:lang w:val="sr-Latn-ME"/>
        </w:rPr>
      </w:pPr>
    </w:p>
    <w:p>
      <w:pPr>
        <w:spacing w:after="0" w:line="240" w:lineRule="auto"/>
        <w:jc w:val="both"/>
        <w:rPr>
          <w:rFonts w:hint="default" w:ascii="Arial" w:hAnsi="Arial" w:eastAsia="Times New Roman" w:cs="Arial"/>
          <w:b/>
          <w:b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10" w:name="_Toc62730563"/>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1</w:t>
      </w:r>
      <w:r>
        <w:rPr>
          <w:rFonts w:hint="default" w:ascii="Arial" w:hAnsi="Arial" w:eastAsia="Times New Roman" w:cs="Arial"/>
          <w:b/>
          <w:sz w:val="24"/>
          <w:szCs w:val="24"/>
          <w:lang w:val="sr-Latn-ME"/>
        </w:rPr>
        <w:t>. TAJNOST PODATAKA</w:t>
      </w:r>
      <w:bookmarkEnd w:id="10"/>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Tenderska dokumentacija sadrži tajne podatke</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ne</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sz w:val="24"/>
          <w:szCs w:val="24"/>
          <w:lang w:val="sr-Latn-ME"/>
        </w:rPr>
      </w:pPr>
      <w:bookmarkStart w:id="11" w:name="_Toc62730564"/>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2</w:t>
      </w:r>
      <w:r>
        <w:rPr>
          <w:rFonts w:hint="default" w:ascii="Arial" w:hAnsi="Arial" w:eastAsia="Times New Roman" w:cs="Arial"/>
          <w:b/>
          <w:sz w:val="24"/>
          <w:szCs w:val="24"/>
          <w:lang w:val="sr-Latn-ME"/>
        </w:rPr>
        <w:t>. UPUTSTVO ZA SAČINJAVANJE PONUDE</w:t>
      </w:r>
      <w:bookmarkEnd w:id="11"/>
    </w:p>
    <w:p>
      <w:pPr>
        <w:spacing w:after="0" w:line="240" w:lineRule="auto"/>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b w:val="0"/>
          <w:bCs w:val="0"/>
          <w:color w:val="000000"/>
          <w:sz w:val="24"/>
          <w:szCs w:val="24"/>
          <w:lang w:val="sr-Latn-ME"/>
        </w:rPr>
      </w:pPr>
      <w:r>
        <w:rPr>
          <w:rFonts w:hint="default" w:ascii="Arial" w:hAnsi="Arial" w:eastAsia="Times New Roman" w:cs="Arial"/>
          <w:b w:val="0"/>
          <w:bCs w:val="0"/>
          <w:color w:val="000000"/>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hint="default" w:ascii="Arial" w:hAnsi="Arial" w:eastAsia="Times New Roman" w:cs="Arial"/>
          <w:b w:val="0"/>
          <w:bCs w:val="0"/>
          <w:color w:val="000000"/>
          <w:sz w:val="24"/>
          <w:szCs w:val="24"/>
          <w:lang w:val="sr-Latn-ME"/>
        </w:rPr>
      </w:pPr>
      <w:r>
        <w:rPr>
          <w:rFonts w:hint="default" w:ascii="Arial" w:hAnsi="Arial" w:eastAsia="Times New Roman" w:cs="Arial"/>
          <w:b w:val="0"/>
          <w:bCs w:val="0"/>
          <w:color w:val="000000"/>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hint="default" w:ascii="Arial" w:hAnsi="Arial" w:eastAsia="Times New Roman" w:cs="Arial"/>
          <w:b w:val="0"/>
          <w:bCs w:val="0"/>
          <w:color w:val="000000"/>
          <w:sz w:val="24"/>
          <w:szCs w:val="24"/>
          <w:lang w:val="sr-Latn-ME"/>
        </w:rPr>
      </w:pPr>
      <w:r>
        <w:rPr>
          <w:rFonts w:hint="default" w:ascii="Arial" w:hAnsi="Arial" w:eastAsia="Times New Roman" w:cs="Arial"/>
          <w:b w:val="0"/>
          <w:bCs w:val="0"/>
          <w:color w:val="000000"/>
          <w:sz w:val="24"/>
          <w:szCs w:val="24"/>
          <w:lang w:val="sr-Latn-ME"/>
        </w:rPr>
        <w:t>Ponuđač je dužan da tačno, potpuno, pravilno i nedvosmisleno popuni Izjavu privrednog subjekta u skladu sa zahtjevima iz tenderske dokumentacije.</w:t>
      </w:r>
    </w:p>
    <w:p>
      <w:pPr>
        <w:spacing w:after="0" w:line="240" w:lineRule="auto"/>
        <w:jc w:val="both"/>
        <w:rPr>
          <w:rFonts w:hint="default" w:ascii="Arial" w:hAnsi="Arial" w:eastAsia="Times New Roman" w:cs="Arial"/>
          <w:b w:val="0"/>
          <w:bCs w:val="0"/>
          <w:color w:val="000000"/>
          <w:sz w:val="24"/>
          <w:szCs w:val="24"/>
          <w:lang w:val="sr-Latn-ME"/>
        </w:rPr>
      </w:pPr>
    </w:p>
    <w:p>
      <w:pPr>
        <w:spacing w:after="0" w:line="240" w:lineRule="auto"/>
        <w:jc w:val="both"/>
        <w:rPr>
          <w:rFonts w:hint="default" w:ascii="Arial" w:hAnsi="Arial" w:eastAsia="Times New Roman" w:cs="Arial"/>
          <w:b w:val="0"/>
          <w:bCs w:val="0"/>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hint="default" w:ascii="Arial" w:hAnsi="Arial" w:eastAsia="Times New Roman" w:cs="Arial"/>
          <w:b/>
          <w:sz w:val="24"/>
          <w:szCs w:val="24"/>
          <w:lang w:val="sr-Latn-ME"/>
        </w:rPr>
      </w:pPr>
      <w:bookmarkStart w:id="12" w:name="_Toc62730565"/>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3</w:t>
      </w:r>
      <w:r>
        <w:rPr>
          <w:rFonts w:hint="default" w:ascii="Arial" w:hAnsi="Arial" w:eastAsia="Times New Roman" w:cs="Arial"/>
          <w:b/>
          <w:sz w:val="24"/>
          <w:szCs w:val="24"/>
          <w:lang w:val="sr-Latn-ME"/>
        </w:rPr>
        <w:t>. NAČIN ZAKLJUČIVANJA I IZMJENE UGOVORA O JAVNOJ NABAVCI</w:t>
      </w:r>
      <w:bookmarkEnd w:id="12"/>
    </w:p>
    <w:p>
      <w:pPr>
        <w:spacing w:after="0" w:line="240" w:lineRule="auto"/>
        <w:jc w:val="both"/>
        <w:rPr>
          <w:rFonts w:hint="default" w:ascii="Arial" w:hAnsi="Arial" w:eastAsia="Times New Roman" w:cs="Arial"/>
          <w:i/>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Ugovor između naručioca i ponuđača čija je ponuda izabrana kao najpovoljnija, pored uslova koji su propisani ovom tenderskom dokumentacijom, će sadržati i sljedeće:</w:t>
      </w:r>
      <w:r>
        <w:rPr>
          <w:rFonts w:hint="default" w:ascii="Arial" w:hAnsi="Arial" w:eastAsia="Times New Roman" w:cs="Arial"/>
          <w:color w:val="000000"/>
          <w:sz w:val="24"/>
          <w:szCs w:val="24"/>
          <w:vertAlign w:val="superscript"/>
          <w:lang w:val="sr-Latn-ME"/>
        </w:rPr>
        <w:footnoteReference w:id="8"/>
      </w:r>
    </w:p>
    <w:p>
      <w:pPr>
        <w:spacing w:after="0" w:line="240" w:lineRule="auto"/>
        <w:rPr>
          <w:rFonts w:hint="default" w:ascii="Arial" w:hAnsi="Arial" w:eastAsia="Times New Roman" w:cs="Arial"/>
          <w:b/>
          <w:color w:val="000000"/>
          <w:sz w:val="24"/>
          <w:szCs w:val="24"/>
          <w:lang w:val="sr-Latn-ME"/>
        </w:rPr>
      </w:pPr>
    </w:p>
    <w:p>
      <w:pPr>
        <w:spacing w:line="240" w:lineRule="auto"/>
        <w:jc w:val="both"/>
        <w:rPr>
          <w:rFonts w:hint="default" w:ascii="Arial" w:hAnsi="Arial" w:eastAsia="Calibri" w:cs="Arial"/>
          <w:sz w:val="24"/>
          <w:szCs w:val="24"/>
          <w:u w:val="single"/>
          <w:lang w:val="sr-Latn-ME"/>
        </w:rPr>
      </w:pPr>
      <w:r>
        <w:rPr>
          <w:rFonts w:hint="default" w:ascii="Arial" w:hAnsi="Arial" w:eastAsia="Calibri" w:cs="Arial"/>
          <w:sz w:val="24"/>
          <w:szCs w:val="24"/>
          <w:u w:val="single"/>
          <w:lang w:val="sr-Latn-ME"/>
        </w:rPr>
        <w:t>Naknada štete</w:t>
      </w:r>
    </w:p>
    <w:p>
      <w:pPr>
        <w:spacing w:after="0" w:line="240" w:lineRule="auto"/>
        <w:jc w:val="both"/>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after="0" w:line="240" w:lineRule="auto"/>
        <w:jc w:val="both"/>
        <w:rPr>
          <w:rFonts w:hint="default" w:ascii="Arial" w:hAnsi="Arial" w:eastAsia="PMingLiU" w:cs="Arial"/>
          <w:sz w:val="24"/>
          <w:szCs w:val="24"/>
          <w:lang w:val="sr-Latn-ME" w:eastAsia="zh-TW"/>
        </w:rPr>
      </w:pPr>
    </w:p>
    <w:p>
      <w:pPr>
        <w:spacing w:after="0" w:line="240" w:lineRule="auto"/>
        <w:jc w:val="both"/>
        <w:rPr>
          <w:rFonts w:hint="default" w:ascii="Arial" w:hAnsi="Arial" w:eastAsia="PMingLiU" w:cs="Arial"/>
          <w:sz w:val="24"/>
          <w:szCs w:val="24"/>
          <w:lang w:val="sr-Latn-ME" w:eastAsia="zh-TW"/>
        </w:rPr>
      </w:pPr>
      <w:r>
        <w:rPr>
          <w:rFonts w:hint="default"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hint="default" w:ascii="Arial" w:hAnsi="Arial" w:eastAsia="PMingLiU" w:cs="Arial"/>
          <w:sz w:val="24"/>
          <w:szCs w:val="24"/>
          <w:highlight w:val="yellow"/>
          <w:lang w:val="sr-Latn-ME" w:eastAsia="zh-TW"/>
        </w:rPr>
      </w:pPr>
    </w:p>
    <w:p>
      <w:pPr>
        <w:spacing w:line="240" w:lineRule="auto"/>
        <w:jc w:val="both"/>
        <w:rPr>
          <w:rFonts w:hint="default" w:ascii="Arial" w:hAnsi="Arial" w:eastAsia="PMingLiU" w:cs="Arial"/>
          <w:sz w:val="24"/>
          <w:szCs w:val="24"/>
          <w:u w:val="single"/>
          <w:lang w:val="sr-Latn-ME" w:eastAsia="zh-TW"/>
        </w:rPr>
      </w:pPr>
      <w:r>
        <w:rPr>
          <w:rFonts w:hint="default" w:ascii="Arial" w:hAnsi="Arial" w:eastAsia="PMingLiU" w:cs="Arial"/>
          <w:sz w:val="24"/>
          <w:szCs w:val="24"/>
          <w:u w:val="single"/>
          <w:lang w:val="sr-Latn-ME" w:eastAsia="zh-TW"/>
        </w:rPr>
        <w:t>Raskid ugovora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Naručilac je dužan da raskine ugovor o javnoj nabavci naročito ako:</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1) nastupe okolnosti koje za posljedicu imaju bitnu izmjenu ugovora koja iziskuje sprovođenje novog postupka javne nabavke;</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2) nastupi neki razlog koji predstavlja osnov za obavezno isključenje iz člana 108 Zakona o javnim nabavkama.</w:t>
      </w:r>
    </w:p>
    <w:p>
      <w:pPr>
        <w:autoSpaceDE w:val="0"/>
        <w:autoSpaceDN w:val="0"/>
        <w:adjustRightInd w:val="0"/>
        <w:spacing w:before="240" w:after="0" w:line="240" w:lineRule="auto"/>
        <w:jc w:val="both"/>
        <w:rPr>
          <w:rFonts w:hint="default" w:ascii="Arial" w:hAnsi="Arial" w:cs="Arial"/>
          <w:sz w:val="24"/>
          <w:szCs w:val="24"/>
          <w:lang w:val="sr-Latn-ME"/>
        </w:rPr>
      </w:pPr>
      <w:r>
        <w:rPr>
          <w:rFonts w:hint="default" w:ascii="Arial" w:hAnsi="Arial" w:cs="Arial"/>
          <w:sz w:val="24"/>
          <w:szCs w:val="24"/>
          <w:lang w:val="sr-Latn-ME"/>
        </w:rPr>
        <w:t>Bitnom izmjenom ugovora iz stava 1 tačka 1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3) izmjenom se značajno povećava obim ugovora;</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hint="default" w:ascii="Arial" w:hAnsi="Arial" w:cs="Arial"/>
          <w:sz w:val="24"/>
          <w:szCs w:val="24"/>
          <w:lang w:val="sr-Latn-ME"/>
        </w:rPr>
      </w:pPr>
      <w:r>
        <w:rPr>
          <w:rFonts w:hint="default" w:ascii="Arial" w:hAnsi="Arial" w:cs="Arial"/>
          <w:sz w:val="24"/>
          <w:szCs w:val="24"/>
          <w:lang w:val="sr-Latn-ME"/>
        </w:rPr>
        <w:t>5) ako ponuđač ne izvršava ugovorene obaveze i u drugim slučajevima utvrđenim tenderskom dokumentacijom u skladu sa ZJN.</w:t>
      </w:r>
    </w:p>
    <w:p>
      <w:pPr>
        <w:autoSpaceDE w:val="0"/>
        <w:autoSpaceDN w:val="0"/>
        <w:adjustRightInd w:val="0"/>
        <w:spacing w:after="0" w:line="240" w:lineRule="auto"/>
        <w:jc w:val="both"/>
        <w:rPr>
          <w:rFonts w:hint="default" w:ascii="Arial" w:hAnsi="Arial" w:cs="Arial"/>
          <w:sz w:val="24"/>
          <w:szCs w:val="24"/>
          <w:highlight w:val="yellow"/>
          <w:lang w:val="sr-Latn-ME"/>
        </w:rPr>
      </w:pP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Ako strane Ugovora sporazumno raskinu ugovor, sporazumom o raskidu ugovora utvrđuju se međusobna prava i obaveze koje proističu iz ugovora.</w:t>
      </w: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 xml:space="preserve">U bilo kom slučaju prestanka važenja Ugovora iz ovog člana, otkazni rok je 30 dana od dana </w:t>
      </w:r>
      <w:r>
        <w:rPr>
          <w:rFonts w:hint="default" w:ascii="Arial" w:hAnsi="Arial" w:eastAsia="Calibri" w:cs="Arial"/>
          <w:sz w:val="24"/>
          <w:szCs w:val="24"/>
          <w:lang w:val="sr-Latn-ME"/>
        </w:rPr>
        <w:t>prijema</w:t>
      </w:r>
      <w:r>
        <w:rPr>
          <w:rFonts w:hint="default" w:ascii="Arial" w:hAnsi="Arial" w:eastAsia="PMingLiU" w:cs="Arial"/>
          <w:sz w:val="24"/>
          <w:szCs w:val="24"/>
          <w:lang w:val="sr-Latn-ME"/>
        </w:rPr>
        <w:t xml:space="preserve"> obavještenja o raskidu Ugovora, u kom su oba ugovarača dužna da izvršavaju svoje ugovorene obaveze do isteka otkaznog roka.</w:t>
      </w:r>
    </w:p>
    <w:p>
      <w:pPr>
        <w:autoSpaceDE w:val="0"/>
        <w:autoSpaceDN w:val="0"/>
        <w:adjustRightInd w:val="0"/>
        <w:spacing w:after="0" w:line="240" w:lineRule="auto"/>
        <w:jc w:val="both"/>
        <w:rPr>
          <w:rFonts w:hint="default" w:ascii="Arial" w:hAnsi="Arial" w:cs="Arial"/>
          <w:sz w:val="24"/>
          <w:szCs w:val="24"/>
          <w:highlight w:val="yellow"/>
          <w:lang w:val="sr-Latn-ME"/>
        </w:rPr>
      </w:pPr>
    </w:p>
    <w:p>
      <w:pPr>
        <w:spacing w:line="240" w:lineRule="auto"/>
        <w:jc w:val="both"/>
        <w:rPr>
          <w:rFonts w:hint="default" w:ascii="Arial" w:hAnsi="Arial" w:eastAsia="PMingLiU" w:cs="Arial"/>
          <w:sz w:val="24"/>
          <w:szCs w:val="24"/>
          <w:u w:val="single"/>
          <w:lang w:val="sr-Latn-ME"/>
        </w:rPr>
      </w:pPr>
      <w:r>
        <w:rPr>
          <w:rFonts w:hint="default" w:ascii="Arial" w:hAnsi="Arial" w:eastAsia="PMingLiU" w:cs="Arial"/>
          <w:sz w:val="24"/>
          <w:szCs w:val="24"/>
          <w:u w:val="single"/>
          <w:lang w:val="sr-Latn-ME"/>
        </w:rPr>
        <w:t>Zaštita poslovnih interesa i čuvanje poslovne tajne</w:t>
      </w: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unaprjeđenju svojih odnosa.</w:t>
      </w:r>
    </w:p>
    <w:p>
      <w:pPr>
        <w:spacing w:line="240" w:lineRule="auto"/>
        <w:jc w:val="both"/>
        <w:rPr>
          <w:rFonts w:hint="default" w:ascii="Arial" w:hAnsi="Arial" w:eastAsia="PMingLiU" w:cs="Arial"/>
          <w:sz w:val="24"/>
          <w:szCs w:val="24"/>
          <w:lang w:val="sr-Latn-ME"/>
        </w:rPr>
      </w:pPr>
      <w:r>
        <w:rPr>
          <w:rFonts w:hint="default"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line="240" w:lineRule="auto"/>
        <w:jc w:val="both"/>
        <w:rPr>
          <w:rFonts w:hint="default" w:ascii="Arial" w:hAnsi="Arial" w:eastAsia="PMingLiU" w:cs="Arial"/>
          <w:sz w:val="24"/>
          <w:szCs w:val="24"/>
          <w:u w:val="single"/>
          <w:lang w:val="sr-Latn-ME"/>
        </w:rPr>
      </w:pPr>
      <w:r>
        <w:rPr>
          <w:rFonts w:hint="default" w:ascii="Arial" w:hAnsi="Arial" w:eastAsia="PMingLiU" w:cs="Arial"/>
          <w:sz w:val="24"/>
          <w:szCs w:val="24"/>
          <w:u w:val="single"/>
          <w:lang w:val="sr-Latn-ME"/>
        </w:rPr>
        <w:t>Ostali elementi ugovora</w:t>
      </w:r>
    </w:p>
    <w:p>
      <w:pPr>
        <w:spacing w:after="0" w:line="240" w:lineRule="auto"/>
        <w:jc w:val="both"/>
        <w:rPr>
          <w:rFonts w:hint="default" w:ascii="Arial" w:hAnsi="Arial" w:eastAsia="Calibri" w:cs="Arial"/>
          <w:bCs/>
          <w:sz w:val="24"/>
          <w:szCs w:val="24"/>
          <w:lang w:val="sr-Latn-ME"/>
        </w:rPr>
      </w:pPr>
      <w:r>
        <w:rPr>
          <w:rFonts w:hint="default" w:ascii="Arial" w:hAnsi="Arial" w:eastAsia="Calibri" w:cs="Arial"/>
          <w:bCs/>
          <w:sz w:val="24"/>
          <w:szCs w:val="24"/>
          <w:lang w:val="sr-Latn-ME"/>
        </w:rPr>
        <w:t>Ukoliko Naručilac ima osnovan razlog za nezadovoljstvo radom bilo kojeg člana osoblja Izvršioca, u tom slučaju, Izvršilac će na osnovu pismenog zahtjeva Naručioca, u kome se navodi razlog, obezbijediti kao zamjenu lice sa kvalifikacijama i iskustvom koji su prihvatljivi Naručiocu.</w:t>
      </w:r>
    </w:p>
    <w:p>
      <w:pPr>
        <w:spacing w:after="0" w:line="240" w:lineRule="auto"/>
        <w:jc w:val="both"/>
        <w:rPr>
          <w:rFonts w:hint="default" w:ascii="Arial" w:hAnsi="Arial" w:eastAsia="Calibri" w:cs="Arial"/>
          <w:bCs/>
          <w:color w:val="000000"/>
          <w:sz w:val="24"/>
          <w:szCs w:val="24"/>
          <w:lang w:val="sr-Latn-ME"/>
        </w:rPr>
      </w:pPr>
    </w:p>
    <w:p>
      <w:pPr>
        <w:spacing w:after="0" w:line="276" w:lineRule="auto"/>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Ugovor o javnoj nabavci koji je zaključen uz kršenje antikorupcijskih pravila u skladu sa odredbama člana 38 Zakona o javnim nabavkama („Sl.list CG“ broj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74/2019</w:t>
      </w:r>
      <w:r>
        <w:rPr>
          <w:rFonts w:hint="default" w:ascii="Arial" w:hAnsi="Arial" w:cs="Arial"/>
          <w:sz w:val="24"/>
          <w:szCs w:val="24"/>
        </w:rPr>
        <w:fldChar w:fldCharType="end"/>
      </w:r>
      <w:r>
        <w:rPr>
          <w:rFonts w:hint="default" w:ascii="Arial" w:hAnsi="Arial" w:cs="Arial"/>
          <w:sz w:val="24"/>
          <w:szCs w:val="24"/>
        </w:rPr>
        <w:t>,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3/2023</w:t>
      </w:r>
      <w:r>
        <w:rPr>
          <w:rFonts w:hint="default" w:ascii="Arial" w:hAnsi="Arial" w:cs="Arial"/>
          <w:sz w:val="24"/>
          <w:szCs w:val="24"/>
        </w:rPr>
        <w:fldChar w:fldCharType="end"/>
      </w:r>
      <w:r>
        <w:rPr>
          <w:rFonts w:hint="default" w:ascii="Arial" w:hAnsi="Arial" w:cs="Arial"/>
          <w:sz w:val="24"/>
          <w:szCs w:val="24"/>
        </w:rPr>
        <w:t>,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11/2023</w:t>
      </w:r>
      <w:r>
        <w:rPr>
          <w:rFonts w:hint="default" w:ascii="Arial" w:hAnsi="Arial" w:cs="Arial"/>
          <w:sz w:val="24"/>
          <w:szCs w:val="24"/>
        </w:rPr>
        <w:fldChar w:fldCharType="end"/>
      </w:r>
      <w:r>
        <w:rPr>
          <w:rFonts w:hint="default" w:ascii="Arial" w:hAnsi="Arial" w:cs="Arial"/>
          <w:sz w:val="24"/>
          <w:szCs w:val="24"/>
        </w:rPr>
        <w:t> - ispravka i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84/2024</w:t>
      </w:r>
      <w:r>
        <w:rPr>
          <w:rFonts w:hint="default" w:ascii="Arial" w:hAnsi="Arial" w:cs="Arial"/>
          <w:sz w:val="24"/>
          <w:szCs w:val="24"/>
        </w:rPr>
        <w:fldChar w:fldCharType="end"/>
      </w:r>
      <w:r>
        <w:rPr>
          <w:rFonts w:hint="default" w:ascii="Arial" w:hAnsi="Arial" w:cs="Arial"/>
          <w:sz w:val="24"/>
          <w:szCs w:val="24"/>
        </w:rPr>
        <w:t> - drugi zakon i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98/2026</w:t>
      </w:r>
      <w:r>
        <w:rPr>
          <w:rFonts w:hint="default" w:ascii="Arial" w:hAnsi="Arial" w:cs="Arial"/>
          <w:sz w:val="24"/>
          <w:szCs w:val="24"/>
        </w:rPr>
        <w:fldChar w:fldCharType="end"/>
      </w:r>
      <w:r>
        <w:rPr>
          <w:rFonts w:hint="default" w:ascii="Arial" w:hAnsi="Arial" w:cs="Arial"/>
          <w:sz w:val="24"/>
          <w:szCs w:val="24"/>
        </w:rPr>
        <w:t>.</w:t>
      </w:r>
      <w:r>
        <w:rPr>
          <w:rFonts w:hint="default" w:ascii="Arial" w:hAnsi="Arial" w:eastAsia="Calibri" w:cs="Arial"/>
          <w:color w:val="000000"/>
          <w:sz w:val="24"/>
          <w:szCs w:val="24"/>
          <w:lang w:val="sr-Latn-ME"/>
        </w:rPr>
        <w:t>) ništav je.</w:t>
      </w:r>
    </w:p>
    <w:p>
      <w:pPr>
        <w:spacing w:after="0" w:line="240" w:lineRule="auto"/>
        <w:jc w:val="both"/>
        <w:rPr>
          <w:rFonts w:hint="default" w:ascii="Arial" w:hAnsi="Arial" w:eastAsia="Calibri" w:cs="Arial"/>
          <w:bCs/>
          <w:color w:val="000000"/>
          <w:sz w:val="24"/>
          <w:szCs w:val="24"/>
          <w:lang w:val="sr-Latn-ME"/>
        </w:rPr>
      </w:pPr>
    </w:p>
    <w:p>
      <w:pPr>
        <w:jc w:val="both"/>
        <w:rPr>
          <w:rFonts w:hint="default" w:ascii="Arial" w:hAnsi="Arial" w:eastAsia="Calibri" w:cs="Arial"/>
          <w:sz w:val="24"/>
          <w:szCs w:val="24"/>
          <w:lang w:val="sr-Latn-ME"/>
        </w:rPr>
      </w:pPr>
      <w:r>
        <w:rPr>
          <w:rFonts w:hint="default" w:ascii="Arial" w:hAnsi="Arial" w:eastAsia="Calibri" w:cs="Arial"/>
          <w:sz w:val="24"/>
          <w:szCs w:val="24"/>
          <w:lang w:val="sr-Latn-ME"/>
        </w:rPr>
        <w:t>Za sve što nije definisano ovim ugovorom primjenjivaće se odredbe Zakona o obligacionim odnosima.</w:t>
      </w:r>
    </w:p>
    <w:p>
      <w:pPr>
        <w:jc w:val="both"/>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Eventualne nesporazume koji mogu da se pojave u vezi ovog Ugovora ugovorne strane će pokušati da  riješe sporazumno. Sve sporove koji nastanu u vezi ovog Ugovora rješavaće nadležni sud u Podgorici.</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sym w:font="Wingdings" w:char="F078"/>
      </w:r>
      <w:r>
        <w:rPr>
          <w:rFonts w:hint="default" w:ascii="Arial" w:hAnsi="Arial" w:eastAsia="Times New Roman" w:cs="Arial"/>
          <w:color w:val="000000"/>
          <w:sz w:val="24"/>
          <w:szCs w:val="24"/>
          <w:lang w:val="sr-Latn-ME"/>
        </w:rPr>
        <w:t xml:space="preserve"> Ugovor o javnoj nabavci tokom njegovog trajanja može da se izmijeni bez sprovođenja novog postupka javne nabavke u skladu sa članom 151 Zakona o javnim nabavkama („Službeni list CG“ br. 74/19, 3/23</w:t>
      </w:r>
      <w:r>
        <w:rPr>
          <w:rFonts w:hint="default" w:ascii="Arial" w:hAnsi="Arial" w:eastAsia="Times New Roman" w:cs="Arial"/>
          <w:color w:val="000000"/>
          <w:sz w:val="24"/>
          <w:szCs w:val="24"/>
          <w:lang w:val="sr-Latn-RS"/>
        </w:rPr>
        <w:t>,</w:t>
      </w:r>
      <w:r>
        <w:rPr>
          <w:rFonts w:hint="default" w:ascii="Arial" w:hAnsi="Arial" w:eastAsia="Times New Roman" w:cs="Arial"/>
          <w:color w:val="000000"/>
          <w:sz w:val="24"/>
          <w:szCs w:val="24"/>
          <w:lang w:val="sr-Latn-ME"/>
        </w:rPr>
        <w:t>11/23</w:t>
      </w:r>
      <w:r>
        <w:rPr>
          <w:rFonts w:hint="default" w:ascii="Arial" w:hAnsi="Arial" w:eastAsia="Times New Roman" w:cs="Arial"/>
          <w:color w:val="000000"/>
          <w:sz w:val="24"/>
          <w:szCs w:val="24"/>
          <w:lang w:val="sr-Latn-RS"/>
        </w:rPr>
        <w:t xml:space="preserve"> </w:t>
      </w:r>
      <w:r>
        <w:rPr>
          <w:rFonts w:hint="default" w:ascii="Arial" w:hAnsi="Arial" w:eastAsia="Times New Roman" w:cs="Arial"/>
          <w:color w:val="000000"/>
          <w:sz w:val="24"/>
          <w:szCs w:val="24"/>
          <w:lang w:val="sr-Latn-ME"/>
        </w:rPr>
        <w:t xml:space="preserve">, </w:t>
      </w:r>
      <w:r>
        <w:rPr>
          <w:rFonts w:hint="default" w:ascii="Arial" w:hAnsi="Arial" w:eastAsia="Times New Roman" w:cs="Arial"/>
          <w:color w:val="000000"/>
          <w:sz w:val="24"/>
          <w:szCs w:val="24"/>
          <w:lang w:val="sr-Latn-RS"/>
        </w:rPr>
        <w:t>84/24</w:t>
      </w:r>
      <w:r>
        <w:rPr>
          <w:rFonts w:hint="default" w:ascii="Arial" w:hAnsi="Arial" w:eastAsia="Times New Roman" w:cs="Arial"/>
          <w:color w:val="000000"/>
          <w:sz w:val="24"/>
          <w:szCs w:val="24"/>
          <w:lang w:val="sr-Latn-ME"/>
        </w:rPr>
        <w:t xml:space="preserve"> i 98/26), i to: </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kad se vrši zamjena podugovarača, u skladu sa članom 128 st. 10, 11 i 12 ovog zakona;</w:t>
      </w: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ako privrednog subjekta nakon restruktuiranja, uključujući preuzimanje, spajanje, kupovina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 stav 2 ovog zakona. </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after="0" w:line="240" w:lineRule="auto"/>
        <w:jc w:val="both"/>
        <w:outlineLvl w:val="0"/>
        <w:rPr>
          <w:rFonts w:hint="default" w:ascii="Arial" w:hAnsi="Arial" w:eastAsia="Times New Roman" w:cs="Arial"/>
          <w:b/>
          <w:sz w:val="24"/>
          <w:szCs w:val="24"/>
          <w:lang w:val="sr-Latn-ME"/>
        </w:rPr>
      </w:pPr>
      <w:bookmarkStart w:id="13" w:name="_Toc62730566"/>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4</w:t>
      </w:r>
      <w:r>
        <w:rPr>
          <w:rFonts w:hint="default" w:ascii="Arial" w:hAnsi="Arial" w:eastAsia="Times New Roman" w:cs="Arial"/>
          <w:b/>
          <w:sz w:val="24"/>
          <w:szCs w:val="24"/>
          <w:lang w:val="sr-Latn-ME"/>
        </w:rPr>
        <w:t>. ZAHTJEV ZA POJAŠNJENJE ILI IZMJENU I DOPUNU TENDERSKE DOKUMENTACIJE</w:t>
      </w:r>
      <w:bookmarkEnd w:id="13"/>
    </w:p>
    <w:p>
      <w:pPr>
        <w:spacing w:after="0" w:line="240" w:lineRule="auto"/>
        <w:jc w:val="both"/>
        <w:rPr>
          <w:rFonts w:hint="default" w:ascii="Arial" w:hAnsi="Arial" w:eastAsia="Times New Roman" w:cs="Arial"/>
          <w:sz w:val="24"/>
          <w:szCs w:val="24"/>
          <w:lang w:val="sr-Latn-ME"/>
        </w:rPr>
      </w:pPr>
    </w:p>
    <w:p>
      <w:pPr>
        <w:autoSpaceDE w:val="0"/>
        <w:autoSpaceDN w:val="0"/>
        <w:adjustRightInd w:val="0"/>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sz w:val="24"/>
          <w:szCs w:val="24"/>
          <w:lang w:val="sr-Latn-ME"/>
        </w:rPr>
      </w:pPr>
      <w:r>
        <w:rPr>
          <w:rFonts w:hint="default"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hint="default" w:ascii="Arial" w:hAnsi="Arial" w:eastAsia="Times New Roman" w:cs="Arial"/>
          <w:sz w:val="24"/>
          <w:szCs w:val="24"/>
          <w:lang w:val="sr-Latn-ME"/>
        </w:rPr>
      </w:pPr>
    </w:p>
    <w:p>
      <w:pPr>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Zahtjev se podnosi isključivo putem ESJN-a.</w:t>
      </w: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spacing w:after="0" w:line="240" w:lineRule="auto"/>
        <w:jc w:val="both"/>
        <w:rPr>
          <w:rFonts w:hint="default" w:ascii="Arial" w:hAnsi="Arial" w:eastAsia="Times New Roman" w:cs="Arial"/>
          <w:color w:val="000000"/>
          <w:sz w:val="24"/>
          <w:szCs w:val="24"/>
          <w:lang w:val="sr-Latn-ME"/>
        </w:rPr>
      </w:pPr>
    </w:p>
    <w:p>
      <w:pPr>
        <w:keepNext/>
        <w:keepLines/>
        <w:numPr>
          <w:ilvl w:val="0"/>
          <w:numId w:val="11"/>
        </w:numPr>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hint="default" w:ascii="Arial" w:hAnsi="Arial" w:eastAsia="Times New Roman" w:cs="Arial"/>
          <w:b/>
          <w:color w:val="000000"/>
          <w:sz w:val="24"/>
          <w:szCs w:val="24"/>
          <w:lang w:val="sr-Latn-ME"/>
        </w:rPr>
      </w:pPr>
      <w:bookmarkStart w:id="14" w:name="_Toc416180136"/>
      <w:bookmarkStart w:id="15" w:name="_Toc62730567"/>
      <w:bookmarkStart w:id="16" w:name="_Toc508349235"/>
      <w:r>
        <w:rPr>
          <w:rFonts w:hint="default" w:ascii="Arial" w:hAnsi="Arial" w:eastAsia="Times New Roman" w:cs="Arial"/>
          <w:b/>
          <w:sz w:val="24"/>
          <w:szCs w:val="24"/>
          <w:lang w:val="sr-Latn-ME"/>
        </w:rPr>
        <w:t xml:space="preserve"> IZJAVA NARUČIOCA O NEPOSTOJANJU SUKOBA INTERESA</w:t>
      </w:r>
      <w:bookmarkEnd w:id="14"/>
      <w:bookmarkEnd w:id="15"/>
      <w:bookmarkEnd w:id="16"/>
    </w:p>
    <w:p>
      <w:pPr>
        <w:tabs>
          <w:tab w:val="left" w:pos="1701"/>
          <w:tab w:val="left" w:pos="4820"/>
        </w:tabs>
        <w:spacing w:after="0" w:line="240" w:lineRule="auto"/>
        <w:jc w:val="both"/>
        <w:rPr>
          <w:rFonts w:hint="default" w:ascii="Arial" w:hAnsi="Arial" w:eastAsia="Times New Roman" w:cs="Arial"/>
          <w:color w:val="000000"/>
          <w:sz w:val="24"/>
          <w:szCs w:val="24"/>
          <w:highlight w:val="yellow"/>
          <w:u w:val="single"/>
          <w:lang w:val="sr-Latn-ME"/>
        </w:rPr>
      </w:pPr>
    </w:p>
    <w:p>
      <w:pPr>
        <w:tabs>
          <w:tab w:val="left" w:pos="1701"/>
          <w:tab w:val="left" w:pos="4820"/>
        </w:tabs>
        <w:spacing w:after="0" w:line="240" w:lineRule="auto"/>
        <w:jc w:val="both"/>
        <w:rPr>
          <w:rFonts w:hint="default" w:ascii="Arial" w:hAnsi="Arial" w:eastAsia="Times New Roman" w:cs="Arial"/>
          <w:color w:val="000000"/>
          <w:sz w:val="24"/>
          <w:szCs w:val="24"/>
          <w:highlight w:val="yellow"/>
          <w:u w:val="single"/>
          <w:lang w:val="sr-Latn-ME"/>
        </w:rPr>
      </w:pPr>
    </w:p>
    <w:p>
      <w:pPr>
        <w:tabs>
          <w:tab w:val="left" w:pos="1701"/>
          <w:tab w:val="left" w:pos="4820"/>
        </w:tabs>
        <w:spacing w:after="0" w:line="240" w:lineRule="auto"/>
        <w:jc w:val="both"/>
        <w:rPr>
          <w:rFonts w:hint="default" w:ascii="Arial" w:hAnsi="Arial" w:eastAsia="Times New Roman" w:cs="Arial"/>
          <w:color w:val="000000"/>
          <w:sz w:val="24"/>
          <w:szCs w:val="24"/>
          <w:highlight w:val="yellow"/>
          <w:u w:val="single"/>
          <w:lang w:val="sr-Latn-ME"/>
        </w:rPr>
      </w:pPr>
    </w:p>
    <w:p>
      <w:pPr>
        <w:tabs>
          <w:tab w:val="left" w:pos="851"/>
          <w:tab w:val="right" w:pos="3402"/>
        </w:tabs>
        <w:spacing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 xml:space="preserve">Naručilac: Ministarstvo finansija </w:t>
      </w:r>
    </w:p>
    <w:p>
      <w:pPr>
        <w:tabs>
          <w:tab w:val="right" w:pos="3402"/>
        </w:tabs>
        <w:spacing w:after="0" w:line="240" w:lineRule="auto"/>
        <w:jc w:val="both"/>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Broj:</w:t>
      </w:r>
      <w:r>
        <w:rPr>
          <w:rFonts w:hint="default" w:ascii="Arial" w:hAnsi="Arial" w:eastAsia="Calibri" w:cs="Arial"/>
          <w:color w:val="000000"/>
          <w:sz w:val="24"/>
          <w:szCs w:val="24"/>
          <w:highlight w:val="none"/>
          <w:lang w:val="sr-Latn-RS"/>
        </w:rPr>
        <w:t xml:space="preserve"> </w:t>
      </w:r>
      <w:r>
        <w:rPr>
          <w:rFonts w:hint="default" w:ascii="Arial" w:hAnsi="Arial" w:eastAsia="Calibri" w:cs="Arial"/>
          <w:color w:val="000000"/>
          <w:sz w:val="24"/>
          <w:szCs w:val="24"/>
          <w:highlight w:val="none"/>
          <w:lang w:val="sr-Latn-ME"/>
        </w:rPr>
        <w:t>21/2-426/26-30708/2</w:t>
      </w:r>
    </w:p>
    <w:p>
      <w:pPr>
        <w:tabs>
          <w:tab w:val="right" w:pos="3402"/>
        </w:tabs>
        <w:spacing w:after="0" w:line="240" w:lineRule="auto"/>
        <w:rPr>
          <w:rFonts w:hint="default" w:ascii="Arial" w:hAnsi="Arial" w:eastAsia="Calibri" w:cs="Arial"/>
          <w:color w:val="000000"/>
          <w:sz w:val="24"/>
          <w:szCs w:val="24"/>
          <w:highlight w:val="none"/>
          <w:lang w:val="sr-Latn-ME"/>
        </w:rPr>
      </w:pPr>
      <w:r>
        <w:rPr>
          <w:rFonts w:hint="default" w:ascii="Arial" w:hAnsi="Arial" w:eastAsia="Calibri" w:cs="Arial"/>
          <w:color w:val="000000"/>
          <w:sz w:val="24"/>
          <w:szCs w:val="24"/>
          <w:highlight w:val="none"/>
          <w:lang w:val="sr-Latn-ME"/>
        </w:rPr>
        <w:t>Podgorica, 09.09.2026. godine</w:t>
      </w:r>
    </w:p>
    <w:p>
      <w:pPr>
        <w:jc w:val="both"/>
        <w:rPr>
          <w:rFonts w:hint="default" w:ascii="Arial" w:hAnsi="Arial" w:cs="Arial"/>
          <w:b/>
          <w:bCs/>
          <w:color w:val="000000"/>
          <w:sz w:val="24"/>
          <w:szCs w:val="24"/>
          <w:lang w:val="sr-Latn-ME"/>
        </w:rPr>
      </w:pPr>
    </w:p>
    <w:p>
      <w:pPr>
        <w:tabs>
          <w:tab w:val="left" w:pos="3290"/>
        </w:tabs>
        <w:jc w:val="both"/>
        <w:rPr>
          <w:rFonts w:hint="default" w:ascii="Arial" w:hAnsi="Arial" w:cs="Arial"/>
          <w:sz w:val="24"/>
          <w:szCs w:val="24"/>
          <w:u w:val="single"/>
          <w:lang w:val="sr-Latn-ME"/>
        </w:rPr>
      </w:pPr>
      <w:r>
        <w:rPr>
          <w:rFonts w:hint="default" w:ascii="Arial" w:hAnsi="Arial" w:cs="Arial"/>
          <w:color w:val="000000"/>
          <w:sz w:val="24"/>
          <w:szCs w:val="24"/>
          <w:lang w:val="sr-Latn-ME"/>
        </w:rPr>
        <w:t xml:space="preserve">U skladu sa članom 43 stav 1 Zakona o javnim nabavkama </w:t>
      </w:r>
      <w:r>
        <w:rPr>
          <w:rFonts w:hint="default" w:ascii="Arial" w:hAnsi="Arial" w:cs="Arial"/>
          <w:sz w:val="24"/>
          <w:szCs w:val="24"/>
          <w:lang w:val="sr-Latn-ME"/>
        </w:rPr>
        <w:t xml:space="preserve">(„Službeni list CG”, </w:t>
      </w:r>
      <w:r>
        <w:rPr>
          <w:rFonts w:hint="default" w:ascii="Arial" w:hAnsi="Arial" w:cs="Arial"/>
          <w:sz w:val="24"/>
          <w:szCs w:val="24"/>
        </w:rPr>
        <w:t>br.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74/2019</w:t>
      </w:r>
      <w:r>
        <w:rPr>
          <w:rFonts w:hint="default" w:ascii="Arial" w:hAnsi="Arial" w:cs="Arial"/>
          <w:sz w:val="24"/>
          <w:szCs w:val="24"/>
        </w:rPr>
        <w:fldChar w:fldCharType="end"/>
      </w:r>
      <w:r>
        <w:rPr>
          <w:rFonts w:hint="default" w:ascii="Arial" w:hAnsi="Arial" w:cs="Arial"/>
          <w:sz w:val="24"/>
          <w:szCs w:val="24"/>
        </w:rPr>
        <w:t>,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3/2023</w:t>
      </w:r>
      <w:r>
        <w:rPr>
          <w:rFonts w:hint="default" w:ascii="Arial" w:hAnsi="Arial" w:cs="Arial"/>
          <w:sz w:val="24"/>
          <w:szCs w:val="24"/>
        </w:rPr>
        <w:fldChar w:fldCharType="end"/>
      </w:r>
      <w:r>
        <w:rPr>
          <w:rFonts w:hint="default" w:ascii="Arial" w:hAnsi="Arial" w:cs="Arial"/>
          <w:sz w:val="24"/>
          <w:szCs w:val="24"/>
        </w:rPr>
        <w:t>,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11/2023</w:t>
      </w:r>
      <w:r>
        <w:rPr>
          <w:rFonts w:hint="default" w:ascii="Arial" w:hAnsi="Arial" w:cs="Arial"/>
          <w:sz w:val="24"/>
          <w:szCs w:val="24"/>
        </w:rPr>
        <w:fldChar w:fldCharType="end"/>
      </w:r>
      <w:r>
        <w:rPr>
          <w:rFonts w:hint="default" w:ascii="Arial" w:hAnsi="Arial" w:cs="Arial"/>
          <w:sz w:val="24"/>
          <w:szCs w:val="24"/>
        </w:rPr>
        <w:t> - ispravka i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84/2024</w:t>
      </w:r>
      <w:r>
        <w:rPr>
          <w:rFonts w:hint="default" w:ascii="Arial" w:hAnsi="Arial" w:cs="Arial"/>
          <w:sz w:val="24"/>
          <w:szCs w:val="24"/>
        </w:rPr>
        <w:fldChar w:fldCharType="end"/>
      </w:r>
      <w:r>
        <w:rPr>
          <w:rFonts w:hint="default" w:ascii="Arial" w:hAnsi="Arial" w:cs="Arial"/>
          <w:sz w:val="24"/>
          <w:szCs w:val="24"/>
        </w:rPr>
        <w:t> - drugi zakon i </w:t>
      </w:r>
      <w:r>
        <w:rPr>
          <w:rFonts w:hint="default" w:ascii="Arial" w:hAnsi="Arial" w:cs="Arial"/>
          <w:sz w:val="24"/>
          <w:szCs w:val="24"/>
        </w:rPr>
        <w:fldChar w:fldCharType="begin"/>
      </w:r>
      <w:r>
        <w:rPr>
          <w:rFonts w:hint="default" w:ascii="Arial" w:hAnsi="Arial" w:cs="Arial"/>
          <w:sz w:val="24"/>
          <w:szCs w:val="24"/>
        </w:rPr>
        <w:instrText xml:space="preserve"> HYPERLINK "javascript:void(0)" </w:instrText>
      </w:r>
      <w:r>
        <w:rPr>
          <w:rFonts w:hint="default" w:ascii="Arial" w:hAnsi="Arial" w:cs="Arial"/>
          <w:sz w:val="24"/>
          <w:szCs w:val="24"/>
        </w:rPr>
        <w:fldChar w:fldCharType="separate"/>
      </w:r>
      <w:r>
        <w:rPr>
          <w:rFonts w:hint="default" w:ascii="Arial" w:hAnsi="Arial" w:cs="Arial"/>
          <w:sz w:val="24"/>
          <w:szCs w:val="24"/>
        </w:rPr>
        <w:t>98/2026</w:t>
      </w:r>
      <w:r>
        <w:rPr>
          <w:rFonts w:hint="default" w:ascii="Arial" w:hAnsi="Arial" w:cs="Arial"/>
          <w:sz w:val="24"/>
          <w:szCs w:val="24"/>
        </w:rPr>
        <w:fldChar w:fldCharType="end"/>
      </w:r>
      <w:r>
        <w:rPr>
          <w:rFonts w:hint="default" w:ascii="Arial" w:hAnsi="Arial" w:cs="Arial"/>
          <w:sz w:val="24"/>
          <w:szCs w:val="24"/>
          <w:lang w:val="sr-Latn-ME"/>
        </w:rPr>
        <w:t>)</w:t>
      </w:r>
      <w:r>
        <w:rPr>
          <w:rFonts w:hint="default" w:ascii="Arial" w:hAnsi="Arial" w:cs="Arial"/>
          <w:color w:val="000000"/>
          <w:sz w:val="24"/>
          <w:szCs w:val="24"/>
          <w:lang w:val="sr-Latn-ME"/>
        </w:rPr>
        <w:t xml:space="preserve">, u postupku javne nabavke, za nabavku </w:t>
      </w:r>
      <w:r>
        <w:rPr>
          <w:rFonts w:hint="default" w:ascii="Arial" w:hAnsi="Arial" w:cs="Arial"/>
          <w:color w:val="000000"/>
          <w:sz w:val="24"/>
          <w:szCs w:val="24"/>
          <w:u w:val="single"/>
          <w:lang w:val="sr-Latn-ME"/>
        </w:rPr>
        <w:t xml:space="preserve">usluga </w:t>
      </w:r>
      <w:r>
        <w:rPr>
          <w:rFonts w:hint="default" w:ascii="Arial" w:hAnsi="Arial" w:cs="Arial"/>
          <w:sz w:val="24"/>
          <w:szCs w:val="24"/>
          <w:u w:val="single"/>
        </w:rPr>
        <w:t>Portal građanskog budžeta - Citizens’ Budget Portal (CBP</w:t>
      </w:r>
    </w:p>
    <w:p>
      <w:pPr>
        <w:tabs>
          <w:tab w:val="left" w:pos="3290"/>
        </w:tabs>
        <w:ind w:firstLine="708"/>
        <w:jc w:val="both"/>
        <w:rPr>
          <w:rFonts w:hint="default" w:ascii="Arial" w:hAnsi="Arial" w:cs="Arial"/>
          <w:color w:val="000000"/>
          <w:sz w:val="24"/>
          <w:szCs w:val="24"/>
          <w:lang w:val="sr-Latn-ME"/>
        </w:rPr>
      </w:pPr>
    </w:p>
    <w:p>
      <w:pPr>
        <w:jc w:val="center"/>
        <w:rPr>
          <w:rFonts w:hint="default" w:ascii="Arial" w:hAnsi="Arial" w:cs="Arial" w:eastAsiaTheme="minorHAnsi"/>
          <w:b/>
          <w:sz w:val="24"/>
          <w:szCs w:val="24"/>
          <w:lang w:val="sr-Latn-ME"/>
        </w:rPr>
      </w:pPr>
    </w:p>
    <w:p>
      <w:pPr>
        <w:jc w:val="center"/>
        <w:rPr>
          <w:rFonts w:hint="default" w:ascii="Arial" w:hAnsi="Arial" w:cs="Arial" w:eastAsiaTheme="minorHAnsi"/>
          <w:b/>
          <w:sz w:val="24"/>
          <w:szCs w:val="24"/>
          <w:lang w:val="sr-Latn-ME"/>
        </w:rPr>
      </w:pPr>
      <w:r>
        <w:rPr>
          <w:rFonts w:hint="default" w:ascii="Arial" w:hAnsi="Arial" w:cs="Arial" w:eastAsiaTheme="minorHAnsi"/>
          <w:b/>
          <w:sz w:val="24"/>
          <w:szCs w:val="24"/>
          <w:lang w:val="sr-Latn-ME"/>
        </w:rPr>
        <w:t>Izjavljujem</w:t>
      </w:r>
    </w:p>
    <w:p>
      <w:pPr>
        <w:tabs>
          <w:tab w:val="left" w:pos="3290"/>
        </w:tabs>
        <w:ind w:firstLine="708"/>
        <w:jc w:val="both"/>
        <w:rPr>
          <w:rFonts w:hint="default" w:ascii="Arial" w:hAnsi="Arial" w:cs="Arial"/>
          <w:color w:val="000000"/>
          <w:sz w:val="24"/>
          <w:szCs w:val="24"/>
          <w:lang w:val="sr-Latn-ME"/>
        </w:rPr>
      </w:pPr>
    </w:p>
    <w:p>
      <w:pPr>
        <w:tabs>
          <w:tab w:val="left" w:pos="3290"/>
        </w:tabs>
        <w:jc w:val="both"/>
        <w:rPr>
          <w:rFonts w:hint="default" w:ascii="Arial" w:hAnsi="Arial" w:cs="Arial"/>
          <w:color w:val="000000"/>
          <w:sz w:val="24"/>
          <w:szCs w:val="24"/>
          <w:lang w:val="sr-Latn-ME"/>
        </w:rPr>
      </w:pPr>
      <w:r>
        <w:rPr>
          <w:rFonts w:hint="default" w:ascii="Arial" w:hAnsi="Arial" w:cs="Arial"/>
          <w:color w:val="000000"/>
          <w:sz w:val="24"/>
          <w:szCs w:val="24"/>
          <w:lang w:val="sr-Latn-ME"/>
        </w:rPr>
        <w:t xml:space="preserve">da </w:t>
      </w:r>
      <w:r>
        <w:rPr>
          <w:rFonts w:hint="default" w:ascii="Arial" w:hAnsi="Arial" w:cs="Arial" w:eastAsiaTheme="minorHAnsi"/>
          <w:sz w:val="24"/>
          <w:szCs w:val="24"/>
          <w:lang w:val="sr-Latn-ME"/>
        </w:rPr>
        <w:t>Ja, dolje potpisani/a, sam upoznat/a sa odredbama čl. od 40 do 43 Zakona o javnim nabavkama kojima se uređuje sukob interesa između naručioca i privrednog subjekta u postupcima javnih nabavki.</w:t>
      </w:r>
    </w:p>
    <w:p>
      <w:pPr>
        <w:jc w:val="both"/>
        <w:rPr>
          <w:rFonts w:hint="default" w:ascii="Arial" w:hAnsi="Arial" w:cs="Arial" w:eastAsiaTheme="minorHAnsi"/>
          <w:sz w:val="24"/>
          <w:szCs w:val="24"/>
          <w:lang w:val="sr-Latn-ME"/>
        </w:rPr>
      </w:pPr>
    </w:p>
    <w:p>
      <w:pPr>
        <w:jc w:val="both"/>
        <w:rPr>
          <w:rFonts w:hint="default" w:ascii="Arial" w:hAnsi="Arial" w:cs="Arial" w:eastAsiaTheme="minorHAnsi"/>
          <w:sz w:val="24"/>
          <w:szCs w:val="24"/>
          <w:lang w:val="sr-Latn-ME"/>
        </w:rPr>
      </w:pPr>
      <w:r>
        <w:rPr>
          <w:rFonts w:hint="default" w:ascii="Arial" w:hAnsi="Arial" w:cs="Arial" w:eastAsiaTheme="minorHAnsi"/>
          <w:sz w:val="24"/>
          <w:szCs w:val="24"/>
          <w:lang w:val="sr-Latn-ME"/>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pPr>
        <w:jc w:val="both"/>
        <w:rPr>
          <w:rFonts w:hint="default" w:ascii="Arial" w:hAnsi="Arial" w:cs="Arial" w:eastAsiaTheme="minorHAnsi"/>
          <w:sz w:val="24"/>
          <w:szCs w:val="24"/>
          <w:lang w:val="sr-Latn-ME"/>
        </w:rPr>
      </w:pPr>
    </w:p>
    <w:p>
      <w:pPr>
        <w:jc w:val="both"/>
        <w:rPr>
          <w:rFonts w:hint="default" w:ascii="Arial" w:hAnsi="Arial" w:cs="Arial" w:eastAsiaTheme="minorHAnsi"/>
          <w:sz w:val="24"/>
          <w:szCs w:val="24"/>
          <w:lang w:val="sr-Latn-ME"/>
        </w:rPr>
      </w:pPr>
      <w:r>
        <w:rPr>
          <w:rFonts w:hint="default" w:ascii="Arial" w:hAnsi="Arial" w:cs="Arial" w:eastAsiaTheme="minorHAnsi"/>
          <w:sz w:val="24"/>
          <w:szCs w:val="24"/>
          <w:lang w:val="sr-Latn-ME"/>
        </w:rPr>
        <w:t>Povezanim osobama smatraju se srodnici u pravoj liniji i u pobočnoj liniji do četvrtog stepena, srodnici po tazbini do drugog stepena, bračnog ili vanbračnog druga, bez obzira da li je brak prestao, usvojioca i usvojenika.</w:t>
      </w:r>
    </w:p>
    <w:p>
      <w:pPr>
        <w:jc w:val="both"/>
        <w:rPr>
          <w:rFonts w:hint="default" w:ascii="Arial" w:hAnsi="Arial" w:cs="Arial" w:eastAsiaTheme="minorHAnsi"/>
          <w:sz w:val="24"/>
          <w:szCs w:val="24"/>
          <w:lang w:val="sr-Latn-ME"/>
        </w:rPr>
      </w:pPr>
    </w:p>
    <w:p>
      <w:pPr>
        <w:jc w:val="both"/>
        <w:rPr>
          <w:rFonts w:hint="default" w:ascii="Arial" w:hAnsi="Arial" w:cs="Arial" w:eastAsiaTheme="minorHAnsi"/>
          <w:sz w:val="24"/>
          <w:szCs w:val="24"/>
          <w:lang w:val="sr-Latn-ME"/>
        </w:rPr>
      </w:pPr>
      <w:r>
        <w:rPr>
          <w:rFonts w:hint="default" w:ascii="Arial" w:hAnsi="Arial" w:cs="Arial" w:eastAsiaTheme="minorHAnsi"/>
          <w:sz w:val="24"/>
          <w:szCs w:val="24"/>
          <w:lang w:val="sr-Latn-ME"/>
        </w:rPr>
        <w:t>U odnosu na privredne subjekte koji učestvuju ili mogu učestvovati u postupku javne nabavke, odnosno na ponuđače, učesnike, članove zajednice ponuđača, podugovarače i druge subjekte na koje se ponuđač ili učesnik oslanja:</w:t>
      </w:r>
    </w:p>
    <w:p>
      <w:pPr>
        <w:jc w:val="both"/>
        <w:rPr>
          <w:rFonts w:hint="default" w:ascii="Arial" w:hAnsi="Arial" w:cs="Arial" w:eastAsiaTheme="minorHAnsi"/>
          <w:sz w:val="24"/>
          <w:szCs w:val="24"/>
          <w:lang w:val="sr-Latn-ME"/>
        </w:rPr>
      </w:pPr>
    </w:p>
    <w:p>
      <w:pPr>
        <w:pStyle w:val="10"/>
        <w:numPr>
          <w:ilvl w:val="0"/>
          <w:numId w:val="12"/>
        </w:numPr>
        <w:jc w:val="both"/>
        <w:rPr>
          <w:rFonts w:hint="default" w:ascii="Arial" w:hAnsi="Arial" w:cs="Arial" w:eastAsiaTheme="minorHAnsi"/>
          <w:b/>
          <w:sz w:val="24"/>
          <w:szCs w:val="24"/>
          <w:lang w:val="sr-Latn-ME"/>
        </w:rPr>
      </w:pPr>
      <w:r>
        <w:rPr>
          <w:rFonts w:hint="default" w:ascii="Arial" w:hAnsi="Arial" w:cs="Arial" w:eastAsiaTheme="minorHAnsi"/>
          <w:b/>
          <w:sz w:val="24"/>
          <w:szCs w:val="24"/>
          <w:lang w:val="sr-Latn-ME"/>
        </w:rPr>
        <w:t>Izjavljujem da ne postoji sukob interesa:</w:t>
      </w:r>
    </w:p>
    <w:p>
      <w:pPr>
        <w:jc w:val="both"/>
        <w:rPr>
          <w:rFonts w:hint="default" w:ascii="Arial" w:hAnsi="Arial" w:cs="Arial" w:eastAsiaTheme="minorHAnsi"/>
          <w:sz w:val="24"/>
          <w:szCs w:val="24"/>
          <w:lang w:val="sr-Latn-ME"/>
        </w:rPr>
      </w:pPr>
    </w:p>
    <w:p>
      <w:pPr>
        <w:jc w:val="both"/>
        <w:rPr>
          <w:rFonts w:hint="default" w:ascii="Arial" w:hAnsi="Arial" w:cs="Arial"/>
          <w:sz w:val="24"/>
          <w:szCs w:val="24"/>
        </w:rPr>
      </w:pPr>
      <w:r>
        <w:rPr>
          <w:rFonts w:hint="default" w:ascii="Arial" w:hAnsi="Arial" w:cs="Arial" w:eastAsiaTheme="minorHAnsi"/>
          <w:sz w:val="24"/>
          <w:szCs w:val="24"/>
          <w:lang w:val="sr-Latn-ME"/>
        </w:rPr>
        <w:t>Izjavljujem da ja lično niti sa mnom povezana lica nemamo</w:t>
      </w:r>
      <w:r>
        <w:rPr>
          <w:rFonts w:hint="default" w:ascii="Arial" w:hAnsi="Arial" w:cs="Arial"/>
          <w:sz w:val="24"/>
          <w:szCs w:val="24"/>
        </w:rPr>
        <w:t xml:space="preserve"> direktno ili indirektno finansijski, privredni ili drugi lični interes koji može da utiče na nepristrasnost i nezavisnost u sprovođenju postupka javne nabavke, niti učestvujemo u upravljanju kod privrednog subjekta niti imamo vlasnički udio ili akcije u iznosu većem od 2,5% kapitala ili drugo pravo na osnovu kojeg može da učestvuje u upravljanju poslovanjem privrednog subjekta.</w:t>
      </w:r>
    </w:p>
    <w:p>
      <w:pPr>
        <w:jc w:val="both"/>
        <w:rPr>
          <w:rFonts w:hint="default" w:ascii="Arial" w:hAnsi="Arial" w:cs="Arial"/>
          <w:sz w:val="24"/>
          <w:szCs w:val="24"/>
        </w:rPr>
      </w:pPr>
    </w:p>
    <w:p>
      <w:pPr>
        <w:jc w:val="both"/>
        <w:rPr>
          <w:rFonts w:hint="default" w:ascii="Arial" w:hAnsi="Arial" w:cs="Arial"/>
          <w:sz w:val="24"/>
          <w:szCs w:val="24"/>
          <w:lang w:val="sr-Latn-ME"/>
        </w:rPr>
      </w:pPr>
    </w:p>
    <w:p>
      <w:pPr>
        <w:pStyle w:val="10"/>
        <w:numPr>
          <w:ilvl w:val="0"/>
          <w:numId w:val="12"/>
        </w:numPr>
        <w:jc w:val="both"/>
        <w:rPr>
          <w:rFonts w:hint="default" w:ascii="Arial" w:hAnsi="Arial" w:cs="Arial" w:eastAsiaTheme="minorHAnsi"/>
          <w:b/>
          <w:sz w:val="24"/>
          <w:szCs w:val="24"/>
          <w:lang w:val="sr-Latn-ME"/>
        </w:rPr>
      </w:pPr>
      <w:r>
        <w:rPr>
          <w:rFonts w:hint="default" w:ascii="Arial" w:hAnsi="Arial" w:cs="Arial" w:eastAsiaTheme="minorHAnsi"/>
          <w:b/>
          <w:sz w:val="24"/>
          <w:szCs w:val="24"/>
          <w:lang w:val="sr-Latn-ME"/>
        </w:rPr>
        <w:t>Izjavljujem da postoji sukob interesa:</w:t>
      </w:r>
    </w:p>
    <w:p>
      <w:pPr>
        <w:jc w:val="both"/>
        <w:rPr>
          <w:rFonts w:hint="default" w:ascii="Arial" w:hAnsi="Arial" w:cs="Arial" w:eastAsiaTheme="minorHAnsi"/>
          <w:sz w:val="24"/>
          <w:szCs w:val="24"/>
          <w:lang w:val="sr-Latn-ME"/>
        </w:rPr>
      </w:pPr>
    </w:p>
    <w:p>
      <w:pPr>
        <w:jc w:val="both"/>
        <w:rPr>
          <w:rFonts w:hint="default" w:ascii="Arial" w:hAnsi="Arial" w:cs="Arial" w:eastAsiaTheme="minorHAnsi"/>
          <w:sz w:val="24"/>
          <w:szCs w:val="24"/>
          <w:lang w:val="sr-Latn-ME"/>
        </w:rPr>
      </w:pPr>
      <w:r>
        <w:rPr>
          <w:rFonts w:hint="default" w:ascii="Arial" w:hAnsi="Arial" w:cs="Arial" w:eastAsiaTheme="minorHAnsi"/>
          <w:sz w:val="24"/>
          <w:szCs w:val="24"/>
          <w:lang w:val="sr-Latn-ME"/>
        </w:rPr>
        <w:t>Izjavljujem/o da postoji okolnost koja može predstavljati sukob interesa u smislu čl. od 40 do 43 Zakona o javnim nabavkama. Podaci o privrednom subjektu i prirodi odnosa navedeni su u nastavku ove izjave:</w:t>
      </w:r>
    </w:p>
    <w:p>
      <w:pPr>
        <w:tabs>
          <w:tab w:val="left" w:pos="3290"/>
        </w:tabs>
        <w:jc w:val="both"/>
        <w:rPr>
          <w:rFonts w:hint="default" w:ascii="Arial" w:hAnsi="Arial" w:cs="Arial"/>
          <w:i/>
          <w:color w:val="000000"/>
          <w:sz w:val="24"/>
          <w:szCs w:val="24"/>
          <w:u w:val="single"/>
          <w:lang w:val="sr-Latn-ME"/>
        </w:rPr>
      </w:pPr>
    </w:p>
    <w:tbl>
      <w:tblPr>
        <w:tblStyle w:val="4"/>
        <w:tblW w:w="9364" w:type="dxa"/>
        <w:tblInd w:w="-5" w:type="dxa"/>
        <w:tblLayout w:type="fixed"/>
        <w:tblCellMar>
          <w:top w:w="0" w:type="dxa"/>
          <w:left w:w="108" w:type="dxa"/>
          <w:bottom w:w="0" w:type="dxa"/>
          <w:right w:w="108" w:type="dxa"/>
        </w:tblCellMar>
      </w:tblPr>
      <w:tblGrid>
        <w:gridCol w:w="572"/>
        <w:gridCol w:w="1973"/>
        <w:gridCol w:w="1357"/>
        <w:gridCol w:w="872"/>
        <w:gridCol w:w="1856"/>
        <w:gridCol w:w="1401"/>
        <w:gridCol w:w="1333"/>
      </w:tblGrid>
      <w:tr>
        <w:tblPrEx>
          <w:tblCellMar>
            <w:top w:w="0" w:type="dxa"/>
            <w:left w:w="108" w:type="dxa"/>
            <w:bottom w:w="0" w:type="dxa"/>
            <w:right w:w="108" w:type="dxa"/>
          </w:tblCellMar>
        </w:tblPrEx>
        <w:trPr>
          <w:trHeight w:val="696" w:hRule="atLeast"/>
        </w:trPr>
        <w:tc>
          <w:tcPr>
            <w:tcW w:w="572" w:type="dxa"/>
            <w:tcBorders>
              <w:top w:val="single" w:color="auto" w:sz="4" w:space="0"/>
              <w:left w:val="single" w:color="auto" w:sz="4" w:space="0"/>
              <w:bottom w:val="single" w:color="auto" w:sz="4" w:space="0"/>
              <w:right w:val="single" w:color="auto" w:sz="4" w:space="0"/>
            </w:tcBorders>
            <w:shd w:val="clear" w:color="000000" w:fill="D9D9D9"/>
            <w:noWrap/>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R.B</w:t>
            </w:r>
          </w:p>
        </w:tc>
        <w:tc>
          <w:tcPr>
            <w:tcW w:w="1973" w:type="dxa"/>
            <w:tcBorders>
              <w:top w:val="single" w:color="auto" w:sz="4" w:space="0"/>
              <w:left w:val="nil"/>
              <w:bottom w:val="single" w:color="auto" w:sz="4" w:space="0"/>
              <w:right w:val="single" w:color="auto" w:sz="4" w:space="0"/>
            </w:tcBorders>
            <w:shd w:val="clear" w:color="000000" w:fill="D9D9D9"/>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Ime i prezime</w:t>
            </w:r>
            <w:r>
              <w:rPr>
                <w:rStyle w:val="6"/>
                <w:rFonts w:hint="default" w:ascii="Arial" w:hAnsi="Arial" w:eastAsia="Calibri" w:cs="Arial"/>
                <w:color w:val="000000"/>
                <w:sz w:val="24"/>
                <w:szCs w:val="24"/>
                <w:lang w:val="sr-Latn-ME" w:eastAsia="sr-Latn-ME"/>
              </w:rPr>
              <w:footnoteReference w:id="9"/>
            </w:r>
          </w:p>
        </w:tc>
        <w:tc>
          <w:tcPr>
            <w:tcW w:w="1357" w:type="dxa"/>
            <w:tcBorders>
              <w:top w:val="single" w:color="auto" w:sz="4" w:space="0"/>
              <w:left w:val="nil"/>
              <w:bottom w:val="single" w:color="auto" w:sz="4" w:space="0"/>
              <w:right w:val="single" w:color="auto" w:sz="4" w:space="0"/>
            </w:tcBorders>
            <w:shd w:val="clear" w:color="000000" w:fill="D9D9D9"/>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xml:space="preserve">Naziv privrednog subjekta </w:t>
            </w:r>
          </w:p>
        </w:tc>
        <w:tc>
          <w:tcPr>
            <w:tcW w:w="872" w:type="dxa"/>
            <w:tcBorders>
              <w:top w:val="single" w:color="auto" w:sz="4" w:space="0"/>
              <w:left w:val="nil"/>
              <w:bottom w:val="single" w:color="auto" w:sz="4" w:space="0"/>
              <w:right w:val="single" w:color="auto" w:sz="4" w:space="0"/>
            </w:tcBorders>
            <w:shd w:val="clear" w:color="000000" w:fill="D9D9D9"/>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PIB</w:t>
            </w:r>
          </w:p>
        </w:tc>
        <w:tc>
          <w:tcPr>
            <w:tcW w:w="1856" w:type="dxa"/>
            <w:tcBorders>
              <w:top w:val="single" w:color="auto" w:sz="4" w:space="0"/>
              <w:left w:val="nil"/>
              <w:bottom w:val="single" w:color="auto" w:sz="4" w:space="0"/>
              <w:right w:val="single" w:color="auto" w:sz="4" w:space="0"/>
            </w:tcBorders>
            <w:shd w:val="clear" w:color="000000" w:fill="D9D9D9"/>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Osoba na koju se okolnost odnosi</w:t>
            </w:r>
          </w:p>
        </w:tc>
        <w:tc>
          <w:tcPr>
            <w:tcW w:w="1401" w:type="dxa"/>
            <w:tcBorders>
              <w:top w:val="single" w:color="auto" w:sz="4" w:space="0"/>
              <w:left w:val="nil"/>
              <w:bottom w:val="single" w:color="auto" w:sz="4" w:space="0"/>
              <w:right w:val="single" w:color="auto" w:sz="4" w:space="0"/>
            </w:tcBorders>
            <w:shd w:val="clear" w:color="000000" w:fill="D9D9D9"/>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Vrsta odnosa ili interesa</w:t>
            </w:r>
          </w:p>
        </w:tc>
        <w:tc>
          <w:tcPr>
            <w:tcW w:w="1333" w:type="dxa"/>
            <w:tcBorders>
              <w:top w:val="single" w:color="auto" w:sz="4" w:space="0"/>
              <w:left w:val="nil"/>
              <w:bottom w:val="single" w:color="auto" w:sz="4" w:space="0"/>
              <w:right w:val="single" w:color="auto" w:sz="4" w:space="0"/>
            </w:tcBorders>
            <w:shd w:val="clear" w:color="000000" w:fill="D9D9D9"/>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Napomena</w:t>
            </w:r>
          </w:p>
        </w:tc>
      </w:tr>
      <w:tr>
        <w:tblPrEx>
          <w:tblCellMar>
            <w:top w:w="0" w:type="dxa"/>
            <w:left w:w="108" w:type="dxa"/>
            <w:bottom w:w="0" w:type="dxa"/>
            <w:right w:w="108" w:type="dxa"/>
          </w:tblCellMar>
        </w:tblPrEx>
        <w:trPr>
          <w:trHeight w:val="403" w:hRule="atLeast"/>
        </w:trPr>
        <w:tc>
          <w:tcPr>
            <w:tcW w:w="572" w:type="dxa"/>
            <w:tcBorders>
              <w:top w:val="nil"/>
              <w:left w:val="single" w:color="auto" w:sz="4" w:space="0"/>
              <w:bottom w:val="single" w:color="auto" w:sz="4" w:space="0"/>
              <w:right w:val="single" w:color="auto" w:sz="4" w:space="0"/>
            </w:tcBorders>
            <w:shd w:val="clear" w:color="000000" w:fill="D9D9D9"/>
            <w:noWrap/>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1</w:t>
            </w:r>
          </w:p>
        </w:tc>
        <w:tc>
          <w:tcPr>
            <w:tcW w:w="197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57"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872"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856"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401"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3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r>
      <w:tr>
        <w:tblPrEx>
          <w:tblCellMar>
            <w:top w:w="0" w:type="dxa"/>
            <w:left w:w="108" w:type="dxa"/>
            <w:bottom w:w="0" w:type="dxa"/>
            <w:right w:w="108" w:type="dxa"/>
          </w:tblCellMar>
        </w:tblPrEx>
        <w:trPr>
          <w:trHeight w:val="403" w:hRule="atLeast"/>
        </w:trPr>
        <w:tc>
          <w:tcPr>
            <w:tcW w:w="572" w:type="dxa"/>
            <w:tcBorders>
              <w:top w:val="nil"/>
              <w:left w:val="single" w:color="auto" w:sz="4" w:space="0"/>
              <w:bottom w:val="single" w:color="auto" w:sz="4" w:space="0"/>
              <w:right w:val="single" w:color="auto" w:sz="4" w:space="0"/>
            </w:tcBorders>
            <w:shd w:val="clear" w:color="000000" w:fill="D9D9D9"/>
            <w:noWrap/>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2</w:t>
            </w:r>
          </w:p>
        </w:tc>
        <w:tc>
          <w:tcPr>
            <w:tcW w:w="197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57"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872"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856"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401"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3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r>
      <w:tr>
        <w:tblPrEx>
          <w:tblCellMar>
            <w:top w:w="0" w:type="dxa"/>
            <w:left w:w="108" w:type="dxa"/>
            <w:bottom w:w="0" w:type="dxa"/>
            <w:right w:w="108" w:type="dxa"/>
          </w:tblCellMar>
        </w:tblPrEx>
        <w:trPr>
          <w:trHeight w:val="403" w:hRule="atLeast"/>
        </w:trPr>
        <w:tc>
          <w:tcPr>
            <w:tcW w:w="572" w:type="dxa"/>
            <w:tcBorders>
              <w:top w:val="nil"/>
              <w:left w:val="single" w:color="auto" w:sz="4" w:space="0"/>
              <w:bottom w:val="single" w:color="auto" w:sz="4" w:space="0"/>
              <w:right w:val="single" w:color="auto" w:sz="4" w:space="0"/>
            </w:tcBorders>
            <w:shd w:val="clear" w:color="000000" w:fill="D9D9D9"/>
            <w:noWrap/>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3</w:t>
            </w:r>
          </w:p>
        </w:tc>
        <w:tc>
          <w:tcPr>
            <w:tcW w:w="197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57"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872"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856"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401"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3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r>
      <w:tr>
        <w:tblPrEx>
          <w:tblCellMar>
            <w:top w:w="0" w:type="dxa"/>
            <w:left w:w="108" w:type="dxa"/>
            <w:bottom w:w="0" w:type="dxa"/>
            <w:right w:w="108" w:type="dxa"/>
          </w:tblCellMar>
        </w:tblPrEx>
        <w:trPr>
          <w:trHeight w:val="403" w:hRule="atLeast"/>
        </w:trPr>
        <w:tc>
          <w:tcPr>
            <w:tcW w:w="572" w:type="dxa"/>
            <w:tcBorders>
              <w:top w:val="nil"/>
              <w:left w:val="single" w:color="auto" w:sz="4" w:space="0"/>
              <w:bottom w:val="single" w:color="auto" w:sz="4" w:space="0"/>
              <w:right w:val="single" w:color="auto" w:sz="4" w:space="0"/>
            </w:tcBorders>
            <w:shd w:val="clear" w:color="000000" w:fill="D9D9D9"/>
            <w:noWrap/>
            <w:vAlign w:val="center"/>
          </w:tcPr>
          <w:p>
            <w:pPr>
              <w:jc w:val="cente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w:t>
            </w:r>
          </w:p>
        </w:tc>
        <w:tc>
          <w:tcPr>
            <w:tcW w:w="197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57"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872"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856"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401"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c>
          <w:tcPr>
            <w:tcW w:w="1333" w:type="dxa"/>
            <w:tcBorders>
              <w:top w:val="nil"/>
              <w:left w:val="nil"/>
              <w:bottom w:val="single" w:color="auto" w:sz="4" w:space="0"/>
              <w:right w:val="single" w:color="auto" w:sz="4" w:space="0"/>
            </w:tcBorders>
            <w:shd w:val="clear" w:color="auto" w:fill="auto"/>
            <w:noWrap/>
            <w:vAlign w:val="bottom"/>
          </w:tcPr>
          <w:p>
            <w:pPr>
              <w:rPr>
                <w:rFonts w:hint="default" w:ascii="Arial" w:hAnsi="Arial" w:cs="Arial"/>
                <w:color w:val="000000"/>
                <w:sz w:val="24"/>
                <w:szCs w:val="24"/>
                <w:lang w:val="sr-Latn-ME" w:eastAsia="sr-Latn-ME"/>
              </w:rPr>
            </w:pPr>
            <w:r>
              <w:rPr>
                <w:rFonts w:hint="default" w:ascii="Arial" w:hAnsi="Arial" w:cs="Arial"/>
                <w:color w:val="000000"/>
                <w:sz w:val="24"/>
                <w:szCs w:val="24"/>
                <w:lang w:val="sr-Latn-ME" w:eastAsia="sr-Latn-ME"/>
              </w:rPr>
              <w:t> </w:t>
            </w:r>
          </w:p>
        </w:tc>
      </w:tr>
    </w:tbl>
    <w:p>
      <w:pPr>
        <w:tabs>
          <w:tab w:val="left" w:pos="3290"/>
        </w:tabs>
        <w:jc w:val="both"/>
        <w:rPr>
          <w:rFonts w:hint="default" w:ascii="Arial" w:hAnsi="Arial" w:cs="Arial"/>
          <w:color w:val="000000"/>
          <w:sz w:val="24"/>
          <w:szCs w:val="24"/>
          <w:lang w:val="sr-Latn-ME"/>
        </w:rPr>
      </w:pPr>
    </w:p>
    <w:p>
      <w:pPr>
        <w:jc w:val="both"/>
        <w:rPr>
          <w:rFonts w:hint="default" w:ascii="Arial" w:hAnsi="Arial" w:cs="Arial"/>
          <w:b/>
          <w:bCs/>
          <w:color w:val="000000"/>
          <w:sz w:val="24"/>
          <w:szCs w:val="24"/>
          <w:lang w:val="sr-Latn-ME"/>
        </w:rPr>
      </w:pPr>
    </w:p>
    <w:p>
      <w:pPr>
        <w:spacing w:after="0" w:line="240" w:lineRule="auto"/>
        <w:ind w:left="7147" w:leftChars="1199" w:hanging="4509" w:hangingChars="1879"/>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  Ovlašćeno lice naručioca:                                 </w:t>
      </w:r>
      <w:r>
        <w:rPr>
          <w:rFonts w:hint="default" w:ascii="Arial" w:hAnsi="Arial" w:eastAsia="Calibri" w:cs="Arial"/>
          <w:color w:val="000000"/>
          <w:sz w:val="24"/>
          <w:szCs w:val="24"/>
          <w:lang w:val="sr-Latn-RS"/>
        </w:rPr>
        <w:t xml:space="preserve"> Sekretarka</w:t>
      </w:r>
      <w:r>
        <w:rPr>
          <w:rFonts w:hint="default" w:ascii="Arial" w:hAnsi="Arial" w:eastAsia="Calibri" w:cs="Arial"/>
          <w:color w:val="000000"/>
          <w:sz w:val="24"/>
          <w:szCs w:val="24"/>
          <w:lang w:val="sr-Latn-ME"/>
        </w:rPr>
        <w:t xml:space="preserve"> </w:t>
      </w:r>
    </w:p>
    <w:p>
      <w:pPr>
        <w:spacing w:after="0" w:line="240" w:lineRule="auto"/>
        <w:ind w:firstLine="1134"/>
        <w:jc w:val="center"/>
        <w:rPr>
          <w:rFonts w:hint="default" w:ascii="Arial" w:hAnsi="Arial" w:eastAsia="Calibri" w:cs="Arial"/>
          <w:color w:val="000000"/>
          <w:sz w:val="24"/>
          <w:szCs w:val="24"/>
          <w:lang w:val="sr-Latn-ME"/>
        </w:rPr>
      </w:pPr>
      <w:r>
        <w:rPr>
          <w:rFonts w:hint="default" w:ascii="Arial" w:hAnsi="Arial" w:eastAsia="Calibri" w:cs="Arial"/>
          <w:color w:val="000000"/>
          <w:sz w:val="24"/>
          <w:szCs w:val="24"/>
          <w:lang w:val="sr-Latn-ME"/>
        </w:rPr>
        <w:t xml:space="preserve">                                                                                      </w:t>
      </w:r>
      <w:r>
        <w:rPr>
          <w:rFonts w:hint="default" w:ascii="Arial" w:hAnsi="Arial" w:eastAsia="Calibri" w:cs="Arial"/>
          <w:color w:val="000000"/>
          <w:sz w:val="24"/>
          <w:szCs w:val="24"/>
          <w:lang w:val="sr-Latn-RS"/>
        </w:rPr>
        <w:t xml:space="preserve"> Maja Mitrovi</w:t>
      </w:r>
      <w:r>
        <w:rPr>
          <w:rFonts w:hint="default" w:ascii="Arial" w:hAnsi="Arial" w:eastAsia="Calibri" w:cs="Arial"/>
          <w:color w:val="000000"/>
          <w:sz w:val="24"/>
          <w:szCs w:val="24"/>
          <w:lang w:val="sr-Latn-ME"/>
        </w:rPr>
        <w:t>ć</w:t>
      </w:r>
    </w:p>
    <w:p>
      <w:pPr>
        <w:spacing w:after="0" w:line="240" w:lineRule="auto"/>
        <w:ind w:left="5664" w:firstLine="708"/>
        <w:jc w:val="center"/>
        <w:rPr>
          <w:rFonts w:hint="default" w:ascii="Arial" w:hAnsi="Arial" w:eastAsia="Calibri" w:cs="Arial"/>
          <w:i/>
          <w:iCs/>
          <w:color w:val="000000"/>
          <w:sz w:val="24"/>
          <w:szCs w:val="24"/>
          <w:lang w:val="sr-Latn-ME"/>
        </w:rPr>
      </w:pPr>
      <w:r>
        <w:rPr>
          <w:rFonts w:hint="default" w:ascii="Arial" w:hAnsi="Arial" w:eastAsia="Calibri" w:cs="Arial"/>
          <w:i/>
          <w:iCs/>
          <w:color w:val="000000"/>
          <w:sz w:val="24"/>
          <w:szCs w:val="24"/>
          <w:lang w:val="sr-Latn-ME"/>
        </w:rPr>
        <w:t xml:space="preserve">       s.r.</w:t>
      </w:r>
    </w:p>
    <w:p>
      <w:pPr>
        <w:spacing w:after="0" w:line="240" w:lineRule="auto"/>
        <w:jc w:val="right"/>
        <w:rPr>
          <w:rFonts w:hint="default" w:ascii="Arial" w:hAnsi="Arial" w:eastAsia="Calibri" w:cs="Arial"/>
          <w:color w:val="000000"/>
          <w:sz w:val="24"/>
          <w:szCs w:val="24"/>
          <w:lang w:val="sr-Latn-ME"/>
        </w:rPr>
      </w:pPr>
    </w:p>
    <w:p>
      <w:pPr>
        <w:tabs>
          <w:tab w:val="left" w:pos="8160"/>
        </w:tabs>
        <w:spacing w:after="0" w:line="240" w:lineRule="auto"/>
        <w:jc w:val="center"/>
        <w:rPr>
          <w:rFonts w:hint="default" w:ascii="Arial" w:hAnsi="Arial" w:eastAsia="Calibri" w:cs="Arial"/>
          <w:color w:val="000000"/>
          <w:sz w:val="24"/>
          <w:szCs w:val="24"/>
          <w:lang w:val="en-US"/>
        </w:rPr>
      </w:pPr>
      <w:r>
        <w:rPr>
          <w:rFonts w:hint="default" w:ascii="Arial" w:hAnsi="Arial" w:eastAsia="Calibri" w:cs="Arial"/>
          <w:color w:val="000000"/>
          <w:sz w:val="24"/>
          <w:szCs w:val="24"/>
          <w:lang w:val="en-US"/>
        </w:rPr>
        <w:t xml:space="preserve">                                                 </w:t>
      </w:r>
    </w:p>
    <w:p>
      <w:pPr>
        <w:tabs>
          <w:tab w:val="left" w:pos="8160"/>
        </w:tabs>
        <w:spacing w:after="0" w:line="240" w:lineRule="auto"/>
        <w:jc w:val="center"/>
        <w:rPr>
          <w:rFonts w:hint="default" w:ascii="Arial" w:hAnsi="Arial" w:eastAsia="Calibri" w:cs="Arial"/>
          <w:color w:val="000000"/>
          <w:sz w:val="24"/>
          <w:szCs w:val="24"/>
          <w:lang w:val="en-US"/>
        </w:rPr>
      </w:pPr>
      <w:r>
        <w:rPr>
          <w:rFonts w:hint="default" w:ascii="Arial" w:hAnsi="Arial" w:eastAsia="Calibri" w:cs="Arial"/>
          <w:color w:val="000000"/>
          <w:sz w:val="24"/>
          <w:szCs w:val="24"/>
          <w:lang w:val="en-US"/>
        </w:rPr>
        <w:t xml:space="preserve">                                                           </w:t>
      </w:r>
    </w:p>
    <w:p>
      <w:pPr>
        <w:tabs>
          <w:tab w:val="left" w:pos="8160"/>
        </w:tabs>
        <w:spacing w:after="0" w:line="240" w:lineRule="auto"/>
        <w:jc w:val="both"/>
        <w:rPr>
          <w:rFonts w:hint="default" w:ascii="Arial" w:hAnsi="Arial" w:eastAsia="Calibri" w:cs="Arial"/>
          <w:i w:val="0"/>
          <w:iCs w:val="0"/>
          <w:color w:val="000000"/>
          <w:sz w:val="24"/>
          <w:szCs w:val="24"/>
          <w:lang w:val="sr-Latn-ME"/>
        </w:rPr>
      </w:pPr>
      <w:r>
        <w:rPr>
          <w:rFonts w:hint="default" w:ascii="Arial" w:hAnsi="Arial" w:eastAsia="Calibri" w:cs="Arial"/>
          <w:i w:val="0"/>
          <w:iCs w:val="0"/>
          <w:color w:val="000000"/>
          <w:sz w:val="24"/>
          <w:szCs w:val="24"/>
          <w:lang w:val="sr-Latn-ME"/>
        </w:rPr>
        <w:t xml:space="preserve">Lice koje je učestvovalo u planiranju javne nabavke:                       </w:t>
      </w:r>
      <w:r>
        <w:rPr>
          <w:rFonts w:hint="default" w:ascii="Arial" w:hAnsi="Arial" w:eastAsia="Calibri" w:cs="Arial"/>
          <w:i w:val="0"/>
          <w:iCs w:val="0"/>
          <w:color w:val="000000"/>
          <w:sz w:val="24"/>
          <w:szCs w:val="24"/>
          <w:lang w:val="sr-Latn-RS"/>
        </w:rPr>
        <w:t xml:space="preserve"> </w:t>
      </w:r>
      <w:r>
        <w:rPr>
          <w:rFonts w:hint="default" w:ascii="Arial" w:hAnsi="Arial" w:eastAsia="Calibri" w:cs="Arial"/>
          <w:i w:val="0"/>
          <w:iCs w:val="0"/>
          <w:color w:val="000000"/>
          <w:sz w:val="24"/>
          <w:szCs w:val="24"/>
          <w:lang w:val="sr-Latn-ME"/>
        </w:rPr>
        <w:t>Bojan Paunović</w:t>
      </w:r>
    </w:p>
    <w:p>
      <w:pPr>
        <w:spacing w:after="0" w:line="240" w:lineRule="auto"/>
        <w:jc w:val="both"/>
        <w:rPr>
          <w:rFonts w:hint="default" w:ascii="Arial" w:hAnsi="Arial" w:eastAsia="Calibri" w:cs="Arial"/>
          <w:i/>
          <w:iCs/>
          <w:color w:val="000000"/>
          <w:sz w:val="24"/>
          <w:szCs w:val="24"/>
          <w:lang w:val="sr-Latn-ME"/>
        </w:rPr>
      </w:pPr>
      <w:r>
        <w:rPr>
          <w:rFonts w:hint="default" w:ascii="Arial" w:hAnsi="Arial" w:eastAsia="Calibri" w:cs="Arial"/>
          <w:i w:val="0"/>
          <w:iCs w:val="0"/>
          <w:color w:val="000000"/>
          <w:sz w:val="24"/>
          <w:szCs w:val="24"/>
          <w:lang w:val="sr-Latn-ME"/>
        </w:rPr>
        <w:t xml:space="preserve">Direktor Direktorata za </w:t>
      </w:r>
      <w:r>
        <w:rPr>
          <w:rFonts w:hint="default" w:ascii="Arial" w:hAnsi="Arial" w:eastAsia="Calibri" w:cs="Arial"/>
          <w:i w:val="0"/>
          <w:iCs w:val="0"/>
          <w:color w:val="000000"/>
          <w:sz w:val="24"/>
          <w:szCs w:val="24"/>
          <w:lang w:val="sr-Latn-RS"/>
        </w:rPr>
        <w:t>dr</w:t>
      </w:r>
      <w:r>
        <w:rPr>
          <w:rFonts w:hint="default" w:ascii="Arial" w:hAnsi="Arial" w:eastAsia="Calibri" w:cs="Arial"/>
          <w:i w:val="0"/>
          <w:iCs w:val="0"/>
          <w:color w:val="000000"/>
          <w:sz w:val="24"/>
          <w:szCs w:val="24"/>
          <w:lang w:val="sr-Latn-ME"/>
        </w:rPr>
        <w:t>ž</w:t>
      </w:r>
      <w:r>
        <w:rPr>
          <w:rFonts w:hint="default" w:ascii="Arial" w:hAnsi="Arial" w:eastAsia="Calibri" w:cs="Arial"/>
          <w:i w:val="0"/>
          <w:iCs w:val="0"/>
          <w:color w:val="000000"/>
          <w:sz w:val="24"/>
          <w:szCs w:val="24"/>
          <w:lang w:val="sr-Latn-RS"/>
        </w:rPr>
        <w:t>avni bu</w:t>
      </w:r>
      <w:r>
        <w:rPr>
          <w:rFonts w:hint="default" w:ascii="Arial" w:hAnsi="Arial" w:eastAsia="Calibri" w:cs="Arial"/>
          <w:i w:val="0"/>
          <w:iCs w:val="0"/>
          <w:color w:val="000000"/>
          <w:sz w:val="24"/>
          <w:szCs w:val="24"/>
          <w:lang w:val="sr-Latn-ME"/>
        </w:rPr>
        <w:t xml:space="preserve">džet   </w:t>
      </w:r>
      <w:r>
        <w:rPr>
          <w:rFonts w:hint="default" w:ascii="Arial" w:hAnsi="Arial" w:eastAsia="Calibri" w:cs="Arial"/>
          <w:i/>
          <w:iCs/>
          <w:color w:val="000000"/>
          <w:sz w:val="24"/>
          <w:szCs w:val="24"/>
          <w:lang w:val="sr-Latn-ME"/>
        </w:rPr>
        <w:t xml:space="preserve">                                                     s.r.</w:t>
      </w:r>
    </w:p>
    <w:p>
      <w:pPr>
        <w:spacing w:after="0" w:line="240" w:lineRule="auto"/>
        <w:jc w:val="right"/>
        <w:rPr>
          <w:rFonts w:hint="default" w:ascii="Arial" w:hAnsi="Arial" w:eastAsia="Calibri" w:cs="Arial"/>
          <w:color w:val="000000"/>
          <w:sz w:val="24"/>
          <w:szCs w:val="24"/>
          <w:lang w:val="sr-Latn-ME"/>
        </w:rPr>
      </w:pPr>
    </w:p>
    <w:p>
      <w:pPr>
        <w:bidi w:val="0"/>
        <w:rPr>
          <w:rFonts w:hint="default" w:ascii="Arial" w:hAnsi="Arial" w:cs="Arial"/>
          <w:sz w:val="24"/>
          <w:szCs w:val="24"/>
          <w:lang w:val="sr-Latn-ME"/>
        </w:rPr>
      </w:pPr>
    </w:p>
    <w:p>
      <w:pPr>
        <w:bidi w:val="0"/>
        <w:rPr>
          <w:rFonts w:hint="default" w:ascii="Arial" w:hAnsi="Arial" w:cs="Arial"/>
          <w:sz w:val="24"/>
          <w:szCs w:val="24"/>
          <w:lang w:val="sr-Latn-ME"/>
        </w:rPr>
      </w:pPr>
      <w:r>
        <w:rPr>
          <w:rFonts w:hint="default" w:ascii="Arial" w:hAnsi="Arial" w:cs="Arial"/>
          <w:sz w:val="24"/>
          <w:szCs w:val="24"/>
          <w:lang w:val="sr-Latn-RS"/>
        </w:rPr>
        <w:t>Predsjednik</w:t>
      </w:r>
      <w:r>
        <w:rPr>
          <w:rFonts w:hint="default" w:ascii="Arial" w:hAnsi="Arial" w:cs="Arial"/>
          <w:sz w:val="24"/>
          <w:szCs w:val="24"/>
          <w:lang w:val="sr-Latn-ME"/>
        </w:rPr>
        <w:t xml:space="preserve"> komisije za sprovođenje postupka javne nabavke: </w:t>
      </w:r>
    </w:p>
    <w:p>
      <w:pPr>
        <w:bidi w:val="0"/>
        <w:rPr>
          <w:rFonts w:hint="default" w:ascii="Arial" w:hAnsi="Arial" w:cs="Arial"/>
          <w:sz w:val="24"/>
          <w:szCs w:val="24"/>
          <w:lang w:val="sr-Latn-RS"/>
        </w:rPr>
      </w:pPr>
      <w:r>
        <w:rPr>
          <w:rFonts w:hint="default" w:ascii="Arial" w:hAnsi="Arial" w:cs="Arial"/>
          <w:sz w:val="24"/>
          <w:szCs w:val="24"/>
          <w:lang w:val="sr-Latn-RS"/>
        </w:rPr>
        <w:t>Radule Kastratovic</w:t>
      </w:r>
      <w:r>
        <w:rPr>
          <w:rFonts w:hint="default" w:ascii="Arial" w:hAnsi="Arial" w:cs="Arial"/>
          <w:sz w:val="24"/>
          <w:szCs w:val="24"/>
          <w:lang w:val="sr-Latn-ME"/>
        </w:rPr>
        <w:t>_________</w:t>
      </w:r>
    </w:p>
    <w:p>
      <w:pPr>
        <w:bidi w:val="0"/>
        <w:rPr>
          <w:rFonts w:hint="default" w:ascii="Arial" w:hAnsi="Arial" w:cs="Arial"/>
          <w:sz w:val="24"/>
          <w:szCs w:val="24"/>
          <w:lang w:val="sr-Latn-ME"/>
        </w:rPr>
      </w:pPr>
      <w:r>
        <w:rPr>
          <w:rFonts w:hint="default" w:ascii="Arial" w:hAnsi="Arial" w:cs="Arial"/>
          <w:sz w:val="24"/>
          <w:szCs w:val="24"/>
          <w:lang w:val="sr-Latn-ME"/>
        </w:rPr>
        <w:t xml:space="preserve">      </w:t>
      </w:r>
    </w:p>
    <w:p>
      <w:pPr>
        <w:bidi w:val="0"/>
        <w:rPr>
          <w:rFonts w:hint="default" w:ascii="Arial" w:hAnsi="Arial" w:cs="Arial"/>
          <w:sz w:val="24"/>
          <w:szCs w:val="24"/>
          <w:lang w:val="sr-Latn-ME"/>
        </w:rPr>
      </w:pPr>
      <w:r>
        <w:rPr>
          <w:rFonts w:hint="default" w:ascii="Arial" w:hAnsi="Arial" w:cs="Arial"/>
          <w:sz w:val="24"/>
          <w:szCs w:val="24"/>
          <w:lang w:val="sr-Latn-ME"/>
        </w:rPr>
        <w:t xml:space="preserve">Član komisije za sprovođenje postupka javne nabavke: </w:t>
      </w:r>
    </w:p>
    <w:p>
      <w:pPr>
        <w:bidi w:val="0"/>
        <w:rPr>
          <w:rFonts w:hint="default" w:ascii="Arial" w:hAnsi="Arial" w:cs="Arial"/>
          <w:sz w:val="24"/>
          <w:szCs w:val="24"/>
          <w:lang w:val="sr-Latn-ME"/>
        </w:rPr>
      </w:pPr>
      <w:r>
        <w:rPr>
          <w:rFonts w:hint="default" w:ascii="Arial" w:hAnsi="Arial" w:cs="Arial"/>
          <w:sz w:val="24"/>
          <w:szCs w:val="24"/>
          <w:lang w:val="sr-Latn-ME"/>
        </w:rPr>
        <w:t>Aleksandar Mihaljević____________</w:t>
      </w:r>
    </w:p>
    <w:p>
      <w:pPr>
        <w:bidi w:val="0"/>
        <w:rPr>
          <w:rFonts w:hint="default" w:ascii="Arial" w:hAnsi="Arial" w:cs="Arial"/>
          <w:sz w:val="24"/>
          <w:szCs w:val="24"/>
          <w:lang w:val="sr-Latn-ME"/>
        </w:rPr>
      </w:pPr>
    </w:p>
    <w:p>
      <w:pPr>
        <w:bidi w:val="0"/>
        <w:rPr>
          <w:rFonts w:hint="default" w:ascii="Arial" w:hAnsi="Arial" w:cs="Arial"/>
          <w:sz w:val="24"/>
          <w:szCs w:val="24"/>
          <w:lang w:val="sr-Latn-ME"/>
        </w:rPr>
      </w:pPr>
      <w:r>
        <w:rPr>
          <w:rFonts w:hint="default" w:ascii="Arial" w:hAnsi="Arial" w:cs="Arial"/>
          <w:sz w:val="24"/>
          <w:szCs w:val="24"/>
          <w:lang w:val="sr-Latn-ME"/>
        </w:rPr>
        <w:t xml:space="preserve">Član komisije za sprovođenje postupka javne nabavke: </w:t>
      </w:r>
    </w:p>
    <w:p>
      <w:pPr>
        <w:bidi w:val="0"/>
        <w:rPr>
          <w:rFonts w:hint="default" w:ascii="Arial" w:hAnsi="Arial" w:cs="Arial"/>
          <w:sz w:val="24"/>
          <w:szCs w:val="24"/>
          <w:lang w:val="sr-Latn-ME"/>
        </w:rPr>
      </w:pPr>
      <w:r>
        <w:rPr>
          <w:rFonts w:hint="default" w:ascii="Arial" w:hAnsi="Arial" w:cs="Arial"/>
          <w:sz w:val="24"/>
          <w:szCs w:val="24"/>
          <w:lang w:val="sr-Latn-RS"/>
        </w:rPr>
        <w:t>Dragan Prenkic</w:t>
      </w:r>
      <w:r>
        <w:rPr>
          <w:rFonts w:hint="default" w:ascii="Arial" w:hAnsi="Arial" w:cs="Arial"/>
          <w:sz w:val="24"/>
          <w:szCs w:val="24"/>
          <w:lang w:val="sr-Latn-ME"/>
        </w:rPr>
        <w:t xml:space="preserve">        ____________</w:t>
      </w:r>
    </w:p>
    <w:p>
      <w:pPr>
        <w:bidi w:val="0"/>
        <w:rPr>
          <w:rFonts w:hint="default" w:ascii="Arial" w:hAnsi="Arial" w:cs="Arial"/>
          <w:sz w:val="24"/>
          <w:szCs w:val="24"/>
          <w:lang w:val="sr-Latn-ME"/>
        </w:rPr>
      </w:pPr>
    </w:p>
    <w:p>
      <w:pPr>
        <w:jc w:val="both"/>
        <w:rPr>
          <w:rFonts w:hint="default" w:ascii="Arial" w:hAnsi="Arial" w:cs="Arial"/>
          <w:b/>
          <w:bCs/>
          <w:color w:val="000000"/>
          <w:sz w:val="24"/>
          <w:szCs w:val="24"/>
          <w:lang w:val="sr-Latn-ME"/>
        </w:rPr>
      </w:pPr>
    </w:p>
    <w:p>
      <w:pPr>
        <w:spacing w:after="0" w:line="240" w:lineRule="auto"/>
        <w:jc w:val="both"/>
        <w:rPr>
          <w:rFonts w:hint="default" w:ascii="Arial" w:hAnsi="Arial" w:eastAsia="Times New Roman" w:cs="Arial"/>
          <w:b/>
          <w:b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hint="default" w:ascii="Arial" w:hAnsi="Arial" w:eastAsia="Times New Roman" w:cs="Arial"/>
          <w:b/>
          <w:iCs/>
          <w:sz w:val="24"/>
          <w:szCs w:val="24"/>
          <w:lang w:val="sr-Latn-ME"/>
        </w:rPr>
      </w:pPr>
      <w:bookmarkStart w:id="17" w:name="_Toc62730568"/>
      <w:r>
        <w:rPr>
          <w:rFonts w:hint="default" w:ascii="Arial" w:hAnsi="Arial" w:eastAsia="Times New Roman" w:cs="Arial"/>
          <w:b/>
          <w:sz w:val="24"/>
          <w:szCs w:val="24"/>
          <w:lang w:val="sr-Latn-ME"/>
        </w:rPr>
        <w:t>1</w:t>
      </w:r>
      <w:r>
        <w:rPr>
          <w:rFonts w:hint="default" w:ascii="Arial" w:hAnsi="Arial" w:eastAsia="Times New Roman" w:cs="Arial"/>
          <w:b/>
          <w:sz w:val="24"/>
          <w:szCs w:val="24"/>
          <w:lang w:val="sr-Latn-RS"/>
        </w:rPr>
        <w:t>6</w:t>
      </w:r>
      <w:r>
        <w:rPr>
          <w:rFonts w:hint="default" w:ascii="Arial" w:hAnsi="Arial" w:eastAsia="Times New Roman" w:cs="Arial"/>
          <w:b/>
          <w:sz w:val="24"/>
          <w:szCs w:val="24"/>
          <w:lang w:val="sr-Latn-ME"/>
        </w:rPr>
        <w:t>. UPUTSTVO O PRAVNOM SREDSTVU</w:t>
      </w:r>
      <w:bookmarkEnd w:id="17"/>
    </w:p>
    <w:p>
      <w:pPr>
        <w:tabs>
          <w:tab w:val="left" w:pos="5760"/>
        </w:tabs>
        <w:spacing w:after="0" w:line="240" w:lineRule="auto"/>
        <w:jc w:val="center"/>
        <w:rPr>
          <w:rFonts w:hint="default" w:ascii="Arial" w:hAnsi="Arial" w:eastAsia="Times New Roman" w:cs="Arial"/>
          <w:color w:val="000000"/>
          <w:sz w:val="24"/>
          <w:szCs w:val="24"/>
          <w:lang w:val="sr-Latn-ME"/>
        </w:rPr>
      </w:pPr>
    </w:p>
    <w:p>
      <w:pPr>
        <w:tabs>
          <w:tab w:val="left" w:pos="5760"/>
        </w:tabs>
        <w:spacing w:after="0" w:line="240" w:lineRule="auto"/>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lang w:val="sr-Latn-ME"/>
        </w:rPr>
        <w:t>Privredni subjekat može da izjavi žalbu protiv ove tenderske dokumentacije Komisiji za zaštitu prava</w:t>
      </w:r>
      <w:r>
        <w:rPr>
          <w:rFonts w:hint="default" w:ascii="Arial" w:hAnsi="Arial" w:eastAsia="Times New Roman" w:cs="Arial"/>
          <w:color w:val="000000"/>
          <w:sz w:val="24"/>
          <w:szCs w:val="24"/>
        </w:rPr>
        <w:t>:</w:t>
      </w:r>
    </w:p>
    <w:p>
      <w:pPr>
        <w:autoSpaceDE w:val="0"/>
        <w:autoSpaceDN w:val="0"/>
        <w:adjustRightInd w:val="0"/>
        <w:spacing w:before="60" w:after="60" w:line="240" w:lineRule="auto"/>
        <w:ind w:left="283" w:hanging="283"/>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283" w:hanging="283"/>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283" w:hanging="283"/>
        <w:jc w:val="both"/>
        <w:rPr>
          <w:rFonts w:hint="default" w:ascii="Arial" w:hAnsi="Arial" w:eastAsia="Times New Roman" w:cs="Arial"/>
          <w:color w:val="000000"/>
          <w:sz w:val="24"/>
          <w:szCs w:val="24"/>
        </w:rPr>
      </w:pPr>
      <w:r>
        <w:rPr>
          <w:rFonts w:hint="default"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hint="default" w:ascii="Arial" w:hAnsi="Arial" w:eastAsia="Times New Roman" w:cs="Arial"/>
          <w:color w:val="000000"/>
          <w:sz w:val="24"/>
          <w:szCs w:val="24"/>
          <w:lang w:val="sr-Latn-ME"/>
        </w:rPr>
      </w:pPr>
    </w:p>
    <w:p>
      <w:pPr>
        <w:autoSpaceDE w:val="0"/>
        <w:autoSpaceDN w:val="0"/>
        <w:adjustRightInd w:val="0"/>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hint="default" w:ascii="Arial" w:hAnsi="Arial" w:eastAsia="Times New Roman" w:cs="Arial"/>
          <w:color w:val="000000"/>
          <w:sz w:val="24"/>
          <w:szCs w:val="24"/>
          <w:lang w:val="sr-Latn-ME"/>
        </w:rPr>
      </w:pPr>
    </w:p>
    <w:p>
      <w:pPr>
        <w:autoSpaceDE w:val="0"/>
        <w:autoSpaceDN w:val="0"/>
        <w:adjustRightInd w:val="0"/>
        <w:spacing w:after="0" w:line="240" w:lineRule="auto"/>
        <w:jc w:val="both"/>
        <w:rPr>
          <w:rFonts w:hint="default" w:ascii="Arial" w:hAnsi="Arial" w:eastAsia="Times New Roman" w:cs="Arial"/>
          <w:color w:val="000000"/>
          <w:sz w:val="24"/>
          <w:szCs w:val="24"/>
          <w:highlight w:val="yellow"/>
          <w:lang w:val="sr-Latn-ME"/>
        </w:rPr>
      </w:pPr>
      <w:r>
        <w:rPr>
          <w:rFonts w:hint="default"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hint="default" w:ascii="Arial" w:hAnsi="Arial" w:eastAsia="Times New Roman" w:cs="Arial"/>
          <w:color w:val="000000"/>
          <w:sz w:val="24"/>
          <w:szCs w:val="24"/>
          <w:lang w:val="sr-Latn-ME"/>
        </w:rPr>
      </w:pPr>
    </w:p>
    <w:p>
      <w:pPr>
        <w:tabs>
          <w:tab w:val="left" w:pos="5760"/>
        </w:tabs>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hint="default" w:ascii="Arial" w:hAnsi="Arial" w:eastAsia="Times New Roman" w:cs="Arial"/>
          <w:color w:val="000000"/>
          <w:sz w:val="24"/>
          <w:szCs w:val="24"/>
          <w:lang w:val="sr-Latn-ME"/>
        </w:rPr>
      </w:pPr>
    </w:p>
    <w:p>
      <w:pPr>
        <w:tabs>
          <w:tab w:val="left" w:pos="5760"/>
        </w:tabs>
        <w:spacing w:after="0" w:line="240" w:lineRule="auto"/>
        <w:jc w:val="both"/>
        <w:rPr>
          <w:rFonts w:hint="default" w:ascii="Arial" w:hAnsi="Arial" w:eastAsia="Times New Roman" w:cs="Arial"/>
          <w:color w:val="000000"/>
          <w:sz w:val="24"/>
          <w:szCs w:val="24"/>
          <w:lang w:val="sr-Latn-ME"/>
        </w:rPr>
      </w:pPr>
      <w:r>
        <w:rPr>
          <w:rFonts w:hint="default"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rPr>
          <w:rFonts w:hint="default" w:ascii="Arial" w:hAnsi="Arial" w:cs="Arial"/>
          <w:sz w:val="24"/>
          <w:szCs w:val="24"/>
        </w:rPr>
        <w:fldChar w:fldCharType="begin"/>
      </w:r>
      <w:r>
        <w:rPr>
          <w:rFonts w:hint="default" w:ascii="Arial" w:hAnsi="Arial" w:cs="Arial"/>
          <w:sz w:val="24"/>
          <w:szCs w:val="24"/>
        </w:rPr>
        <w:instrText xml:space="preserve"> HYPERLINK "http://www.kontrola-nabavki.me/" </w:instrText>
      </w:r>
      <w:r>
        <w:rPr>
          <w:rFonts w:hint="default" w:ascii="Arial" w:hAnsi="Arial" w:cs="Arial"/>
          <w:sz w:val="24"/>
          <w:szCs w:val="24"/>
        </w:rPr>
        <w:fldChar w:fldCharType="separate"/>
      </w:r>
      <w:r>
        <w:rPr>
          <w:rFonts w:hint="default" w:ascii="Arial" w:hAnsi="Arial" w:eastAsia="Times New Roman" w:cs="Arial"/>
          <w:color w:val="0000FF"/>
          <w:sz w:val="24"/>
          <w:szCs w:val="24"/>
          <w:u w:val="single"/>
          <w:lang w:val="sr-Latn-ME"/>
        </w:rPr>
        <w:t>http://www.kontrola-nabavki.me/</w:t>
      </w:r>
      <w:r>
        <w:rPr>
          <w:rFonts w:hint="default" w:ascii="Arial" w:hAnsi="Arial" w:eastAsia="Times New Roman" w:cs="Arial"/>
          <w:color w:val="0000FF"/>
          <w:sz w:val="24"/>
          <w:szCs w:val="24"/>
          <w:u w:val="single"/>
          <w:lang w:val="sr-Latn-ME"/>
        </w:rPr>
        <w:fldChar w:fldCharType="end"/>
      </w:r>
      <w:r>
        <w:rPr>
          <w:rFonts w:hint="default" w:ascii="Arial" w:hAnsi="Arial" w:eastAsia="Times New Roman" w:cs="Arial"/>
          <w:color w:val="000000"/>
          <w:sz w:val="24"/>
          <w:szCs w:val="24"/>
          <w:lang w:val="sr-Latn-ME"/>
        </w:rPr>
        <w:t>.“.</w:t>
      </w:r>
    </w:p>
    <w:p>
      <w:pPr>
        <w:rPr>
          <w:rFonts w:hint="default" w:ascii="Arial" w:hAnsi="Arial" w:cs="Arial"/>
          <w:sz w:val="24"/>
          <w:szCs w:val="24"/>
          <w:lang w:val="sr-Latn-ME"/>
        </w:rPr>
      </w:pPr>
    </w:p>
    <w:sectPr>
      <w:pgSz w:w="11906" w:h="16838"/>
      <w:pgMar w:top="1418" w:right="1418"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pPr>
        <w:spacing w:before="0" w:after="0" w:line="259" w:lineRule="auto"/>
      </w:pPr>
      <w:r>
        <w:separator/>
      </w:r>
    </w:p>
  </w:footnote>
  <w:footnote w:type="continuationSeparator" w:id="21">
    <w:p>
      <w:pPr>
        <w:spacing w:before="0" w:after="0" w:line="259" w:lineRule="auto"/>
      </w:pPr>
      <w:r>
        <w:continuationSeparator/>
      </w:r>
    </w:p>
  </w:footnote>
  <w:footnote w:id="0">
    <w:p>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2">
    <w:p>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rPr>
        <w:t>Podatke</w:t>
      </w:r>
      <w:r>
        <w:rPr>
          <w:rFonts w:ascii="Arial" w:hAnsi="Arial" w:cs="Arial"/>
          <w:sz w:val="14"/>
          <w:szCs w:val="16"/>
          <w:lang w:val="sr-Latn-ME"/>
        </w:rPr>
        <w:t xml:space="preserve"> </w:t>
      </w:r>
      <w:r>
        <w:rPr>
          <w:rFonts w:ascii="Arial" w:hAnsi="Arial" w:cs="Arial"/>
          <w:sz w:val="14"/>
          <w:szCs w:val="16"/>
        </w:rPr>
        <w:t>iz</w:t>
      </w:r>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r>
        <w:rPr>
          <w:rFonts w:ascii="Arial" w:hAnsi="Arial" w:cs="Arial"/>
          <w:sz w:val="14"/>
          <w:szCs w:val="16"/>
        </w:rPr>
        <w:t>ke</w:t>
      </w:r>
      <w:r>
        <w:rPr>
          <w:rFonts w:ascii="Arial" w:hAnsi="Arial" w:cs="Arial"/>
          <w:sz w:val="14"/>
          <w:szCs w:val="16"/>
          <w:lang w:val="sr-Latn-ME"/>
        </w:rPr>
        <w:t xml:space="preserve"> 2. Tehnička specifikacija predmeta javne nabavke naručilac neposredno UNOSI na ESJN elektronskim putem;</w:t>
      </w:r>
    </w:p>
  </w:footnote>
  <w:footnote w:id="3">
    <w:p>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rPr>
        <w:t>Djelove</w:t>
      </w:r>
      <w:r>
        <w:rPr>
          <w:rFonts w:ascii="Arial" w:hAnsi="Arial" w:cs="Arial"/>
          <w:sz w:val="14"/>
          <w:szCs w:val="16"/>
          <w:lang w:val="sr-Latn-ME"/>
        </w:rPr>
        <w:t xml:space="preserve"> </w:t>
      </w:r>
      <w:r>
        <w:rPr>
          <w:rFonts w:ascii="Arial" w:hAnsi="Arial" w:cs="Arial"/>
          <w:sz w:val="14"/>
          <w:szCs w:val="16"/>
        </w:rPr>
        <w:t>tenderske</w:t>
      </w:r>
      <w:r>
        <w:rPr>
          <w:rFonts w:ascii="Arial" w:hAnsi="Arial" w:cs="Arial"/>
          <w:sz w:val="14"/>
          <w:szCs w:val="16"/>
          <w:lang w:val="sr-Latn-ME"/>
        </w:rPr>
        <w:t xml:space="preserve"> </w:t>
      </w:r>
      <w:r>
        <w:rPr>
          <w:rFonts w:ascii="Arial" w:hAnsi="Arial" w:cs="Arial"/>
          <w:sz w:val="14"/>
          <w:szCs w:val="16"/>
        </w:rPr>
        <w:t>dokumentacije</w:t>
      </w:r>
      <w:r>
        <w:rPr>
          <w:rFonts w:ascii="Arial" w:hAnsi="Arial" w:cs="Arial"/>
          <w:sz w:val="14"/>
          <w:szCs w:val="16"/>
          <w:lang w:val="sr-Latn-ME"/>
        </w:rPr>
        <w:t xml:space="preserve"> iz tačke 3. - 16. naručilac sačinjava u formi word/PDF dokumenta i objavljuje unošenjem (attachment) dokumenta na ESJN;</w:t>
      </w:r>
    </w:p>
  </w:footnote>
  <w:footnote w:id="4">
    <w:p>
      <w:pPr>
        <w:pStyle w:val="7"/>
        <w:jc w:val="both"/>
        <w:rPr>
          <w:rFonts w:ascii="Arial" w:hAnsi="Arial" w:cs="Arial"/>
          <w:sz w:val="16"/>
          <w:szCs w:val="16"/>
          <w:lang w:val="sr-Latn-ME"/>
        </w:rPr>
      </w:pPr>
      <w:r>
        <w:rPr>
          <w:rStyle w:val="6"/>
          <w:rFonts w:ascii="Arial" w:hAnsi="Arial" w:cs="Arial"/>
          <w:sz w:val="14"/>
          <w:szCs w:val="16"/>
        </w:rPr>
        <w:footnoteRef/>
      </w:r>
      <w:r>
        <w:rPr>
          <w:rFonts w:ascii="Arial" w:hAnsi="Arial" w:cs="Arial"/>
          <w:sz w:val="14"/>
          <w:szCs w:val="16"/>
          <w:lang w:val="sr-Latn-ME"/>
        </w:rPr>
        <w:t xml:space="preserve"> Procijenjena vrijednost se iskazuje bez PDV-a </w:t>
      </w:r>
      <w:r>
        <w:rPr>
          <w:rFonts w:ascii="Arial" w:hAnsi="Arial" w:cs="Arial"/>
          <w:sz w:val="14"/>
          <w:szCs w:val="16"/>
        </w:rPr>
        <w:t>uklju</w:t>
      </w:r>
      <w:r>
        <w:rPr>
          <w:rFonts w:ascii="Arial" w:hAnsi="Arial" w:cs="Arial"/>
          <w:sz w:val="14"/>
          <w:szCs w:val="16"/>
          <w:lang w:val="sr-Latn-ME"/>
        </w:rPr>
        <w:t>č</w:t>
      </w:r>
      <w:r>
        <w:rPr>
          <w:rFonts w:ascii="Arial" w:hAnsi="Arial" w:cs="Arial"/>
          <w:sz w:val="14"/>
          <w:szCs w:val="16"/>
        </w:rPr>
        <w:t>uju</w:t>
      </w:r>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sve</w:t>
      </w:r>
      <w:r>
        <w:rPr>
          <w:rFonts w:ascii="Arial" w:hAnsi="Arial" w:cs="Arial"/>
          <w:sz w:val="14"/>
          <w:szCs w:val="16"/>
          <w:lang w:val="sr-Latn-ME"/>
        </w:rPr>
        <w:t xml:space="preserve"> </w:t>
      </w:r>
      <w:r>
        <w:rPr>
          <w:rFonts w:ascii="Arial" w:hAnsi="Arial" w:cs="Arial"/>
          <w:sz w:val="14"/>
          <w:szCs w:val="16"/>
        </w:rPr>
        <w:t>tro</w:t>
      </w:r>
      <w:r>
        <w:rPr>
          <w:rFonts w:ascii="Arial" w:hAnsi="Arial" w:cs="Arial"/>
          <w:sz w:val="14"/>
          <w:szCs w:val="16"/>
          <w:lang w:val="sr-Latn-ME"/>
        </w:rPr>
        <w:t>š</w:t>
      </w:r>
      <w:r>
        <w:rPr>
          <w:rFonts w:ascii="Arial" w:hAnsi="Arial" w:cs="Arial"/>
          <w:sz w:val="14"/>
          <w:szCs w:val="16"/>
        </w:rPr>
        <w:t>kove</w:t>
      </w:r>
      <w:r>
        <w:rPr>
          <w:rFonts w:ascii="Arial" w:hAnsi="Arial" w:cs="Arial"/>
          <w:sz w:val="14"/>
          <w:szCs w:val="16"/>
          <w:lang w:val="sr-Latn-ME"/>
        </w:rPr>
        <w:t xml:space="preserve">, </w:t>
      </w:r>
      <w:r>
        <w:rPr>
          <w:rFonts w:ascii="Arial" w:hAnsi="Arial" w:cs="Arial"/>
          <w:sz w:val="14"/>
          <w:szCs w:val="16"/>
        </w:rPr>
        <w:t>nagrade</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mogu</w:t>
      </w:r>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r>
        <w:rPr>
          <w:rFonts w:ascii="Arial" w:hAnsi="Arial" w:cs="Arial"/>
          <w:sz w:val="14"/>
          <w:szCs w:val="16"/>
        </w:rPr>
        <w:t>obnavljanja</w:t>
      </w:r>
      <w:r>
        <w:rPr>
          <w:rFonts w:ascii="Arial" w:hAnsi="Arial" w:cs="Arial"/>
          <w:sz w:val="14"/>
          <w:szCs w:val="16"/>
          <w:lang w:val="sr-Latn-ME"/>
        </w:rPr>
        <w:t xml:space="preserve"> </w:t>
      </w:r>
      <w:r>
        <w:rPr>
          <w:rFonts w:ascii="Arial" w:hAnsi="Arial" w:cs="Arial"/>
          <w:sz w:val="14"/>
          <w:szCs w:val="16"/>
        </w:rPr>
        <w:t>ugovora</w:t>
      </w:r>
      <w:r>
        <w:rPr>
          <w:rFonts w:ascii="Arial" w:hAnsi="Arial" w:cs="Arial"/>
          <w:sz w:val="14"/>
          <w:szCs w:val="16"/>
          <w:lang w:val="sr-Latn-ME"/>
        </w:rPr>
        <w:t xml:space="preserve"> </w:t>
      </w:r>
      <w:r>
        <w:rPr>
          <w:rFonts w:ascii="Arial" w:hAnsi="Arial" w:cs="Arial"/>
          <w:sz w:val="14"/>
          <w:szCs w:val="16"/>
        </w:rPr>
        <w:t>na</w:t>
      </w:r>
      <w:r>
        <w:rPr>
          <w:rFonts w:ascii="Arial" w:hAnsi="Arial" w:cs="Arial"/>
          <w:sz w:val="14"/>
          <w:szCs w:val="16"/>
          <w:lang w:val="sr-Latn-ME"/>
        </w:rPr>
        <w:t xml:space="preserve"> </w:t>
      </w:r>
      <w:r>
        <w:rPr>
          <w:rFonts w:ascii="Arial" w:hAnsi="Arial" w:cs="Arial"/>
          <w:sz w:val="14"/>
          <w:szCs w:val="16"/>
        </w:rPr>
        <w:t>osnovu</w:t>
      </w:r>
      <w:r>
        <w:rPr>
          <w:rFonts w:ascii="Arial" w:hAnsi="Arial" w:cs="Arial"/>
          <w:sz w:val="14"/>
          <w:szCs w:val="16"/>
          <w:lang w:val="sr-Latn-ME"/>
        </w:rPr>
        <w:t xml:space="preserve"> </w:t>
      </w:r>
      <w:r>
        <w:rPr>
          <w:rFonts w:ascii="Arial" w:hAnsi="Arial" w:cs="Arial"/>
          <w:sz w:val="14"/>
          <w:szCs w:val="16"/>
        </w:rPr>
        <w:t>okvirnog</w:t>
      </w:r>
      <w:r>
        <w:rPr>
          <w:rFonts w:ascii="Arial" w:hAnsi="Arial" w:cs="Arial"/>
          <w:sz w:val="14"/>
          <w:szCs w:val="16"/>
          <w:lang w:val="sr-Latn-ME"/>
        </w:rPr>
        <w:t xml:space="preserve"> </w:t>
      </w:r>
      <w:r>
        <w:rPr>
          <w:rFonts w:ascii="Arial" w:hAnsi="Arial" w:cs="Arial"/>
          <w:sz w:val="14"/>
          <w:szCs w:val="16"/>
        </w:rPr>
        <w:t>sporazuma</w:t>
      </w:r>
      <w:r>
        <w:rPr>
          <w:rFonts w:ascii="Arial" w:hAnsi="Arial" w:cs="Arial"/>
          <w:sz w:val="14"/>
          <w:szCs w:val="16"/>
          <w:lang w:val="sr-Latn-ME"/>
        </w:rPr>
        <w:t>.</w:t>
      </w:r>
    </w:p>
  </w:footnote>
  <w:footnote w:id="5">
    <w:p>
      <w:pPr>
        <w:spacing w:after="0" w:line="240" w:lineRule="auto"/>
        <w:jc w:val="both"/>
        <w:rPr>
          <w:rFonts w:ascii="Arial" w:hAnsi="Arial" w:eastAsia="Calibri" w:cs="Arial"/>
          <w:sz w:val="14"/>
          <w:szCs w:val="16"/>
          <w:lang w:val="sr-Latn-ME" w:eastAsia="en-US" w:bidi="ar-SA"/>
        </w:rPr>
      </w:pPr>
      <w:r>
        <w:rPr>
          <w:rFonts w:ascii="Arial" w:hAnsi="Arial" w:eastAsia="Calibri" w:cs="Arial"/>
          <w:sz w:val="14"/>
          <w:szCs w:val="16"/>
          <w:vertAlign w:val="superscript"/>
          <w:lang w:val="en-US" w:eastAsia="en-US" w:bidi="ar-SA"/>
        </w:rPr>
        <w:footnoteRef/>
      </w:r>
      <w:r>
        <w:rPr>
          <w:rFonts w:ascii="Arial" w:hAnsi="Arial" w:eastAsia="Calibri" w:cs="Arial"/>
          <w:sz w:val="14"/>
          <w:szCs w:val="16"/>
          <w:lang w:val="en-US" w:eastAsia="en-US" w:bidi="ar-SA"/>
        </w:rPr>
        <w:t xml:space="preserve"> </w:t>
      </w:r>
      <w:r>
        <w:rPr>
          <w:rFonts w:ascii="Arial" w:hAnsi="Arial" w:eastAsia="Calibri" w:cs="Arial"/>
          <w:sz w:val="14"/>
          <w:szCs w:val="16"/>
          <w:lang w:val="sr-Latn-ME" w:eastAsia="en-US" w:bidi="ar-SA"/>
        </w:rPr>
        <w:t>Ukoliko je predmet nabavke podijenjen na partije ovaj dio brisati</w:t>
      </w:r>
    </w:p>
  </w:footnote>
  <w:footnote w:id="6">
    <w:p>
      <w:pPr>
        <w:spacing w:after="0" w:line="240" w:lineRule="auto"/>
        <w:jc w:val="both"/>
        <w:rPr>
          <w:rFonts w:ascii="Arial" w:hAnsi="Arial" w:eastAsia="Calibri" w:cs="Arial"/>
          <w:sz w:val="16"/>
          <w:szCs w:val="16"/>
          <w:lang w:val="sr-Latn-ME" w:eastAsia="en-US" w:bidi="ar-SA"/>
        </w:rPr>
      </w:pPr>
      <w:r>
        <w:rPr>
          <w:rFonts w:ascii="Arial" w:hAnsi="Arial" w:eastAsia="Calibri" w:cs="Arial"/>
          <w:sz w:val="14"/>
          <w:szCs w:val="16"/>
          <w:vertAlign w:val="superscript"/>
          <w:lang w:val="en-US" w:eastAsia="en-US" w:bidi="ar-SA"/>
        </w:rPr>
        <w:footnoteRef/>
      </w:r>
      <w:r>
        <w:rPr>
          <w:rFonts w:ascii="Arial" w:hAnsi="Arial" w:eastAsia="Calibri" w:cs="Arial"/>
          <w:sz w:val="14"/>
          <w:szCs w:val="16"/>
          <w:lang w:val="en-US" w:eastAsia="en-US" w:bidi="ar-SA"/>
        </w:rPr>
        <w:t xml:space="preserve"> </w:t>
      </w:r>
      <w:r>
        <w:rPr>
          <w:rFonts w:ascii="Arial" w:hAnsi="Arial" w:eastAsia="Calibri" w:cs="Arial"/>
          <w:sz w:val="14"/>
          <w:szCs w:val="16"/>
          <w:lang w:val="sr-Latn-ME" w:eastAsia="en-US" w:bidi="ar-SA"/>
        </w:rPr>
        <w:t>Ukoliko se ne predvidja zaključivanje okvirnog sporazuma cijelu sekciju brisati iz tenderske dokumentacije</w:t>
      </w:r>
    </w:p>
  </w:footnote>
  <w:footnote w:id="7">
    <w:p>
      <w:pPr>
        <w:pStyle w:val="7"/>
        <w:jc w:val="both"/>
        <w:rPr>
          <w:rFonts w:ascii="Arial" w:hAnsi="Arial" w:cs="Arial"/>
          <w:sz w:val="14"/>
          <w:szCs w:val="14"/>
          <w:lang w:val="sr-Latn-ME"/>
        </w:rPr>
      </w:pPr>
      <w:r>
        <w:rPr>
          <w:rStyle w:val="6"/>
          <w:rFonts w:ascii="Arial" w:hAnsi="Arial" w:cs="Arial"/>
          <w:sz w:val="14"/>
          <w:szCs w:val="14"/>
        </w:rPr>
        <w:footnoteRef/>
      </w:r>
      <w:r>
        <w:rPr>
          <w:rFonts w:ascii="Arial" w:hAnsi="Arial" w:cs="Arial"/>
          <w:sz w:val="14"/>
          <w:szCs w:val="14"/>
          <w:lang w:val="sr-Latn-ME"/>
        </w:rPr>
        <w:t xml:space="preserve"> </w:t>
      </w:r>
      <w:r>
        <w:rPr>
          <w:rFonts w:ascii="Arial" w:hAnsi="Arial" w:cs="Arial"/>
          <w:sz w:val="14"/>
          <w:szCs w:val="14"/>
        </w:rPr>
        <w:t>Ukoliko</w:t>
      </w:r>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r>
        <w:rPr>
          <w:rFonts w:ascii="Arial" w:hAnsi="Arial" w:cs="Arial"/>
          <w:sz w:val="14"/>
          <w:szCs w:val="14"/>
        </w:rPr>
        <w:t>predvi</w:t>
      </w:r>
      <w:r>
        <w:rPr>
          <w:rFonts w:ascii="Arial" w:hAnsi="Arial" w:cs="Arial"/>
          <w:sz w:val="14"/>
          <w:szCs w:val="14"/>
          <w:lang w:val="sr-Latn-ME"/>
        </w:rPr>
        <w:t>đ</w:t>
      </w:r>
      <w:r>
        <w:rPr>
          <w:rFonts w:ascii="Arial" w:hAnsi="Arial" w:cs="Arial"/>
          <w:sz w:val="14"/>
          <w:szCs w:val="14"/>
        </w:rPr>
        <w:t>eno</w:t>
      </w:r>
      <w:r>
        <w:rPr>
          <w:rFonts w:ascii="Arial" w:hAnsi="Arial" w:cs="Arial"/>
          <w:sz w:val="14"/>
          <w:szCs w:val="14"/>
          <w:lang w:val="sr-Latn-ME"/>
        </w:rPr>
        <w:t xml:space="preserve"> </w:t>
      </w:r>
      <w:r>
        <w:rPr>
          <w:rFonts w:ascii="Arial" w:hAnsi="Arial" w:cs="Arial"/>
          <w:sz w:val="14"/>
          <w:szCs w:val="14"/>
        </w:rPr>
        <w:t>zaklju</w:t>
      </w:r>
      <w:r>
        <w:rPr>
          <w:rFonts w:ascii="Arial" w:hAnsi="Arial" w:cs="Arial"/>
          <w:sz w:val="14"/>
          <w:szCs w:val="14"/>
          <w:lang w:val="sr-Latn-ME"/>
        </w:rPr>
        <w:t>č</w:t>
      </w:r>
      <w:r>
        <w:rPr>
          <w:rFonts w:ascii="Arial" w:hAnsi="Arial" w:cs="Arial"/>
          <w:sz w:val="14"/>
          <w:szCs w:val="14"/>
        </w:rPr>
        <w:t>ivanje</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r>
        <w:rPr>
          <w:rFonts w:ascii="Arial" w:hAnsi="Arial" w:cs="Arial"/>
          <w:sz w:val="14"/>
          <w:szCs w:val="14"/>
          <w:lang w:val="sr-Latn-ME"/>
        </w:rPr>
        <w:t xml:space="preserve">, </w:t>
      </w:r>
      <w:r>
        <w:rPr>
          <w:rFonts w:ascii="Arial" w:hAnsi="Arial" w:cs="Arial"/>
          <w:sz w:val="14"/>
          <w:szCs w:val="14"/>
        </w:rPr>
        <w:t>garancija</w:t>
      </w:r>
      <w:r>
        <w:rPr>
          <w:rFonts w:ascii="Arial" w:hAnsi="Arial" w:cs="Arial"/>
          <w:sz w:val="14"/>
          <w:szCs w:val="14"/>
          <w:lang w:val="sr-Latn-ME"/>
        </w:rPr>
        <w:t xml:space="preserve"> </w:t>
      </w:r>
      <w:r>
        <w:rPr>
          <w:rFonts w:ascii="Arial" w:hAnsi="Arial" w:cs="Arial"/>
          <w:sz w:val="14"/>
          <w:szCs w:val="14"/>
        </w:rPr>
        <w:t>ponude</w:t>
      </w:r>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r>
        <w:rPr>
          <w:rFonts w:ascii="Arial" w:hAnsi="Arial" w:cs="Arial"/>
          <w:sz w:val="14"/>
          <w:szCs w:val="14"/>
        </w:rPr>
        <w:t>dostavlja</w:t>
      </w:r>
      <w:r>
        <w:rPr>
          <w:rFonts w:ascii="Arial" w:hAnsi="Arial" w:cs="Arial"/>
          <w:sz w:val="14"/>
          <w:szCs w:val="14"/>
          <w:lang w:val="sr-Latn-ME"/>
        </w:rPr>
        <w:t xml:space="preserve"> </w:t>
      </w:r>
      <w:r>
        <w:rPr>
          <w:rFonts w:ascii="Arial" w:hAnsi="Arial" w:cs="Arial"/>
          <w:sz w:val="14"/>
          <w:szCs w:val="14"/>
        </w:rPr>
        <w:t>na</w:t>
      </w:r>
      <w:r>
        <w:rPr>
          <w:rFonts w:ascii="Arial" w:hAnsi="Arial" w:cs="Arial"/>
          <w:sz w:val="14"/>
          <w:szCs w:val="14"/>
          <w:lang w:val="sr-Latn-ME"/>
        </w:rPr>
        <w:t xml:space="preserve"> </w:t>
      </w:r>
      <w:r>
        <w:rPr>
          <w:rFonts w:ascii="Arial" w:hAnsi="Arial" w:cs="Arial"/>
          <w:sz w:val="14"/>
          <w:szCs w:val="14"/>
        </w:rPr>
        <w:t>iznos</w:t>
      </w:r>
      <w:r>
        <w:rPr>
          <w:rFonts w:ascii="Arial" w:hAnsi="Arial" w:cs="Arial"/>
          <w:sz w:val="14"/>
          <w:szCs w:val="14"/>
          <w:lang w:val="sr-Latn-ME"/>
        </w:rPr>
        <w:t xml:space="preserve"> </w:t>
      </w:r>
      <w:r>
        <w:rPr>
          <w:rFonts w:ascii="Arial" w:hAnsi="Arial" w:cs="Arial"/>
          <w:sz w:val="14"/>
          <w:szCs w:val="14"/>
        </w:rPr>
        <w:t>procijenjene</w:t>
      </w:r>
      <w:r>
        <w:rPr>
          <w:rFonts w:ascii="Arial" w:hAnsi="Arial" w:cs="Arial"/>
          <w:sz w:val="14"/>
          <w:szCs w:val="14"/>
          <w:lang w:val="sr-Latn-ME"/>
        </w:rPr>
        <w:t xml:space="preserve"> </w:t>
      </w:r>
      <w:r>
        <w:rPr>
          <w:rFonts w:ascii="Arial" w:hAnsi="Arial" w:cs="Arial"/>
          <w:sz w:val="14"/>
          <w:szCs w:val="14"/>
        </w:rPr>
        <w:t>vrijednosti</w:t>
      </w:r>
      <w:r>
        <w:rPr>
          <w:rFonts w:ascii="Arial" w:hAnsi="Arial" w:cs="Arial"/>
          <w:sz w:val="14"/>
          <w:szCs w:val="14"/>
          <w:lang w:val="sr-Latn-ME"/>
        </w:rPr>
        <w:t xml:space="preserve"> </w:t>
      </w:r>
      <w:r>
        <w:rPr>
          <w:rFonts w:ascii="Arial" w:hAnsi="Arial" w:cs="Arial"/>
          <w:sz w:val="14"/>
          <w:szCs w:val="14"/>
        </w:rPr>
        <w:t>predmeta</w:t>
      </w:r>
      <w:r>
        <w:rPr>
          <w:rFonts w:ascii="Arial" w:hAnsi="Arial" w:cs="Arial"/>
          <w:sz w:val="14"/>
          <w:szCs w:val="14"/>
          <w:lang w:val="sr-Latn-ME"/>
        </w:rPr>
        <w:t xml:space="preserve"> </w:t>
      </w:r>
      <w:r>
        <w:rPr>
          <w:rFonts w:ascii="Arial" w:hAnsi="Arial" w:cs="Arial"/>
          <w:sz w:val="14"/>
          <w:szCs w:val="14"/>
        </w:rPr>
        <w:t>javne</w:t>
      </w:r>
      <w:r>
        <w:rPr>
          <w:rFonts w:ascii="Arial" w:hAnsi="Arial" w:cs="Arial"/>
          <w:sz w:val="14"/>
          <w:szCs w:val="14"/>
          <w:lang w:val="sr-Latn-ME"/>
        </w:rPr>
        <w:t xml:space="preserve"> </w:t>
      </w:r>
      <w:r>
        <w:rPr>
          <w:rFonts w:ascii="Arial" w:hAnsi="Arial" w:cs="Arial"/>
          <w:sz w:val="14"/>
          <w:szCs w:val="14"/>
        </w:rPr>
        <w:t>nabavke</w:t>
      </w:r>
      <w:r>
        <w:rPr>
          <w:rFonts w:ascii="Arial" w:hAnsi="Arial" w:cs="Arial"/>
          <w:sz w:val="14"/>
          <w:szCs w:val="14"/>
          <w:lang w:val="sr-Latn-ME"/>
        </w:rPr>
        <w:t xml:space="preserve"> </w:t>
      </w:r>
      <w:r>
        <w:rPr>
          <w:rFonts w:ascii="Arial" w:hAnsi="Arial" w:cs="Arial"/>
          <w:sz w:val="14"/>
          <w:szCs w:val="14"/>
        </w:rPr>
        <w:t>za</w:t>
      </w:r>
      <w:r>
        <w:rPr>
          <w:rFonts w:ascii="Arial" w:hAnsi="Arial" w:cs="Arial"/>
          <w:sz w:val="14"/>
          <w:szCs w:val="14"/>
          <w:lang w:val="sr-Latn-ME"/>
        </w:rPr>
        <w:t xml:space="preserve"> </w:t>
      </w:r>
      <w:r>
        <w:rPr>
          <w:rFonts w:ascii="Arial" w:hAnsi="Arial" w:cs="Arial"/>
          <w:sz w:val="14"/>
          <w:szCs w:val="14"/>
        </w:rPr>
        <w:t>vrijeme</w:t>
      </w:r>
      <w:r>
        <w:rPr>
          <w:rFonts w:ascii="Arial" w:hAnsi="Arial" w:cs="Arial"/>
          <w:sz w:val="14"/>
          <w:szCs w:val="14"/>
          <w:lang w:val="sr-Latn-ME"/>
        </w:rPr>
        <w:t xml:space="preserve"> </w:t>
      </w:r>
      <w:r>
        <w:rPr>
          <w:rFonts w:ascii="Arial" w:hAnsi="Arial" w:cs="Arial"/>
          <w:sz w:val="14"/>
          <w:szCs w:val="14"/>
        </w:rPr>
        <w:t>trajanja</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p>
  </w:footnote>
  <w:footnote w:id="8">
    <w:p>
      <w:pPr>
        <w:jc w:val="both"/>
        <w:rPr>
          <w:rFonts w:ascii="Arial" w:hAnsi="Arial" w:cs="Arial"/>
          <w:color w:val="000000"/>
          <w:sz w:val="16"/>
          <w:szCs w:val="16"/>
        </w:rPr>
      </w:pPr>
      <w:r>
        <w:rPr>
          <w:rStyle w:val="6"/>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9">
    <w:p>
      <w:pPr>
        <w:pStyle w:val="7"/>
        <w:rPr>
          <w:b/>
          <w:bCs/>
          <w:lang w:val="sr-Latn-ME"/>
        </w:rPr>
      </w:pPr>
      <w:r>
        <w:rPr>
          <w:vertAlign w:val="superscript"/>
        </w:rPr>
        <w:footnoteRef/>
      </w:r>
      <w:r>
        <w:t xml:space="preserve"> </w:t>
      </w:r>
      <w:r>
        <w:rPr>
          <w:lang w:val="sr-Latn-ME"/>
        </w:rPr>
        <w:t>Upisati za sve predstavnike naručioca pojedinačno</w:t>
      </w:r>
    </w:p>
    <w:p>
      <w:pPr>
        <w:pStyle w:val="7"/>
        <w:rPr>
          <w:b/>
        </w:rPr>
      </w:pPr>
    </w:p>
    <w:p>
      <w:pPr>
        <w:pStyle w:val="7"/>
        <w:rPr>
          <w:lang w:val="sr-Latn-M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D0AF6"/>
    <w:multiLevelType w:val="singleLevel"/>
    <w:tmpl w:val="A17D0AF6"/>
    <w:lvl w:ilvl="0" w:tentative="0">
      <w:start w:val="18"/>
      <w:numFmt w:val="upperLetter"/>
      <w:suff w:val="space"/>
      <w:lvlText w:val="%1)"/>
      <w:lvlJc w:val="left"/>
      <w:rPr>
        <w:rFonts w:hint="default"/>
        <w:b/>
        <w:bCs/>
      </w:rPr>
    </w:lvl>
  </w:abstractNum>
  <w:abstractNum w:abstractNumId="1">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3">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63440CF"/>
    <w:multiLevelType w:val="multilevel"/>
    <w:tmpl w:val="263440C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D977A1B"/>
    <w:multiLevelType w:val="multilevel"/>
    <w:tmpl w:val="3D977A1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8">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9">
    <w:nsid w:val="618D5D2C"/>
    <w:multiLevelType w:val="singleLevel"/>
    <w:tmpl w:val="618D5D2C"/>
    <w:lvl w:ilvl="0" w:tentative="0">
      <w:start w:val="15"/>
      <w:numFmt w:val="decimal"/>
      <w:suff w:val="space"/>
      <w:lvlText w:val="%1."/>
      <w:lvlJc w:val="left"/>
    </w:lvl>
  </w:abstractNum>
  <w:abstractNum w:abstractNumId="10">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2"/>
  </w:num>
  <w:num w:numId="3">
    <w:abstractNumId w:val="7"/>
  </w:num>
  <w:num w:numId="4">
    <w:abstractNumId w:val="8"/>
  </w:num>
  <w:num w:numId="5">
    <w:abstractNumId w:val="10"/>
  </w:num>
  <w:num w:numId="6">
    <w:abstractNumId w:val="11"/>
  </w:num>
  <w:num w:numId="7">
    <w:abstractNumId w:val="3"/>
  </w:num>
  <w:num w:numId="8">
    <w:abstractNumId w:val="0"/>
  </w:num>
  <w:num w:numId="9">
    <w:abstractNumId w:val="6"/>
  </w:num>
  <w:num w:numId="10">
    <w:abstractNumId w:val="5"/>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20"/>
    <w:footnote w:id="2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C8"/>
    <w:rsid w:val="00003EBB"/>
    <w:rsid w:val="000059FD"/>
    <w:rsid w:val="00005DB3"/>
    <w:rsid w:val="00021EAC"/>
    <w:rsid w:val="00022EF8"/>
    <w:rsid w:val="000248A9"/>
    <w:rsid w:val="00031FB2"/>
    <w:rsid w:val="0004143F"/>
    <w:rsid w:val="00044C3A"/>
    <w:rsid w:val="00046168"/>
    <w:rsid w:val="000510CB"/>
    <w:rsid w:val="00051E1E"/>
    <w:rsid w:val="00056BD2"/>
    <w:rsid w:val="00065B41"/>
    <w:rsid w:val="00073F9B"/>
    <w:rsid w:val="00087A98"/>
    <w:rsid w:val="00090C94"/>
    <w:rsid w:val="00091ADA"/>
    <w:rsid w:val="000944C1"/>
    <w:rsid w:val="000A2047"/>
    <w:rsid w:val="000A395E"/>
    <w:rsid w:val="000B155E"/>
    <w:rsid w:val="000D1321"/>
    <w:rsid w:val="000E2A2E"/>
    <w:rsid w:val="000E40EB"/>
    <w:rsid w:val="000F7E01"/>
    <w:rsid w:val="001052B9"/>
    <w:rsid w:val="00111CD9"/>
    <w:rsid w:val="00121FFD"/>
    <w:rsid w:val="00124531"/>
    <w:rsid w:val="00127A0E"/>
    <w:rsid w:val="00141CA2"/>
    <w:rsid w:val="00144C4B"/>
    <w:rsid w:val="00163C43"/>
    <w:rsid w:val="0019316F"/>
    <w:rsid w:val="001A7B49"/>
    <w:rsid w:val="001B07FE"/>
    <w:rsid w:val="00202FAF"/>
    <w:rsid w:val="00211B1A"/>
    <w:rsid w:val="00213EB2"/>
    <w:rsid w:val="0021445C"/>
    <w:rsid w:val="002263ED"/>
    <w:rsid w:val="0025592D"/>
    <w:rsid w:val="002712A7"/>
    <w:rsid w:val="00271B9E"/>
    <w:rsid w:val="002760E5"/>
    <w:rsid w:val="002924C1"/>
    <w:rsid w:val="002A020E"/>
    <w:rsid w:val="002A30E0"/>
    <w:rsid w:val="002A57ED"/>
    <w:rsid w:val="002A74B5"/>
    <w:rsid w:val="002D1257"/>
    <w:rsid w:val="002E1D3A"/>
    <w:rsid w:val="002E4CBC"/>
    <w:rsid w:val="002E5EEA"/>
    <w:rsid w:val="002E62BF"/>
    <w:rsid w:val="003140F7"/>
    <w:rsid w:val="00314E0E"/>
    <w:rsid w:val="003212F2"/>
    <w:rsid w:val="0032220B"/>
    <w:rsid w:val="003315E8"/>
    <w:rsid w:val="00335235"/>
    <w:rsid w:val="00377529"/>
    <w:rsid w:val="003813E7"/>
    <w:rsid w:val="003C0642"/>
    <w:rsid w:val="003C796C"/>
    <w:rsid w:val="003D2E37"/>
    <w:rsid w:val="003E13DA"/>
    <w:rsid w:val="003E1744"/>
    <w:rsid w:val="003F1AD1"/>
    <w:rsid w:val="00400B5C"/>
    <w:rsid w:val="00407050"/>
    <w:rsid w:val="004126AA"/>
    <w:rsid w:val="00417E75"/>
    <w:rsid w:val="00420E40"/>
    <w:rsid w:val="00436836"/>
    <w:rsid w:val="0043797D"/>
    <w:rsid w:val="00444E0C"/>
    <w:rsid w:val="0044509B"/>
    <w:rsid w:val="0044663C"/>
    <w:rsid w:val="00450C8E"/>
    <w:rsid w:val="0046497A"/>
    <w:rsid w:val="004742A4"/>
    <w:rsid w:val="00492F99"/>
    <w:rsid w:val="00494E92"/>
    <w:rsid w:val="004A44A0"/>
    <w:rsid w:val="004C78A7"/>
    <w:rsid w:val="004D5D12"/>
    <w:rsid w:val="004E3AA3"/>
    <w:rsid w:val="004E3EC5"/>
    <w:rsid w:val="004F0333"/>
    <w:rsid w:val="004F0ED6"/>
    <w:rsid w:val="00500F0E"/>
    <w:rsid w:val="00501CC5"/>
    <w:rsid w:val="00502051"/>
    <w:rsid w:val="00504AE6"/>
    <w:rsid w:val="0051747E"/>
    <w:rsid w:val="00526DE8"/>
    <w:rsid w:val="00533CF8"/>
    <w:rsid w:val="00556726"/>
    <w:rsid w:val="00557967"/>
    <w:rsid w:val="005709E3"/>
    <w:rsid w:val="00571555"/>
    <w:rsid w:val="00592D93"/>
    <w:rsid w:val="005C05F1"/>
    <w:rsid w:val="005D6A29"/>
    <w:rsid w:val="005E0365"/>
    <w:rsid w:val="005E5CCC"/>
    <w:rsid w:val="005F2FCE"/>
    <w:rsid w:val="006070B5"/>
    <w:rsid w:val="006262FE"/>
    <w:rsid w:val="0064780A"/>
    <w:rsid w:val="006532E2"/>
    <w:rsid w:val="00657D8B"/>
    <w:rsid w:val="006709E2"/>
    <w:rsid w:val="006828F7"/>
    <w:rsid w:val="00682B24"/>
    <w:rsid w:val="00684C7C"/>
    <w:rsid w:val="00693D24"/>
    <w:rsid w:val="00695DB7"/>
    <w:rsid w:val="006A4DA0"/>
    <w:rsid w:val="006C1267"/>
    <w:rsid w:val="006C5600"/>
    <w:rsid w:val="006C58EE"/>
    <w:rsid w:val="006D29B8"/>
    <w:rsid w:val="006E04B3"/>
    <w:rsid w:val="006E57A0"/>
    <w:rsid w:val="007040B1"/>
    <w:rsid w:val="007042A5"/>
    <w:rsid w:val="00712060"/>
    <w:rsid w:val="00714A72"/>
    <w:rsid w:val="00732740"/>
    <w:rsid w:val="00756081"/>
    <w:rsid w:val="0075791A"/>
    <w:rsid w:val="00765D2C"/>
    <w:rsid w:val="00782380"/>
    <w:rsid w:val="00783B56"/>
    <w:rsid w:val="00784A8D"/>
    <w:rsid w:val="00793603"/>
    <w:rsid w:val="00796B74"/>
    <w:rsid w:val="0079746D"/>
    <w:rsid w:val="007A2BCB"/>
    <w:rsid w:val="007A443E"/>
    <w:rsid w:val="007A4713"/>
    <w:rsid w:val="007A51AB"/>
    <w:rsid w:val="007B2650"/>
    <w:rsid w:val="007B5557"/>
    <w:rsid w:val="007D2692"/>
    <w:rsid w:val="007D2757"/>
    <w:rsid w:val="007D539A"/>
    <w:rsid w:val="007F63A6"/>
    <w:rsid w:val="008076B4"/>
    <w:rsid w:val="00814399"/>
    <w:rsid w:val="00817B03"/>
    <w:rsid w:val="00817FDB"/>
    <w:rsid w:val="00835FEC"/>
    <w:rsid w:val="008408C8"/>
    <w:rsid w:val="00853E60"/>
    <w:rsid w:val="00861196"/>
    <w:rsid w:val="008628B0"/>
    <w:rsid w:val="00867040"/>
    <w:rsid w:val="0089435C"/>
    <w:rsid w:val="00896C5D"/>
    <w:rsid w:val="008C0A23"/>
    <w:rsid w:val="008C5DEF"/>
    <w:rsid w:val="008D3613"/>
    <w:rsid w:val="008D4588"/>
    <w:rsid w:val="008F5CAF"/>
    <w:rsid w:val="00901557"/>
    <w:rsid w:val="00913DC3"/>
    <w:rsid w:val="00930FDC"/>
    <w:rsid w:val="00945C44"/>
    <w:rsid w:val="0095507C"/>
    <w:rsid w:val="00970D89"/>
    <w:rsid w:val="00985697"/>
    <w:rsid w:val="0099026F"/>
    <w:rsid w:val="009A4F47"/>
    <w:rsid w:val="009B50A7"/>
    <w:rsid w:val="009B72AD"/>
    <w:rsid w:val="009B7C3D"/>
    <w:rsid w:val="009C7EB0"/>
    <w:rsid w:val="009D67D4"/>
    <w:rsid w:val="009E02CE"/>
    <w:rsid w:val="009E1C7B"/>
    <w:rsid w:val="009E5D05"/>
    <w:rsid w:val="009F51CC"/>
    <w:rsid w:val="00A0382D"/>
    <w:rsid w:val="00A219B3"/>
    <w:rsid w:val="00A352D8"/>
    <w:rsid w:val="00A41845"/>
    <w:rsid w:val="00A62E44"/>
    <w:rsid w:val="00A67B02"/>
    <w:rsid w:val="00AD0016"/>
    <w:rsid w:val="00AD03B0"/>
    <w:rsid w:val="00AF279E"/>
    <w:rsid w:val="00B018BA"/>
    <w:rsid w:val="00B06159"/>
    <w:rsid w:val="00B67FAB"/>
    <w:rsid w:val="00B76CCF"/>
    <w:rsid w:val="00B81626"/>
    <w:rsid w:val="00BA3D71"/>
    <w:rsid w:val="00BA7C6A"/>
    <w:rsid w:val="00BB35BF"/>
    <w:rsid w:val="00BC4904"/>
    <w:rsid w:val="00BD7264"/>
    <w:rsid w:val="00BE6AC5"/>
    <w:rsid w:val="00C01088"/>
    <w:rsid w:val="00C1339A"/>
    <w:rsid w:val="00C22312"/>
    <w:rsid w:val="00C335ED"/>
    <w:rsid w:val="00C3403C"/>
    <w:rsid w:val="00C369A8"/>
    <w:rsid w:val="00C40130"/>
    <w:rsid w:val="00C53F8D"/>
    <w:rsid w:val="00C54A28"/>
    <w:rsid w:val="00C54B31"/>
    <w:rsid w:val="00C67C9D"/>
    <w:rsid w:val="00C70100"/>
    <w:rsid w:val="00C73354"/>
    <w:rsid w:val="00C767F3"/>
    <w:rsid w:val="00C80174"/>
    <w:rsid w:val="00C866D5"/>
    <w:rsid w:val="00C86B8B"/>
    <w:rsid w:val="00C97353"/>
    <w:rsid w:val="00CA044B"/>
    <w:rsid w:val="00CB41E4"/>
    <w:rsid w:val="00CD4C61"/>
    <w:rsid w:val="00CE1332"/>
    <w:rsid w:val="00D03C18"/>
    <w:rsid w:val="00D46141"/>
    <w:rsid w:val="00D6265B"/>
    <w:rsid w:val="00D70E36"/>
    <w:rsid w:val="00D710CB"/>
    <w:rsid w:val="00D7236D"/>
    <w:rsid w:val="00D81218"/>
    <w:rsid w:val="00D841D2"/>
    <w:rsid w:val="00D979D1"/>
    <w:rsid w:val="00DA0F6C"/>
    <w:rsid w:val="00DB2BF5"/>
    <w:rsid w:val="00DB35B8"/>
    <w:rsid w:val="00DB708B"/>
    <w:rsid w:val="00DD7232"/>
    <w:rsid w:val="00DE0B46"/>
    <w:rsid w:val="00DF62BD"/>
    <w:rsid w:val="00E16F62"/>
    <w:rsid w:val="00E24401"/>
    <w:rsid w:val="00E2458C"/>
    <w:rsid w:val="00E33C33"/>
    <w:rsid w:val="00E44D43"/>
    <w:rsid w:val="00E45B99"/>
    <w:rsid w:val="00E547D4"/>
    <w:rsid w:val="00E54870"/>
    <w:rsid w:val="00E553E3"/>
    <w:rsid w:val="00E56D39"/>
    <w:rsid w:val="00E83732"/>
    <w:rsid w:val="00EC6745"/>
    <w:rsid w:val="00EC67C6"/>
    <w:rsid w:val="00EC7CCC"/>
    <w:rsid w:val="00ED4CCB"/>
    <w:rsid w:val="00EF720C"/>
    <w:rsid w:val="00F00A80"/>
    <w:rsid w:val="00F076C0"/>
    <w:rsid w:val="00F12EAD"/>
    <w:rsid w:val="00F256D7"/>
    <w:rsid w:val="00F31E91"/>
    <w:rsid w:val="00F41E10"/>
    <w:rsid w:val="00F833B2"/>
    <w:rsid w:val="00F84C6F"/>
    <w:rsid w:val="00FA7C97"/>
    <w:rsid w:val="00FB67A3"/>
    <w:rsid w:val="00FD6B27"/>
    <w:rsid w:val="00FE35B9"/>
    <w:rsid w:val="052B45B1"/>
    <w:rsid w:val="056917A9"/>
    <w:rsid w:val="06045128"/>
    <w:rsid w:val="072442B8"/>
    <w:rsid w:val="09B47A15"/>
    <w:rsid w:val="0C0927AD"/>
    <w:rsid w:val="14D204C9"/>
    <w:rsid w:val="1BA20948"/>
    <w:rsid w:val="1DB8764F"/>
    <w:rsid w:val="1F5B6D06"/>
    <w:rsid w:val="1F7C05F9"/>
    <w:rsid w:val="20920207"/>
    <w:rsid w:val="2310727A"/>
    <w:rsid w:val="275B7BEE"/>
    <w:rsid w:val="29EC13F2"/>
    <w:rsid w:val="2BE77BCD"/>
    <w:rsid w:val="2F800586"/>
    <w:rsid w:val="340A7443"/>
    <w:rsid w:val="34726D72"/>
    <w:rsid w:val="36531B63"/>
    <w:rsid w:val="4B7534E5"/>
    <w:rsid w:val="4DC56880"/>
    <w:rsid w:val="50A23193"/>
    <w:rsid w:val="5AF67305"/>
    <w:rsid w:val="5B9D2488"/>
    <w:rsid w:val="5C1E0CD5"/>
    <w:rsid w:val="63925372"/>
    <w:rsid w:val="640C08A0"/>
    <w:rsid w:val="6C00012B"/>
    <w:rsid w:val="732A3AE9"/>
    <w:rsid w:val="79DE7BA6"/>
    <w:rsid w:val="7B595576"/>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r-Latn-CS" w:eastAsia="en-US"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2"/>
    <w:semiHidden/>
    <w:unhideWhenUsed/>
    <w:qFormat/>
    <w:uiPriority w:val="99"/>
    <w:pPr>
      <w:spacing w:after="0" w:line="240" w:lineRule="auto"/>
    </w:pPr>
    <w:rPr>
      <w:rFonts w:ascii="Segoe UI" w:hAnsi="Segoe UI" w:cs="Segoe UI"/>
      <w:sz w:val="18"/>
      <w:szCs w:val="18"/>
    </w:rPr>
  </w:style>
  <w:style w:type="character" w:styleId="6">
    <w:name w:val="footnote reference"/>
    <w:unhideWhenUsed/>
    <w:qFormat/>
    <w:uiPriority w:val="99"/>
    <w:rPr>
      <w:vertAlign w:val="superscript"/>
    </w:rPr>
  </w:style>
  <w:style w:type="paragraph" w:styleId="7">
    <w:name w:val="footnote text"/>
    <w:basedOn w:val="1"/>
    <w:link w:val="9"/>
    <w:unhideWhenUsed/>
    <w:qFormat/>
    <w:uiPriority w:val="99"/>
    <w:pPr>
      <w:spacing w:after="0" w:line="240" w:lineRule="auto"/>
    </w:pPr>
    <w:rPr>
      <w:rFonts w:ascii="Calibri" w:hAnsi="Calibri" w:eastAsia="Calibri" w:cs="Times New Roman"/>
      <w:sz w:val="20"/>
      <w:szCs w:val="20"/>
      <w:lang w:val="en-US"/>
    </w:rPr>
  </w:style>
  <w:style w:type="character" w:styleId="8">
    <w:name w:val="Hyperlink"/>
    <w:basedOn w:val="3"/>
    <w:semiHidden/>
    <w:unhideWhenUsed/>
    <w:qFormat/>
    <w:uiPriority w:val="99"/>
    <w:rPr>
      <w:color w:val="0000FF"/>
      <w:u w:val="single"/>
    </w:rPr>
  </w:style>
  <w:style w:type="character" w:customStyle="1" w:styleId="9">
    <w:name w:val="Footnote Text Char"/>
    <w:basedOn w:val="3"/>
    <w:link w:val="7"/>
    <w:qFormat/>
    <w:uiPriority w:val="99"/>
    <w:rPr>
      <w:rFonts w:ascii="Calibri" w:hAnsi="Calibri" w:eastAsia="Calibri" w:cs="Times New Roman"/>
      <w:sz w:val="20"/>
      <w:szCs w:val="20"/>
      <w:lang w:val="en-US"/>
    </w:rPr>
  </w:style>
  <w:style w:type="paragraph" w:styleId="10">
    <w:name w:val="List Paragraph"/>
    <w:basedOn w:val="1"/>
    <w:link w:val="11"/>
    <w:qFormat/>
    <w:uiPriority w:val="34"/>
    <w:pPr>
      <w:spacing w:before="96" w:after="120" w:line="360" w:lineRule="atLeast"/>
      <w:ind w:left="720"/>
    </w:pPr>
    <w:rPr>
      <w:rFonts w:ascii="Calibri" w:hAnsi="Calibri" w:eastAsia="Calibri" w:cs="Times New Roman"/>
      <w:lang w:val="en-US"/>
    </w:rPr>
  </w:style>
  <w:style w:type="character" w:customStyle="1" w:styleId="11">
    <w:name w:val="List Paragraph Char"/>
    <w:link w:val="10"/>
    <w:qFormat/>
    <w:locked/>
    <w:uiPriority w:val="34"/>
    <w:rPr>
      <w:rFonts w:ascii="Calibri" w:hAnsi="Calibri" w:eastAsia="Calibri" w:cs="Times New Roman"/>
      <w:lang w:val="en-US"/>
    </w:rPr>
  </w:style>
  <w:style w:type="character" w:customStyle="1" w:styleId="12">
    <w:name w:val="Balloon Text Char"/>
    <w:basedOn w:val="3"/>
    <w:link w:val="5"/>
    <w:semiHidden/>
    <w:qFormat/>
    <w:uiPriority w:val="99"/>
    <w:rPr>
      <w:rFonts w:ascii="Segoe UI" w:hAnsi="Segoe UI" w:cs="Segoe UI"/>
      <w:sz w:val="18"/>
      <w:szCs w:val="18"/>
    </w:rPr>
  </w:style>
  <w:style w:type="character" w:customStyle="1" w:styleId="13">
    <w:name w:val="Heading 1 Char"/>
    <w:link w:val="2"/>
    <w:qFormat/>
    <w:uiPriority w:val="0"/>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22431-5788-45FA-BF47-969F5993816C}">
  <ds:schemaRefs/>
</ds:datastoreItem>
</file>

<file path=docProps/app.xml><?xml version="1.0" encoding="utf-8"?>
<Properties xmlns="http://schemas.openxmlformats.org/officeDocument/2006/extended-properties" xmlns:vt="http://schemas.openxmlformats.org/officeDocument/2006/docPropsVTypes">
  <Template>Normal</Template>
  <Pages>11</Pages>
  <Words>2715</Words>
  <Characters>15482</Characters>
  <Lines>129</Lines>
  <Paragraphs>36</Paragraphs>
  <TotalTime>38</TotalTime>
  <ScaleCrop>false</ScaleCrop>
  <LinksUpToDate>false</LinksUpToDate>
  <CharactersWithSpaces>18161</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2022-12-22T16:58:00Z</dcterms:created>
  <dc:creator>Sanja Bakic</dc:creator>
  <cp:lastModifiedBy>Dragan Prenkic</cp:lastModifiedBy>
  <cp:lastPrinted>2026-09-07T11:58:00Z</cp:lastPrinted>
  <dcterms:modified xsi:type="dcterms:W3CDTF">2026-09-10T17:26:44Z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F7EB28D484D645ABB957DF6371DDEE88</vt:lpwstr>
  </property>
</Properties>
</file>