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1E5C" w14:textId="21E928D9" w:rsidR="00CA06BE" w:rsidRPr="005046E1" w:rsidRDefault="00882884" w:rsidP="00CA06BE">
      <w:pPr>
        <w:tabs>
          <w:tab w:val="left" w:pos="851"/>
          <w:tab w:val="right" w:pos="3402"/>
        </w:tabs>
        <w:spacing w:after="0"/>
        <w:rPr>
          <w:rFonts w:ascii="Arial" w:eastAsia="Calibri" w:hAnsi="Arial" w:cs="Arial"/>
          <w:lang w:val="sr-Latn-ME"/>
        </w:rPr>
      </w:pPr>
      <w:r>
        <w:rPr>
          <w:rFonts w:eastAsia="Calibri" w:cstheme="minorHAnsi"/>
          <w:lang w:val="sr-Latn-ME"/>
        </w:rPr>
        <w:t xml:space="preserve"> </w:t>
      </w:r>
      <w:r w:rsidR="00EB65CC" w:rsidRPr="005046E1">
        <w:rPr>
          <w:rFonts w:ascii="Arial" w:eastAsia="Calibri" w:hAnsi="Arial" w:cs="Arial"/>
          <w:lang w:val="sr-Latn-ME"/>
        </w:rPr>
        <w:t>Ministarstvo javnih radova</w:t>
      </w:r>
    </w:p>
    <w:p w14:paraId="04D6776F" w14:textId="77777777" w:rsidR="00CA06BE" w:rsidRPr="005046E1" w:rsidRDefault="00CA06BE" w:rsidP="00CA06BE">
      <w:pPr>
        <w:tabs>
          <w:tab w:val="left" w:pos="851"/>
          <w:tab w:val="right" w:pos="3402"/>
        </w:tabs>
        <w:spacing w:after="0"/>
        <w:rPr>
          <w:rFonts w:ascii="Arial" w:eastAsia="Calibri" w:hAnsi="Arial" w:cs="Arial"/>
          <w:lang w:val="sr-Latn-ME"/>
        </w:rPr>
      </w:pPr>
      <w:r w:rsidRPr="005046E1">
        <w:rPr>
          <w:rFonts w:ascii="Arial" w:eastAsia="Calibri" w:hAnsi="Arial" w:cs="Arial"/>
          <w:lang w:val="sr-Latn-ME"/>
        </w:rPr>
        <w:t>ul.Arsenija Boljevića 2a, City Mall/III sprat, 81000 Podgorica</w:t>
      </w:r>
      <w:r w:rsidRPr="005046E1">
        <w:rPr>
          <w:rFonts w:ascii="Arial" w:eastAsia="Calibri" w:hAnsi="Arial" w:cs="Arial"/>
          <w:lang w:val="sr-Latn-ME"/>
        </w:rPr>
        <w:tab/>
        <w:t xml:space="preserve"> </w:t>
      </w:r>
    </w:p>
    <w:p w14:paraId="32B07FCB" w14:textId="5E57542A" w:rsidR="00CA06BE" w:rsidRPr="005046E1" w:rsidRDefault="00CA06BE" w:rsidP="00CA06BE">
      <w:pPr>
        <w:tabs>
          <w:tab w:val="right" w:pos="3402"/>
        </w:tabs>
        <w:spacing w:after="0"/>
        <w:rPr>
          <w:rFonts w:ascii="Arial" w:eastAsia="Calibri" w:hAnsi="Arial" w:cs="Arial"/>
          <w:lang w:val="sr-Latn-ME"/>
        </w:rPr>
      </w:pPr>
      <w:r w:rsidRPr="005046E1">
        <w:rPr>
          <w:rFonts w:ascii="Arial" w:eastAsia="Calibri" w:hAnsi="Arial" w:cs="Arial"/>
          <w:lang w:val="sr-Latn-ME"/>
        </w:rPr>
        <w:t>Broj:</w:t>
      </w:r>
      <w:r w:rsidR="004D2B80">
        <w:rPr>
          <w:rFonts w:ascii="Arial" w:eastAsia="Calibri" w:hAnsi="Arial" w:cs="Arial"/>
          <w:lang w:val="sr-Latn-ME"/>
        </w:rPr>
        <w:t xml:space="preserve"> 01-426/26-2437/5</w:t>
      </w:r>
    </w:p>
    <w:p w14:paraId="2B091172" w14:textId="1756BB07" w:rsidR="00875206" w:rsidRPr="005046E1" w:rsidRDefault="00CA06BE" w:rsidP="0019089B">
      <w:pPr>
        <w:pStyle w:val="ListParagraph"/>
        <w:spacing w:after="0" w:line="240" w:lineRule="auto"/>
        <w:ind w:left="0"/>
        <w:rPr>
          <w:rFonts w:ascii="Arial" w:hAnsi="Arial" w:cs="Arial"/>
          <w:bCs/>
          <w:lang w:val="sr-Latn-ME"/>
        </w:rPr>
      </w:pPr>
      <w:r w:rsidRPr="005046E1">
        <w:rPr>
          <w:rFonts w:ascii="Arial" w:hAnsi="Arial" w:cs="Arial"/>
          <w:lang w:val="sr-Latn-ME"/>
        </w:rPr>
        <w:t xml:space="preserve">Podgorica, </w:t>
      </w:r>
      <w:r w:rsidR="005046E1" w:rsidRPr="005046E1">
        <w:rPr>
          <w:rFonts w:ascii="Arial" w:hAnsi="Arial" w:cs="Arial"/>
          <w:lang w:val="sr-Latn-ME"/>
        </w:rPr>
        <w:t>15</w:t>
      </w:r>
      <w:r w:rsidR="0079653B" w:rsidRPr="005046E1">
        <w:rPr>
          <w:rFonts w:ascii="Arial" w:hAnsi="Arial" w:cs="Arial"/>
          <w:lang w:val="sr-Latn-ME"/>
        </w:rPr>
        <w:t>.7.2026.godine</w:t>
      </w:r>
    </w:p>
    <w:p w14:paraId="2665F03C" w14:textId="77777777" w:rsidR="005F315A" w:rsidRPr="005046E1" w:rsidRDefault="005F315A" w:rsidP="00875206">
      <w:pPr>
        <w:pStyle w:val="NoSpacing"/>
        <w:jc w:val="both"/>
        <w:rPr>
          <w:rFonts w:ascii="Arial" w:hAnsi="Arial" w:cs="Arial"/>
          <w:bCs/>
          <w:lang w:val="sr-Latn-ME"/>
        </w:rPr>
      </w:pPr>
    </w:p>
    <w:p w14:paraId="0033716C" w14:textId="3E2B30EA" w:rsidR="00ED20CA" w:rsidRPr="005046E1" w:rsidRDefault="00875206" w:rsidP="00EB65CC">
      <w:pPr>
        <w:pStyle w:val="NoSpacing"/>
        <w:ind w:firstLine="709"/>
        <w:jc w:val="center"/>
        <w:rPr>
          <w:rFonts w:ascii="Arial" w:hAnsi="Arial" w:cs="Arial"/>
          <w:b/>
          <w:bCs/>
          <w:lang w:val="sr-Latn-ME"/>
        </w:rPr>
      </w:pPr>
      <w:r w:rsidRPr="005046E1">
        <w:rPr>
          <w:rFonts w:ascii="Arial" w:hAnsi="Arial" w:cs="Arial"/>
          <w:b/>
          <w:bCs/>
          <w:lang w:val="sr-Latn-ME"/>
        </w:rPr>
        <w:t>POJAŠNJENJE</w:t>
      </w:r>
    </w:p>
    <w:p w14:paraId="633A2975" w14:textId="0E6175A9" w:rsidR="002851D5" w:rsidRPr="005046E1" w:rsidRDefault="00EB01C8" w:rsidP="008F1F48">
      <w:pPr>
        <w:jc w:val="center"/>
        <w:rPr>
          <w:rFonts w:ascii="Arial" w:hAnsi="Arial" w:cs="Arial"/>
          <w:b/>
          <w:bCs/>
          <w:lang w:val="sr-Latn-ME"/>
        </w:rPr>
      </w:pPr>
      <w:r w:rsidRPr="005046E1">
        <w:rPr>
          <w:rFonts w:ascii="Arial" w:hAnsi="Arial" w:cs="Arial"/>
          <w:b/>
          <w:bCs/>
          <w:lang w:val="sr-Latn-ME"/>
        </w:rPr>
        <w:t xml:space="preserve">Tenderske dokumentacije broj </w:t>
      </w:r>
      <w:r w:rsidR="008F1F48" w:rsidRPr="005046E1">
        <w:rPr>
          <w:rFonts w:ascii="Arial" w:hAnsi="Arial" w:cs="Arial"/>
          <w:b/>
          <w:bCs/>
          <w:lang w:val="sr-Latn-ME"/>
        </w:rPr>
        <w:t>0</w:t>
      </w:r>
      <w:r w:rsidR="00C16E4F" w:rsidRPr="005046E1">
        <w:rPr>
          <w:rFonts w:ascii="Arial" w:hAnsi="Arial" w:cs="Arial"/>
          <w:b/>
          <w:bCs/>
          <w:lang w:val="sr-Latn-ME"/>
        </w:rPr>
        <w:t>5-45</w:t>
      </w:r>
      <w:r w:rsidR="008F1F48" w:rsidRPr="005046E1">
        <w:rPr>
          <w:rFonts w:ascii="Arial" w:hAnsi="Arial" w:cs="Arial"/>
          <w:b/>
          <w:bCs/>
          <w:lang w:val="sr-Latn-ME"/>
        </w:rPr>
        <w:t xml:space="preserve">/26 </w:t>
      </w:r>
      <w:r w:rsidRPr="005046E1">
        <w:rPr>
          <w:rFonts w:ascii="Arial" w:hAnsi="Arial" w:cs="Arial"/>
          <w:b/>
          <w:bCs/>
          <w:lang w:val="sr-Latn-ME"/>
        </w:rPr>
        <w:t xml:space="preserve">od </w:t>
      </w:r>
      <w:r w:rsidR="00C16E4F" w:rsidRPr="005046E1">
        <w:rPr>
          <w:rFonts w:ascii="Arial" w:hAnsi="Arial" w:cs="Arial"/>
          <w:b/>
          <w:bCs/>
          <w:lang w:val="sr-Latn-ME"/>
        </w:rPr>
        <w:t>22</w:t>
      </w:r>
      <w:r w:rsidR="008F1F48" w:rsidRPr="005046E1">
        <w:rPr>
          <w:rFonts w:ascii="Arial" w:hAnsi="Arial" w:cs="Arial"/>
          <w:b/>
          <w:bCs/>
          <w:lang w:val="sr-Latn-ME"/>
        </w:rPr>
        <w:t>.06.</w:t>
      </w:r>
      <w:r w:rsidR="008D1C85" w:rsidRPr="005046E1">
        <w:rPr>
          <w:rFonts w:ascii="Arial" w:hAnsi="Arial" w:cs="Arial"/>
          <w:b/>
          <w:bCs/>
          <w:lang w:val="sr-Latn-ME"/>
        </w:rPr>
        <w:t>2026.godine</w:t>
      </w:r>
    </w:p>
    <w:p w14:paraId="1673D2C2" w14:textId="03D2DF9D" w:rsidR="0073163A" w:rsidRPr="005046E1" w:rsidRDefault="00EB01C8" w:rsidP="008F1F48">
      <w:pPr>
        <w:jc w:val="center"/>
        <w:rPr>
          <w:rFonts w:ascii="Arial" w:hAnsi="Arial" w:cs="Arial"/>
          <w:noProof/>
          <w:lang w:val="sr-Latn-ME"/>
        </w:rPr>
      </w:pPr>
      <w:r w:rsidRPr="005046E1">
        <w:rPr>
          <w:rFonts w:ascii="Arial" w:hAnsi="Arial" w:cs="Arial"/>
          <w:b/>
          <w:bCs/>
          <w:lang w:val="sr-Latn-ME"/>
        </w:rPr>
        <w:t>(šifra postupka</w:t>
      </w:r>
      <w:r w:rsidR="00026DFB" w:rsidRPr="005046E1">
        <w:rPr>
          <w:rFonts w:ascii="Arial" w:hAnsi="Arial" w:cs="Arial"/>
          <w:b/>
          <w:bCs/>
          <w:lang w:val="sr-Latn-ME"/>
        </w:rPr>
        <w:t xml:space="preserve"> </w:t>
      </w:r>
      <w:r w:rsidR="00880AC0" w:rsidRPr="005046E1">
        <w:rPr>
          <w:rFonts w:ascii="Arial" w:hAnsi="Arial" w:cs="Arial"/>
          <w:b/>
          <w:bCs/>
          <w:lang w:val="sr-Latn-ME"/>
        </w:rPr>
        <w:t>#</w:t>
      </w:r>
      <w:r w:rsidR="003D57A9" w:rsidRPr="005046E1">
        <w:rPr>
          <w:rFonts w:ascii="Arial" w:hAnsi="Arial" w:cs="Arial"/>
          <w:b/>
          <w:bCs/>
          <w:lang w:val="sr-Latn-ME"/>
        </w:rPr>
        <w:t>1</w:t>
      </w:r>
      <w:r w:rsidR="008F1F48" w:rsidRPr="005046E1">
        <w:rPr>
          <w:rFonts w:ascii="Arial" w:hAnsi="Arial" w:cs="Arial"/>
          <w:b/>
          <w:bCs/>
          <w:lang w:val="sr-Latn-ME"/>
        </w:rPr>
        <w:t>17</w:t>
      </w:r>
      <w:r w:rsidR="00C16E4F" w:rsidRPr="005046E1">
        <w:rPr>
          <w:rFonts w:ascii="Arial" w:hAnsi="Arial" w:cs="Arial"/>
          <w:b/>
          <w:bCs/>
          <w:lang w:val="sr-Latn-ME"/>
        </w:rPr>
        <w:t>917</w:t>
      </w:r>
      <w:r w:rsidR="00026DFB" w:rsidRPr="005046E1">
        <w:rPr>
          <w:rFonts w:ascii="Arial" w:hAnsi="Arial" w:cs="Arial"/>
          <w:b/>
          <w:bCs/>
          <w:lang w:val="sr-Latn-ME"/>
        </w:rPr>
        <w:t>)</w:t>
      </w:r>
      <w:r w:rsidR="00EB65CC" w:rsidRPr="005046E1">
        <w:rPr>
          <w:rFonts w:ascii="Arial" w:hAnsi="Arial" w:cs="Arial"/>
          <w:b/>
          <w:bCs/>
          <w:lang w:val="sr-Latn-ME"/>
        </w:rPr>
        <w:t xml:space="preserve"> za</w:t>
      </w:r>
      <w:r w:rsidR="008D1C85" w:rsidRPr="005046E1">
        <w:rPr>
          <w:rFonts w:ascii="Arial" w:hAnsi="Arial" w:cs="Arial"/>
          <w:b/>
          <w:bCs/>
          <w:lang w:val="sr-Latn-ME"/>
        </w:rPr>
        <w:t xml:space="preserve"> </w:t>
      </w:r>
      <w:r w:rsidR="00C16E4F" w:rsidRPr="005046E1">
        <w:rPr>
          <w:rFonts w:ascii="Arial" w:hAnsi="Arial" w:cs="Arial"/>
          <w:b/>
          <w:bCs/>
          <w:lang w:val="sr-Latn-ME"/>
        </w:rPr>
        <w:t>izradu Glavnog projekta stambenog kompleksa Blok A1 i izvođenje radova na izgradnji prve faze dijela stambenog kompleksa sa pratećom infrastrukturom u naselju “Velje brdo”, Podgorica</w:t>
      </w:r>
    </w:p>
    <w:p w14:paraId="715CBE05" w14:textId="4CF79A5E" w:rsidR="00B22BC5" w:rsidRPr="005046E1" w:rsidRDefault="00B22BC5" w:rsidP="0073163A">
      <w:pPr>
        <w:tabs>
          <w:tab w:val="left" w:pos="1276"/>
          <w:tab w:val="left" w:pos="3261"/>
        </w:tabs>
        <w:spacing w:after="0" w:line="240" w:lineRule="auto"/>
        <w:ind w:firstLine="1134"/>
        <w:jc w:val="center"/>
        <w:rPr>
          <w:rFonts w:ascii="Arial" w:hAnsi="Arial" w:cs="Arial"/>
          <w:bCs/>
          <w:lang w:val="sr-Latn-ME"/>
        </w:rPr>
      </w:pPr>
      <w:r w:rsidRPr="005046E1">
        <w:rPr>
          <w:rFonts w:ascii="Arial" w:hAnsi="Arial" w:cs="Arial"/>
          <w:bCs/>
          <w:lang w:val="sr-Latn-ME"/>
        </w:rPr>
        <w:t>Povodom zahtjeva za pojašnjenje Tenderske dokumentacije</w:t>
      </w:r>
      <w:r w:rsidR="00FD6A75" w:rsidRPr="005046E1">
        <w:rPr>
          <w:rFonts w:ascii="Arial" w:hAnsi="Arial" w:cs="Arial"/>
          <w:bCs/>
          <w:lang w:val="sr-Latn-ME"/>
        </w:rPr>
        <w:t>,</w:t>
      </w:r>
      <w:r w:rsidRPr="005046E1">
        <w:rPr>
          <w:rFonts w:ascii="Arial" w:hAnsi="Arial" w:cs="Arial"/>
          <w:bCs/>
          <w:lang w:val="sr-Latn-ME"/>
        </w:rPr>
        <w:t xml:space="preserve"> Komisija za sprovođenje postupka javne nabavke, u skladu sa članom 95 stav 2 Zakona o javnim nabavkama, na postavljena pitanja daje sljedeće odgovore: </w:t>
      </w:r>
    </w:p>
    <w:p w14:paraId="073E539C" w14:textId="77777777" w:rsidR="00A752D8" w:rsidRPr="005046E1" w:rsidRDefault="00A752D8" w:rsidP="00C2063F">
      <w:pPr>
        <w:jc w:val="both"/>
        <w:rPr>
          <w:rFonts w:ascii="Arial" w:hAnsi="Arial" w:cs="Arial"/>
        </w:rPr>
      </w:pPr>
    </w:p>
    <w:p w14:paraId="0F515A5D" w14:textId="51E1B125" w:rsidR="005046E1" w:rsidRPr="005046E1" w:rsidRDefault="005046E1" w:rsidP="005046E1">
      <w:pPr>
        <w:spacing w:line="276" w:lineRule="auto"/>
        <w:jc w:val="both"/>
        <w:rPr>
          <w:rFonts w:ascii="Arial" w:hAnsi="Arial" w:cs="Arial"/>
        </w:rPr>
      </w:pPr>
      <w:r w:rsidRPr="005046E1">
        <w:rPr>
          <w:rFonts w:ascii="Arial" w:eastAsia="Arial" w:hAnsi="Arial" w:cs="Arial"/>
        </w:rPr>
        <w:t>Pitanje: U skladu sa članom 94 st. 4 i 5 Zakona o javnim nabavkama („Službeni list CG“, br. 74/2019, 3/2023, 11/2023 - ispravka i 84/2024; u daljem tekstu: ZJN), predlog za izmjenu tenderske dokumentacije od 02.07.2026. godine, sa obrazloženjem razloga zbog kojih je nepravilnosti tenderske dokumentacije neophodno otkloniti, sistematizovanim u osam odjeljaka, zasnovanim na sadržini Pojašnjenja tenderske dokumentacije broj 04-426/26-2437/1 od 02.07.2026. godine (u daljem tekstu: Pojašnjenje).</w:t>
      </w:r>
    </w:p>
    <w:p w14:paraId="3F045290"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Naručilac je na taj predlog odgovorio aktom broj 01-426/26-2437/2 od 06.07.2026. godine, čija cjelokupna sadržina, u dijelu odlučivanja, glasi:</w:t>
      </w:r>
    </w:p>
    <w:p w14:paraId="23E041AB" w14:textId="77777777" w:rsidR="005046E1" w:rsidRPr="005046E1" w:rsidRDefault="005046E1" w:rsidP="005046E1">
      <w:pPr>
        <w:spacing w:line="276" w:lineRule="auto"/>
        <w:ind w:left="540" w:right="540"/>
        <w:jc w:val="both"/>
        <w:rPr>
          <w:rFonts w:ascii="Arial" w:hAnsi="Arial" w:cs="Arial"/>
        </w:rPr>
      </w:pPr>
      <w:r w:rsidRPr="005046E1">
        <w:rPr>
          <w:rFonts w:ascii="Arial" w:eastAsia="Arial" w:hAnsi="Arial" w:cs="Arial"/>
          <w:i/>
          <w:iCs/>
        </w:rPr>
        <w:t>„Naručilac neće vršiti izmjenu tenderske dokumentacije i upućuje da je odgovore na postavljena pitanja dao Pojašnjenjem tenderske dokumentacije broj 04-426/26-2437/1 od 02.07.2026. godine.“</w:t>
      </w:r>
    </w:p>
    <w:p w14:paraId="6D44116A"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Zainteresovano lice se ovim podneskom izjašnjava na navedeni akt radi kompletiranja spisa predmeta, budući da će spis u cjelini — uključujući i ovaj podnesak — biti predmet ocjene Komisije za zaštitu prava u postupcima javnih nabavki.</w:t>
      </w:r>
    </w:p>
    <w:p w14:paraId="675CF69B" w14:textId="77777777" w:rsidR="005046E1" w:rsidRPr="005046E1" w:rsidRDefault="005046E1" w:rsidP="005046E1">
      <w:pPr>
        <w:spacing w:before="320"/>
        <w:rPr>
          <w:rFonts w:ascii="Arial" w:hAnsi="Arial" w:cs="Arial"/>
        </w:rPr>
      </w:pPr>
      <w:r w:rsidRPr="005046E1">
        <w:rPr>
          <w:rFonts w:ascii="Arial" w:eastAsia="Arial" w:hAnsi="Arial" w:cs="Arial"/>
          <w:b/>
          <w:bCs/>
        </w:rPr>
        <w:t>II.  ODLUKA BEZ OBRAZLOŽENJA NIJE ODLUČIVANJE — POVREDA ČLANA 94 STAV 6 ZJN I NAČELA TRANSPARENTNOSTI</w:t>
      </w:r>
    </w:p>
    <w:p w14:paraId="746D961C"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Član 94 stav 6 ZJN obavezuje naručioca da o predlogu za izmjenu tenderske dokumentacije odluči u roku od tri dana od dana prijema. Odlučivanje, po prirodi stvari i u skladu sa načelom transparentnosti iz člana 9 ZJN, podrazumijeva izjašnjenje o razlozima predloga — prihvatanje ili argumentovano odbijanje. Akt kojim se predlog od osam obrazloženih odjeljaka odbija jednom rečenicom, bez ijedne riječi obrazloženja i bez izjašnjenja o ijednom razlogu, obavezu odlučivanja svodi na golu formu: naručilac nije odlučio o predlogu, već ga je ignorisao uz potvrdu prijema.</w:t>
      </w:r>
    </w:p>
    <w:p w14:paraId="2B24AF67"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 xml:space="preserve">Akt uz to sadrži i pogrešnu kvalifikaciju podneska o kojem odlučuje. Predlog za izmjenu nije sadržao „postavljena pitanja“: pitanja su bila predmet zahtjeva za pojašnjenje, okončanog Pojašnjenjem od 02.07.2026. godine. Predlog za izmjenu sadržao je — saglasno članu 94 stav 5 ZJN — obrazloženje razloga za otklanjanje nepravilnosti, uključujući argumentaciju koja u </w:t>
      </w:r>
      <w:r w:rsidRPr="005046E1">
        <w:rPr>
          <w:rFonts w:ascii="Arial" w:eastAsia="Arial" w:hAnsi="Arial" w:cs="Arial"/>
        </w:rPr>
        <w:lastRenderedPageBreak/>
        <w:t>zahtjevu za pojašnjenje nije ni postojala, jer je nastala upravo analizom odgovora naručioca. Naručilac je, dakle, odbio podnesak čiju sadržinu, sudeći po sopstvenoj kvalifikaciji, nije ni razmotrio.</w:t>
      </w:r>
    </w:p>
    <w:p w14:paraId="3969C661" w14:textId="77777777" w:rsidR="005046E1" w:rsidRPr="005046E1" w:rsidRDefault="005046E1" w:rsidP="005046E1">
      <w:pPr>
        <w:spacing w:before="320"/>
        <w:rPr>
          <w:rFonts w:ascii="Arial" w:hAnsi="Arial" w:cs="Arial"/>
        </w:rPr>
      </w:pPr>
      <w:r w:rsidRPr="005046E1">
        <w:rPr>
          <w:rFonts w:ascii="Arial" w:eastAsia="Arial" w:hAnsi="Arial" w:cs="Arial"/>
          <w:b/>
          <w:bCs/>
        </w:rPr>
        <w:t>III.  UPUĆIVANJE NA POJAŠNJENJE JE LOGIČKI CIRKULARNO — POJAŠNJENJE NE MOŽE ODGOVORITI NA ARGUMENTE KOJI SU IZ NJEGA IZVEDENI</w:t>
      </w:r>
    </w:p>
    <w:p w14:paraId="29EC476A"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Odbijanje predloga upućivanjem na Pojašnjenje bilo bi procesno zamislivo samo kada bi Pojašnjenje sadržalo odgovore na razloge predloga. To je, međutim, logički nemoguće: predlog za izmjenu izveden je iz sadržine Pojašnjenja — iz onoga što je naručilac u njemu priznao, i iz onoga na šta je izričito odbio da odgovori. Dokument ne može unaprijed odgovoriti na argumente koji su nastali njegovom analizom. Naručilac se, drugim riječima, brani upravo onim dokumentom čija priznanja i ćutanja čine dokazni materijal predloga: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3060"/>
        <w:gridCol w:w="2600"/>
      </w:tblGrid>
      <w:tr w:rsidR="005046E1" w:rsidRPr="005046E1" w14:paraId="2455056D" w14:textId="77777777" w:rsidTr="00324064">
        <w:tc>
          <w:tcPr>
            <w:tcW w:w="3700" w:type="dxa"/>
            <w:shd w:val="clear" w:color="auto" w:fill="E8E8E8"/>
            <w:tcMar>
              <w:top w:w="60" w:type="dxa"/>
              <w:left w:w="100" w:type="dxa"/>
              <w:bottom w:w="60" w:type="dxa"/>
              <w:right w:w="100" w:type="dxa"/>
            </w:tcMar>
            <w:vAlign w:val="center"/>
          </w:tcPr>
          <w:p w14:paraId="687C6E9E" w14:textId="77777777" w:rsidR="005046E1" w:rsidRPr="005046E1" w:rsidRDefault="005046E1" w:rsidP="00324064">
            <w:pPr>
              <w:rPr>
                <w:rFonts w:ascii="Arial" w:hAnsi="Arial" w:cs="Arial"/>
              </w:rPr>
            </w:pPr>
            <w:r w:rsidRPr="005046E1">
              <w:rPr>
                <w:rFonts w:ascii="Arial" w:eastAsia="Arial" w:hAnsi="Arial" w:cs="Arial"/>
                <w:b/>
                <w:bCs/>
              </w:rPr>
              <w:t>Razlog iz predloga za izmjenu</w:t>
            </w:r>
          </w:p>
        </w:tc>
        <w:tc>
          <w:tcPr>
            <w:tcW w:w="3060" w:type="dxa"/>
            <w:shd w:val="clear" w:color="auto" w:fill="E8E8E8"/>
            <w:tcMar>
              <w:top w:w="60" w:type="dxa"/>
              <w:left w:w="100" w:type="dxa"/>
              <w:bottom w:w="60" w:type="dxa"/>
              <w:right w:w="100" w:type="dxa"/>
            </w:tcMar>
            <w:vAlign w:val="center"/>
          </w:tcPr>
          <w:p w14:paraId="08AC9DAF" w14:textId="77777777" w:rsidR="005046E1" w:rsidRPr="005046E1" w:rsidRDefault="005046E1" w:rsidP="00324064">
            <w:pPr>
              <w:rPr>
                <w:rFonts w:ascii="Arial" w:hAnsi="Arial" w:cs="Arial"/>
              </w:rPr>
            </w:pPr>
            <w:r w:rsidRPr="005046E1">
              <w:rPr>
                <w:rFonts w:ascii="Arial" w:eastAsia="Arial" w:hAnsi="Arial" w:cs="Arial"/>
                <w:b/>
                <w:bCs/>
              </w:rPr>
              <w:t>Da li Pojašnjenje sadrži odgovor na taj razlog?</w:t>
            </w:r>
          </w:p>
        </w:tc>
        <w:tc>
          <w:tcPr>
            <w:tcW w:w="2600" w:type="dxa"/>
            <w:shd w:val="clear" w:color="auto" w:fill="E8E8E8"/>
            <w:tcMar>
              <w:top w:w="60" w:type="dxa"/>
              <w:left w:w="100" w:type="dxa"/>
              <w:bottom w:w="60" w:type="dxa"/>
              <w:right w:w="100" w:type="dxa"/>
            </w:tcMar>
            <w:vAlign w:val="center"/>
          </w:tcPr>
          <w:p w14:paraId="612A06D5" w14:textId="77777777" w:rsidR="005046E1" w:rsidRPr="005046E1" w:rsidRDefault="005046E1" w:rsidP="00324064">
            <w:pPr>
              <w:rPr>
                <w:rFonts w:ascii="Arial" w:hAnsi="Arial" w:cs="Arial"/>
              </w:rPr>
            </w:pPr>
            <w:r w:rsidRPr="005046E1">
              <w:rPr>
                <w:rFonts w:ascii="Arial" w:eastAsia="Arial" w:hAnsi="Arial" w:cs="Arial"/>
                <w:b/>
                <w:bCs/>
              </w:rPr>
              <w:t>Posljedica upućivanja na Pojašnjenje</w:t>
            </w:r>
          </w:p>
        </w:tc>
      </w:tr>
      <w:tr w:rsidR="005046E1" w:rsidRPr="005046E1" w14:paraId="0536D616" w14:textId="77777777" w:rsidTr="00324064">
        <w:tc>
          <w:tcPr>
            <w:tcW w:w="3700" w:type="dxa"/>
            <w:tcMar>
              <w:top w:w="60" w:type="dxa"/>
              <w:left w:w="100" w:type="dxa"/>
              <w:bottom w:w="60" w:type="dxa"/>
              <w:right w:w="100" w:type="dxa"/>
            </w:tcMar>
            <w:vAlign w:val="center"/>
          </w:tcPr>
          <w:p w14:paraId="6CBDFD96" w14:textId="77777777" w:rsidR="005046E1" w:rsidRPr="005046E1" w:rsidRDefault="005046E1" w:rsidP="00324064">
            <w:pPr>
              <w:rPr>
                <w:rFonts w:ascii="Arial" w:hAnsi="Arial" w:cs="Arial"/>
              </w:rPr>
            </w:pPr>
            <w:r w:rsidRPr="005046E1">
              <w:rPr>
                <w:rFonts w:ascii="Arial" w:eastAsia="Arial" w:hAnsi="Arial" w:cs="Arial"/>
              </w:rPr>
              <w:t>Unutrašnja protivrječnost referentnog uslova: odbrana „kompleks, a ne pojedinačna zgrada“ pobija parametar definisan po pojedinačnom objektu (≥ 20.000 m² naspram najvećeg objekta od 13.286,78 m²)</w:t>
            </w:r>
          </w:p>
        </w:tc>
        <w:tc>
          <w:tcPr>
            <w:tcW w:w="3060" w:type="dxa"/>
            <w:tcMar>
              <w:top w:w="60" w:type="dxa"/>
              <w:left w:w="100" w:type="dxa"/>
              <w:bottom w:w="60" w:type="dxa"/>
              <w:right w:w="100" w:type="dxa"/>
            </w:tcMar>
            <w:vAlign w:val="center"/>
          </w:tcPr>
          <w:p w14:paraId="4FB65F46" w14:textId="77777777" w:rsidR="005046E1" w:rsidRPr="005046E1" w:rsidRDefault="005046E1" w:rsidP="00324064">
            <w:pPr>
              <w:rPr>
                <w:rFonts w:ascii="Arial" w:hAnsi="Arial" w:cs="Arial"/>
              </w:rPr>
            </w:pPr>
            <w:r w:rsidRPr="005046E1">
              <w:rPr>
                <w:rFonts w:ascii="Arial" w:eastAsia="Arial" w:hAnsi="Arial" w:cs="Arial"/>
              </w:rPr>
              <w:t>Ne — argument je nastao analizom Odgovora br. 1; Pojašnjenje ga nigdje ne adresira</w:t>
            </w:r>
          </w:p>
        </w:tc>
        <w:tc>
          <w:tcPr>
            <w:tcW w:w="2600" w:type="dxa"/>
            <w:tcMar>
              <w:top w:w="60" w:type="dxa"/>
              <w:left w:w="100" w:type="dxa"/>
              <w:bottom w:w="60" w:type="dxa"/>
              <w:right w:w="100" w:type="dxa"/>
            </w:tcMar>
            <w:vAlign w:val="center"/>
          </w:tcPr>
          <w:p w14:paraId="2271DCF8" w14:textId="77777777" w:rsidR="005046E1" w:rsidRPr="005046E1" w:rsidRDefault="005046E1" w:rsidP="00324064">
            <w:pPr>
              <w:rPr>
                <w:rFonts w:ascii="Arial" w:hAnsi="Arial" w:cs="Arial"/>
              </w:rPr>
            </w:pPr>
            <w:r w:rsidRPr="005046E1">
              <w:rPr>
                <w:rFonts w:ascii="Arial" w:eastAsia="Arial" w:hAnsi="Arial" w:cs="Arial"/>
              </w:rPr>
              <w:t>Protivrječnost ostaje neosporena</w:t>
            </w:r>
          </w:p>
        </w:tc>
      </w:tr>
      <w:tr w:rsidR="005046E1" w:rsidRPr="005046E1" w14:paraId="6B551B83" w14:textId="77777777" w:rsidTr="00324064">
        <w:tc>
          <w:tcPr>
            <w:tcW w:w="3700" w:type="dxa"/>
            <w:tcMar>
              <w:top w:w="60" w:type="dxa"/>
              <w:left w:w="100" w:type="dxa"/>
              <w:bottom w:w="60" w:type="dxa"/>
              <w:right w:w="100" w:type="dxa"/>
            </w:tcMar>
            <w:vAlign w:val="center"/>
          </w:tcPr>
          <w:p w14:paraId="23BFC21E" w14:textId="77777777" w:rsidR="005046E1" w:rsidRPr="005046E1" w:rsidRDefault="005046E1" w:rsidP="00324064">
            <w:pPr>
              <w:rPr>
                <w:rFonts w:ascii="Arial" w:hAnsi="Arial" w:cs="Arial"/>
              </w:rPr>
            </w:pPr>
            <w:r w:rsidRPr="005046E1">
              <w:rPr>
                <w:rFonts w:ascii="Arial" w:eastAsia="Arial" w:hAnsi="Arial" w:cs="Arial"/>
              </w:rPr>
              <w:t>Procesna posljedica priznanja da analiza iz čl. 82 st. 4 ZJN ne postoji i da naručilac ne zna koliko subjekata ispunjava uslove (Odgovor br. 1, tač. b i c)</w:t>
            </w:r>
          </w:p>
        </w:tc>
        <w:tc>
          <w:tcPr>
            <w:tcW w:w="3060" w:type="dxa"/>
            <w:tcMar>
              <w:top w:w="60" w:type="dxa"/>
              <w:left w:w="100" w:type="dxa"/>
              <w:bottom w:w="60" w:type="dxa"/>
              <w:right w:w="100" w:type="dxa"/>
            </w:tcMar>
            <w:vAlign w:val="center"/>
          </w:tcPr>
          <w:p w14:paraId="0E86AE40" w14:textId="77777777" w:rsidR="005046E1" w:rsidRPr="005046E1" w:rsidRDefault="005046E1" w:rsidP="00324064">
            <w:pPr>
              <w:rPr>
                <w:rFonts w:ascii="Arial" w:hAnsi="Arial" w:cs="Arial"/>
              </w:rPr>
            </w:pPr>
            <w:r w:rsidRPr="005046E1">
              <w:rPr>
                <w:rFonts w:ascii="Arial" w:eastAsia="Arial" w:hAnsi="Arial" w:cs="Arial"/>
              </w:rPr>
              <w:t>Ne — Pojašnjenje je izvor priznanja, a ne odgovor na njegovu posljedicu</w:t>
            </w:r>
          </w:p>
        </w:tc>
        <w:tc>
          <w:tcPr>
            <w:tcW w:w="2600" w:type="dxa"/>
            <w:tcMar>
              <w:top w:w="60" w:type="dxa"/>
              <w:left w:w="100" w:type="dxa"/>
              <w:bottom w:w="60" w:type="dxa"/>
              <w:right w:w="100" w:type="dxa"/>
            </w:tcMar>
            <w:vAlign w:val="center"/>
          </w:tcPr>
          <w:p w14:paraId="5FD78D50" w14:textId="77777777" w:rsidR="005046E1" w:rsidRPr="005046E1" w:rsidRDefault="005046E1" w:rsidP="00324064">
            <w:pPr>
              <w:rPr>
                <w:rFonts w:ascii="Arial" w:hAnsi="Arial" w:cs="Arial"/>
              </w:rPr>
            </w:pPr>
            <w:r w:rsidRPr="005046E1">
              <w:rPr>
                <w:rFonts w:ascii="Arial" w:eastAsia="Arial" w:hAnsi="Arial" w:cs="Arial"/>
              </w:rPr>
              <w:t>Priznanje ostaje na snazi, sada dvostruko potvrđeno</w:t>
            </w:r>
          </w:p>
        </w:tc>
      </w:tr>
      <w:tr w:rsidR="005046E1" w:rsidRPr="005046E1" w14:paraId="04350B60" w14:textId="77777777" w:rsidTr="00324064">
        <w:tc>
          <w:tcPr>
            <w:tcW w:w="3700" w:type="dxa"/>
            <w:tcMar>
              <w:top w:w="60" w:type="dxa"/>
              <w:left w:w="100" w:type="dxa"/>
              <w:bottom w:w="60" w:type="dxa"/>
              <w:right w:w="100" w:type="dxa"/>
            </w:tcMar>
            <w:vAlign w:val="center"/>
          </w:tcPr>
          <w:p w14:paraId="3B0D6E8C" w14:textId="77777777" w:rsidR="005046E1" w:rsidRPr="005046E1" w:rsidRDefault="005046E1" w:rsidP="00324064">
            <w:pPr>
              <w:rPr>
                <w:rFonts w:ascii="Arial" w:hAnsi="Arial" w:cs="Arial"/>
              </w:rPr>
            </w:pPr>
            <w:r w:rsidRPr="005046E1">
              <w:rPr>
                <w:rFonts w:ascii="Arial" w:eastAsia="Arial" w:hAnsi="Arial" w:cs="Arial"/>
              </w:rPr>
              <w:t>Neusklađenost zahtjeva da se svih 26 kadrovskih uslova dokaže na dan podnošenja ponude sa čl. 12 ZJN i čl. 58 st. 4 Direktive 2014/24/EU</w:t>
            </w:r>
          </w:p>
        </w:tc>
        <w:tc>
          <w:tcPr>
            <w:tcW w:w="3060" w:type="dxa"/>
            <w:tcMar>
              <w:top w:w="60" w:type="dxa"/>
              <w:left w:w="100" w:type="dxa"/>
              <w:bottom w:w="60" w:type="dxa"/>
              <w:right w:w="100" w:type="dxa"/>
            </w:tcMar>
            <w:vAlign w:val="center"/>
          </w:tcPr>
          <w:p w14:paraId="0D56B160" w14:textId="77777777" w:rsidR="005046E1" w:rsidRPr="005046E1" w:rsidRDefault="005046E1" w:rsidP="00324064">
            <w:pPr>
              <w:rPr>
                <w:rFonts w:ascii="Arial" w:hAnsi="Arial" w:cs="Arial"/>
              </w:rPr>
            </w:pPr>
            <w:r w:rsidRPr="005046E1">
              <w:rPr>
                <w:rFonts w:ascii="Arial" w:eastAsia="Arial" w:hAnsi="Arial" w:cs="Arial"/>
              </w:rPr>
              <w:t>Ne — Pojašnjenje (Odgovor br. 2, tač. b) sadrži samo potvrdu zahtjeva, ne i njegovo pravno opravdanje</w:t>
            </w:r>
          </w:p>
        </w:tc>
        <w:tc>
          <w:tcPr>
            <w:tcW w:w="2600" w:type="dxa"/>
            <w:tcMar>
              <w:top w:w="60" w:type="dxa"/>
              <w:left w:w="100" w:type="dxa"/>
              <w:bottom w:w="60" w:type="dxa"/>
              <w:right w:w="100" w:type="dxa"/>
            </w:tcMar>
            <w:vAlign w:val="center"/>
          </w:tcPr>
          <w:p w14:paraId="51DF7269" w14:textId="77777777" w:rsidR="005046E1" w:rsidRPr="005046E1" w:rsidRDefault="005046E1" w:rsidP="00324064">
            <w:pPr>
              <w:rPr>
                <w:rFonts w:ascii="Arial" w:hAnsi="Arial" w:cs="Arial"/>
              </w:rPr>
            </w:pPr>
            <w:r w:rsidRPr="005046E1">
              <w:rPr>
                <w:rFonts w:ascii="Arial" w:eastAsia="Arial" w:hAnsi="Arial" w:cs="Arial"/>
              </w:rPr>
              <w:t>Nesrazmjernost ostaje neopravdana</w:t>
            </w:r>
          </w:p>
        </w:tc>
      </w:tr>
      <w:tr w:rsidR="005046E1" w:rsidRPr="005046E1" w14:paraId="6F97A685" w14:textId="77777777" w:rsidTr="00324064">
        <w:tc>
          <w:tcPr>
            <w:tcW w:w="3700" w:type="dxa"/>
            <w:tcMar>
              <w:top w:w="60" w:type="dxa"/>
              <w:left w:w="100" w:type="dxa"/>
              <w:bottom w:w="60" w:type="dxa"/>
              <w:right w:w="100" w:type="dxa"/>
            </w:tcMar>
            <w:vAlign w:val="center"/>
          </w:tcPr>
          <w:p w14:paraId="02022491" w14:textId="77777777" w:rsidR="005046E1" w:rsidRPr="005046E1" w:rsidRDefault="005046E1" w:rsidP="00324064">
            <w:pPr>
              <w:rPr>
                <w:rFonts w:ascii="Arial" w:hAnsi="Arial" w:cs="Arial"/>
              </w:rPr>
            </w:pPr>
            <w:r w:rsidRPr="005046E1">
              <w:rPr>
                <w:rFonts w:ascii="Arial" w:eastAsia="Arial" w:hAnsi="Arial" w:cs="Arial"/>
              </w:rPr>
              <w:t>Zona sanitarne zaštite izvorišta Mareza (II ili III) kao preduslov odredivosti predmeta i cijene</w:t>
            </w:r>
          </w:p>
        </w:tc>
        <w:tc>
          <w:tcPr>
            <w:tcW w:w="3060" w:type="dxa"/>
            <w:tcMar>
              <w:top w:w="60" w:type="dxa"/>
              <w:left w:w="100" w:type="dxa"/>
              <w:bottom w:w="60" w:type="dxa"/>
              <w:right w:w="100" w:type="dxa"/>
            </w:tcMar>
            <w:vAlign w:val="center"/>
          </w:tcPr>
          <w:p w14:paraId="2741751E" w14:textId="77777777" w:rsidR="005046E1" w:rsidRPr="005046E1" w:rsidRDefault="005046E1" w:rsidP="00324064">
            <w:pPr>
              <w:rPr>
                <w:rFonts w:ascii="Arial" w:hAnsi="Arial" w:cs="Arial"/>
              </w:rPr>
            </w:pPr>
            <w:r w:rsidRPr="005046E1">
              <w:rPr>
                <w:rFonts w:ascii="Arial" w:eastAsia="Arial" w:hAnsi="Arial" w:cs="Arial"/>
              </w:rPr>
              <w:t>Ne — Pojašnjenje sadrži izričito odbijanje odgovora („nije nadležan“)</w:t>
            </w:r>
          </w:p>
        </w:tc>
        <w:tc>
          <w:tcPr>
            <w:tcW w:w="2600" w:type="dxa"/>
            <w:tcMar>
              <w:top w:w="60" w:type="dxa"/>
              <w:left w:w="100" w:type="dxa"/>
              <w:bottom w:w="60" w:type="dxa"/>
              <w:right w:w="100" w:type="dxa"/>
            </w:tcMar>
            <w:vAlign w:val="center"/>
          </w:tcPr>
          <w:p w14:paraId="1536BA59" w14:textId="77777777" w:rsidR="005046E1" w:rsidRPr="005046E1" w:rsidRDefault="005046E1" w:rsidP="00324064">
            <w:pPr>
              <w:rPr>
                <w:rFonts w:ascii="Arial" w:hAnsi="Arial" w:cs="Arial"/>
              </w:rPr>
            </w:pPr>
            <w:r w:rsidRPr="005046E1">
              <w:rPr>
                <w:rFonts w:ascii="Arial" w:eastAsia="Arial" w:hAnsi="Arial" w:cs="Arial"/>
              </w:rPr>
              <w:t>Upućivanje na odbijanje odgovora nije odgovor</w:t>
            </w:r>
          </w:p>
        </w:tc>
      </w:tr>
      <w:tr w:rsidR="005046E1" w:rsidRPr="005046E1" w14:paraId="2649835A" w14:textId="77777777" w:rsidTr="00324064">
        <w:tc>
          <w:tcPr>
            <w:tcW w:w="3700" w:type="dxa"/>
            <w:tcMar>
              <w:top w:w="60" w:type="dxa"/>
              <w:left w:w="100" w:type="dxa"/>
              <w:bottom w:w="60" w:type="dxa"/>
              <w:right w:w="100" w:type="dxa"/>
            </w:tcMar>
            <w:vAlign w:val="center"/>
          </w:tcPr>
          <w:p w14:paraId="27DC3361" w14:textId="77777777" w:rsidR="005046E1" w:rsidRPr="005046E1" w:rsidRDefault="005046E1" w:rsidP="00324064">
            <w:pPr>
              <w:rPr>
                <w:rFonts w:ascii="Arial" w:hAnsi="Arial" w:cs="Arial"/>
              </w:rPr>
            </w:pPr>
            <w:r w:rsidRPr="005046E1">
              <w:rPr>
                <w:rFonts w:ascii="Arial" w:eastAsia="Arial" w:hAnsi="Arial" w:cs="Arial"/>
              </w:rPr>
              <w:t>Posljedice obavezne, a nesprovedene procjene uticaja na životnu sredinu po obim, cijenu i rokove ugovora</w:t>
            </w:r>
          </w:p>
        </w:tc>
        <w:tc>
          <w:tcPr>
            <w:tcW w:w="3060" w:type="dxa"/>
            <w:tcMar>
              <w:top w:w="60" w:type="dxa"/>
              <w:left w:w="100" w:type="dxa"/>
              <w:bottom w:w="60" w:type="dxa"/>
              <w:right w:w="100" w:type="dxa"/>
            </w:tcMar>
            <w:vAlign w:val="center"/>
          </w:tcPr>
          <w:p w14:paraId="45ABDBD7" w14:textId="77777777" w:rsidR="005046E1" w:rsidRPr="005046E1" w:rsidRDefault="005046E1" w:rsidP="00324064">
            <w:pPr>
              <w:rPr>
                <w:rFonts w:ascii="Arial" w:hAnsi="Arial" w:cs="Arial"/>
              </w:rPr>
            </w:pPr>
            <w:r w:rsidRPr="005046E1">
              <w:rPr>
                <w:rFonts w:ascii="Arial" w:eastAsia="Arial" w:hAnsi="Arial" w:cs="Arial"/>
              </w:rPr>
              <w:t>Ne — na to pitanje Pojašnjenje ne sadrži nikakav odgovor</w:t>
            </w:r>
          </w:p>
        </w:tc>
        <w:tc>
          <w:tcPr>
            <w:tcW w:w="2600" w:type="dxa"/>
            <w:tcMar>
              <w:top w:w="60" w:type="dxa"/>
              <w:left w:w="100" w:type="dxa"/>
              <w:bottom w:w="60" w:type="dxa"/>
              <w:right w:w="100" w:type="dxa"/>
            </w:tcMar>
            <w:vAlign w:val="center"/>
          </w:tcPr>
          <w:p w14:paraId="6D1DAB82" w14:textId="77777777" w:rsidR="005046E1" w:rsidRPr="005046E1" w:rsidRDefault="005046E1" w:rsidP="00324064">
            <w:pPr>
              <w:rPr>
                <w:rFonts w:ascii="Arial" w:hAnsi="Arial" w:cs="Arial"/>
              </w:rPr>
            </w:pPr>
            <w:r w:rsidRPr="005046E1">
              <w:rPr>
                <w:rFonts w:ascii="Arial" w:eastAsia="Arial" w:hAnsi="Arial" w:cs="Arial"/>
              </w:rPr>
              <w:t>Rizik ostaje neadresiran i nekvantifikovan</w:t>
            </w:r>
          </w:p>
        </w:tc>
      </w:tr>
      <w:tr w:rsidR="005046E1" w:rsidRPr="005046E1" w14:paraId="5E1C96DF" w14:textId="77777777" w:rsidTr="00324064">
        <w:tc>
          <w:tcPr>
            <w:tcW w:w="3700" w:type="dxa"/>
            <w:tcMar>
              <w:top w:w="60" w:type="dxa"/>
              <w:left w:w="100" w:type="dxa"/>
              <w:bottom w:w="60" w:type="dxa"/>
              <w:right w:w="100" w:type="dxa"/>
            </w:tcMar>
            <w:vAlign w:val="center"/>
          </w:tcPr>
          <w:p w14:paraId="6D40E78A" w14:textId="77777777" w:rsidR="005046E1" w:rsidRPr="005046E1" w:rsidRDefault="005046E1" w:rsidP="00324064">
            <w:pPr>
              <w:rPr>
                <w:rFonts w:ascii="Arial" w:hAnsi="Arial" w:cs="Arial"/>
              </w:rPr>
            </w:pPr>
            <w:r w:rsidRPr="005046E1">
              <w:rPr>
                <w:rFonts w:ascii="Arial" w:eastAsia="Arial" w:hAnsi="Arial" w:cs="Arial"/>
              </w:rPr>
              <w:lastRenderedPageBreak/>
              <w:t>Metodologija utvrđivanja procijenjene vrijednosti od 40.100.000,00 € i obuhvat rizika</w:t>
            </w:r>
          </w:p>
        </w:tc>
        <w:tc>
          <w:tcPr>
            <w:tcW w:w="3060" w:type="dxa"/>
            <w:tcMar>
              <w:top w:w="60" w:type="dxa"/>
              <w:left w:w="100" w:type="dxa"/>
              <w:bottom w:w="60" w:type="dxa"/>
              <w:right w:w="100" w:type="dxa"/>
            </w:tcMar>
            <w:vAlign w:val="center"/>
          </w:tcPr>
          <w:p w14:paraId="6DFF7CC9" w14:textId="77777777" w:rsidR="005046E1" w:rsidRPr="005046E1" w:rsidRDefault="005046E1" w:rsidP="00324064">
            <w:pPr>
              <w:rPr>
                <w:rFonts w:ascii="Arial" w:hAnsi="Arial" w:cs="Arial"/>
              </w:rPr>
            </w:pPr>
            <w:r w:rsidRPr="005046E1">
              <w:rPr>
                <w:rFonts w:ascii="Arial" w:eastAsia="Arial" w:hAnsi="Arial" w:cs="Arial"/>
              </w:rPr>
              <w:t>Ne — Pojašnjenje (Odgovor br. 7) sadrži odbijanje dostavljanja uz tvrdnju da obaveza „nije propisana“</w:t>
            </w:r>
          </w:p>
        </w:tc>
        <w:tc>
          <w:tcPr>
            <w:tcW w:w="2600" w:type="dxa"/>
            <w:tcMar>
              <w:top w:w="60" w:type="dxa"/>
              <w:left w:w="100" w:type="dxa"/>
              <w:bottom w:w="60" w:type="dxa"/>
              <w:right w:w="100" w:type="dxa"/>
            </w:tcMar>
            <w:vAlign w:val="center"/>
          </w:tcPr>
          <w:p w14:paraId="7D631B55" w14:textId="77777777" w:rsidR="005046E1" w:rsidRPr="005046E1" w:rsidRDefault="005046E1" w:rsidP="00324064">
            <w:pPr>
              <w:rPr>
                <w:rFonts w:ascii="Arial" w:hAnsi="Arial" w:cs="Arial"/>
              </w:rPr>
            </w:pPr>
            <w:r w:rsidRPr="005046E1">
              <w:rPr>
                <w:rFonts w:ascii="Arial" w:eastAsia="Arial" w:hAnsi="Arial" w:cs="Arial"/>
              </w:rPr>
              <w:t>Odbijanje ostaje na snazi, suprotno čl. 82 st. 4 ZJN</w:t>
            </w:r>
          </w:p>
        </w:tc>
      </w:tr>
    </w:tbl>
    <w:p w14:paraId="09D4C0C2" w14:textId="77777777" w:rsidR="005046E1" w:rsidRPr="005046E1" w:rsidRDefault="005046E1" w:rsidP="005046E1">
      <w:pPr>
        <w:spacing w:after="120" w:line="276" w:lineRule="auto"/>
        <w:jc w:val="both"/>
        <w:rPr>
          <w:rFonts w:ascii="Arial" w:hAnsi="Arial" w:cs="Arial"/>
        </w:rPr>
      </w:pPr>
    </w:p>
    <w:p w14:paraId="41F37A7D"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Nijedan od šest ključnih razloga predloga, dakle, nema odgovor u dokumentu na koji naručilac upućuje. Upućivanje na Pojašnjenje stoga nije obrazloženje odbijanja, već njegova zamjena — i to zamjena dokumentom koji sadržinski potvrđuje osnovanost predloga.</w:t>
      </w:r>
    </w:p>
    <w:p w14:paraId="34AEE71A" w14:textId="77777777" w:rsidR="005046E1" w:rsidRPr="005046E1" w:rsidRDefault="005046E1" w:rsidP="005046E1">
      <w:pPr>
        <w:spacing w:before="320"/>
        <w:rPr>
          <w:rFonts w:ascii="Arial" w:hAnsi="Arial" w:cs="Arial"/>
        </w:rPr>
      </w:pPr>
      <w:r w:rsidRPr="005046E1">
        <w:rPr>
          <w:rFonts w:ascii="Arial" w:eastAsia="Arial" w:hAnsi="Arial" w:cs="Arial"/>
          <w:b/>
          <w:bCs/>
        </w:rPr>
        <w:t>IV.  STANJE SPISA NAKON AKTA OD 06.07.2026. GODINE — ČINJENICE DVOSTRUKO NEOSPORENE</w:t>
      </w:r>
    </w:p>
    <w:p w14:paraId="34E4942E"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Naručilac je u ovom postupku imao dvije procesne prilike da ospori činjenične navode zainteresovanog lica: Pojašnjenjem od 02.07.2026. godine i aktom od 06.07.2026. godine. Nijednom prilikom nije osporio nijedan navod. U spisu predmeta stoga stoji, kao dvostruko neosporeno, sljedeće:</w:t>
      </w:r>
    </w:p>
    <w:p w14:paraId="40158A58"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nijedan pojedinačni objekat u okviru cjelokupnog Bloka A1 ne dostiže BRGP od 20.000 m² — najveći objekat ima BRGP 13.286,78 m², a objekti prve faze cca 12.150,85 m² i 10.537,59 m² — dok referentni uslov zahtijeva tri potvrde, svaku za pojedinačni objekat BRGP ≥ 20.000 m², sa garažom, minimum dvije podrumske etaže i svih osam sistema u jedinstvenoj cjelini, uz kumulativnu vrijednost od 22.000.000,00 €;</w:t>
      </w:r>
    </w:p>
    <w:p w14:paraId="15691F73"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naručilac ne raspolaže metodologijom, obračunom niti izvorom podataka za utvrđene parametre, niti podatkom o broju privrednih subjekata koji ih istovremeno ispunjavaju;</w:t>
      </w:r>
    </w:p>
    <w:p w14:paraId="7CE82B35"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postupak procjene uticaja na životnu sredinu je za predmetni zahvat obavezan (akt Agencije za zaštitu životne sredine br. 03-D-1445/2 od 14.05.2026. godine), a nije sproveden;</w:t>
      </w:r>
    </w:p>
    <w:p w14:paraId="71CE8570"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detaljno hidrogeološko istraživanje izvorišta Mareza je u toku; Tehnički uslovi DOO „Vodovod i kanalizacija“ mijenjani su na dan objavljivanja tenderske dokumentacije, na osnovu tek Preliminarne hidrogeološke studije; zona sanitarne zaštite izvorišta nije saopštena;</w:t>
      </w:r>
    </w:p>
    <w:p w14:paraId="1AE21D30"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datum uvođenja izvođača u posao nije odrediv, a od njega teku rok izvođenja od 32 mjeseca i obaveze po osnovu garancija;</w:t>
      </w:r>
    </w:p>
    <w:p w14:paraId="6F868BE2" w14:textId="77777777" w:rsidR="005046E1" w:rsidRPr="005046E1" w:rsidRDefault="005046E1" w:rsidP="005046E1">
      <w:pPr>
        <w:pStyle w:val="ListParagraph"/>
        <w:numPr>
          <w:ilvl w:val="0"/>
          <w:numId w:val="7"/>
        </w:numPr>
        <w:spacing w:after="100"/>
        <w:contextualSpacing w:val="0"/>
        <w:jc w:val="both"/>
        <w:rPr>
          <w:rFonts w:ascii="Arial" w:hAnsi="Arial" w:cs="Arial"/>
        </w:rPr>
      </w:pPr>
      <w:r w:rsidRPr="005046E1">
        <w:rPr>
          <w:rFonts w:ascii="Arial" w:eastAsia="Arial" w:hAnsi="Arial" w:cs="Arial"/>
        </w:rPr>
        <w:t>Bulevar Velje brdo — primarna saobraćajnica i tačka priključenja prve faze prema Urbanističko-tehničkim uslovima — predmet je posebne, nezavršene javne nabavke.</w:t>
      </w:r>
    </w:p>
    <w:p w14:paraId="17B147F4"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Zainteresovano lice konstatuje da će se u eventualnom žalbenom postupku na ovo činjenično stanje pozivati kao na nesporno, u smislu pravila o teretu dokazivanja: činjenice koje naručilac, uredno pozvan, dva puta nije osporio, ne mogu se prvi put osporavati pred Komisijom bez objašnjenja zbog čega to nije učinjeno u postupku pred naručiocem.</w:t>
      </w:r>
    </w:p>
    <w:p w14:paraId="07221005" w14:textId="77777777" w:rsidR="005046E1" w:rsidRPr="005046E1" w:rsidRDefault="005046E1" w:rsidP="005046E1">
      <w:pPr>
        <w:spacing w:before="320"/>
        <w:rPr>
          <w:rFonts w:ascii="Arial" w:hAnsi="Arial" w:cs="Arial"/>
        </w:rPr>
      </w:pPr>
      <w:r w:rsidRPr="005046E1">
        <w:rPr>
          <w:rFonts w:ascii="Arial" w:eastAsia="Arial" w:hAnsi="Arial" w:cs="Arial"/>
          <w:b/>
          <w:bCs/>
        </w:rPr>
        <w:t>V.  ZAKLJUČAK I NAJAVA KORIŠĆENJA PRAVNOG SREDSTVA</w:t>
      </w:r>
    </w:p>
    <w:p w14:paraId="40CD4205"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lastRenderedPageBreak/>
        <w:t>Aktom od 06.07.2026. godine naručilac nije otklonio nijednu od dokumentovanih nepravilnosti, niti je pokušao da ospori razloge predloga. Time su ispunjeni uslovi iz člana 185 stav 3 tačka 1 ZJN za izjavljivanje žalbe Komisiji za zaštitu prava u postupcima javnih nabavki, koju će zainteresovano lice izjaviti u zakonom propisanom roku. Žalba će, pored razloga iz predloga za izmjenu, obuhvatiti i način na koji je naručilac o predlogu odlučio — odlukom bez obrazloženja, uz pogrešnu kvalifikaciju podneska i cirkularno upućivanje na sopstveni akt.</w:t>
      </w:r>
    </w:p>
    <w:p w14:paraId="1D6A881E" w14:textId="77777777" w:rsidR="005046E1" w:rsidRPr="005046E1" w:rsidRDefault="005046E1" w:rsidP="005046E1">
      <w:pPr>
        <w:spacing w:line="276" w:lineRule="auto"/>
        <w:jc w:val="both"/>
        <w:rPr>
          <w:rFonts w:ascii="Arial" w:hAnsi="Arial" w:cs="Arial"/>
        </w:rPr>
      </w:pPr>
      <w:r w:rsidRPr="005046E1">
        <w:rPr>
          <w:rFonts w:ascii="Arial" w:eastAsia="Arial" w:hAnsi="Arial" w:cs="Arial"/>
        </w:rPr>
        <w:t>Zainteresovano lice i ovom prilikom ukazuje da naručilac, do odluke Komisije, ima mogućnost da nepravilnosti otkloni sam — izmjenom tenderske dokumentacije u skladu sa članom 94 ZJN. Riječ je o najvećoj pojedinačnoj nabavci stambene izgradnje u Crnoj Gori, finansiranoj javnim sredstvima: uslovi sposobnosti neusklađeni sa predmetom nabavke, nepostojanje analize tržišta, nesprovedena obavezna procjena uticaja i neutvrđen režim zaštite izvorišta vode za piće Glavnog grada nijesu pitanja procesne taktike, već zakonitosti i javnog interesa.</w:t>
      </w:r>
    </w:p>
    <w:p w14:paraId="70CB7EFD" w14:textId="77777777" w:rsidR="00C2063F" w:rsidRPr="005046E1" w:rsidRDefault="00C2063F" w:rsidP="00C2063F">
      <w:pPr>
        <w:jc w:val="both"/>
        <w:rPr>
          <w:rFonts w:ascii="Arial" w:hAnsi="Arial" w:cs="Arial"/>
        </w:rPr>
      </w:pPr>
    </w:p>
    <w:p w14:paraId="71939D73" w14:textId="1DEB2D0B" w:rsidR="005046E1" w:rsidRPr="005046E1" w:rsidRDefault="00C2063F" w:rsidP="005046E1">
      <w:pPr>
        <w:jc w:val="both"/>
        <w:rPr>
          <w:rFonts w:ascii="Arial" w:hAnsi="Arial" w:cs="Arial"/>
        </w:rPr>
      </w:pPr>
      <w:r w:rsidRPr="005046E1">
        <w:rPr>
          <w:rFonts w:ascii="Arial" w:hAnsi="Arial" w:cs="Arial"/>
          <w:b/>
        </w:rPr>
        <w:t>Odgovor:</w:t>
      </w:r>
      <w:r w:rsidR="00882884" w:rsidRPr="005046E1">
        <w:rPr>
          <w:rFonts w:ascii="Arial" w:hAnsi="Arial" w:cs="Arial"/>
        </w:rPr>
        <w:t xml:space="preserve"> </w:t>
      </w:r>
      <w:r w:rsidR="005046E1" w:rsidRPr="005046E1">
        <w:rPr>
          <w:rFonts w:ascii="Arial" w:hAnsi="Arial" w:cs="Arial"/>
        </w:rPr>
        <w:t>Naručilac u cjelosti ostaje pri datim pojašnjenjima tenderske dokumentacije i pri stavu da nema osnova za izmjenu tenderske dokumentacije na način kako to predlaže zainteresovano lice.</w:t>
      </w:r>
    </w:p>
    <w:p w14:paraId="470C4701" w14:textId="77777777" w:rsidR="005046E1" w:rsidRPr="005046E1" w:rsidRDefault="005046E1" w:rsidP="005046E1">
      <w:pPr>
        <w:jc w:val="both"/>
        <w:rPr>
          <w:rFonts w:ascii="Arial" w:hAnsi="Arial" w:cs="Arial"/>
        </w:rPr>
      </w:pPr>
      <w:r w:rsidRPr="005046E1">
        <w:rPr>
          <w:rFonts w:ascii="Arial" w:hAnsi="Arial" w:cs="Arial"/>
        </w:rPr>
        <w:t>Prije svega, naručilac ukazuje da je na sva pitanja koja su se odnosila na sadržinu tenderske dokumentacije već dao odgovore kroz Pojašnjenje tenderske dokumentacije, objavljeno u skladu sa Zakonom o javnim nabavkama. Takođe, o predlogu za izmjenu tenderske dokumentacije odlučeno je u zakonom propisanom roku, pri čemu je naručilac jasno naveo da neće vršiti izmjenu tenderske dokumentacije, jer su razlozi koji se navode u predlogu već razmotreni kroz prethodno data pojašnjenja.</w:t>
      </w:r>
    </w:p>
    <w:p w14:paraId="3D0CBF84" w14:textId="77777777" w:rsidR="005046E1" w:rsidRPr="005046E1" w:rsidRDefault="005046E1" w:rsidP="005046E1">
      <w:pPr>
        <w:jc w:val="both"/>
        <w:rPr>
          <w:rFonts w:ascii="Arial" w:hAnsi="Arial" w:cs="Arial"/>
        </w:rPr>
      </w:pPr>
      <w:r w:rsidRPr="005046E1">
        <w:rPr>
          <w:rFonts w:ascii="Arial" w:hAnsi="Arial" w:cs="Arial"/>
        </w:rPr>
        <w:t>Činjenica da zainteresovano lice nije saglasno sa datim odgovorima ne znači da naručilac nije odlučio o predlogu za izmjenu, niti da je povrijeđeno načelo transparentnosti. Naručilac nije dužan da kroz više uzastopnih podnesaka vodi polemiku sa zainteresovanim licem o istim pitanjima, već je dužan da učini dostupnim pojašnjenja i izmjene tenderske dokumentacije u skladu sa zakonom, što je u konkretnom postupku i učinjeno.</w:t>
      </w:r>
    </w:p>
    <w:p w14:paraId="2D1BEFBD" w14:textId="77777777" w:rsidR="005046E1" w:rsidRPr="005046E1" w:rsidRDefault="005046E1" w:rsidP="005046E1">
      <w:pPr>
        <w:jc w:val="both"/>
        <w:rPr>
          <w:rFonts w:ascii="Arial" w:hAnsi="Arial" w:cs="Arial"/>
        </w:rPr>
      </w:pPr>
      <w:r w:rsidRPr="005046E1">
        <w:rPr>
          <w:rFonts w:ascii="Arial" w:hAnsi="Arial" w:cs="Arial"/>
        </w:rPr>
        <w:t>Posebno se ukazuje da zainteresovano lice pogrešno izvodi zaključak da je naručilac priznao da nijedan objekat u okviru Bloka A1 ne dostiže relevantnu bruto razvijenu građevinsku površinu. Površine na koje se zainteresovano lice poziva predstavljaju površine nadzemnih etaža, odnosno podatke koji ne obuhvataju ukupnu bruto razvijenu građevinsku površinu sa podzemnim etažama, garažnim prostorima i pratećim tehničkim sadržajima. Predmet nabavke, kao i referentni uslovi, ne mogu se posmatrati isključivo kroz nadzemni stambeni volumen, već kroz ukupnu stambeno-garažnu funkcionalnu cjelinu, koja uključuje i podzemne etaže, garažne kapacitete, saobraćajne i komunalne priključke, instalacione, protivpožarne i druge sisteme koji su od značaja za bezbjedno i funkcionalno izvršenje ugovora.</w:t>
      </w:r>
    </w:p>
    <w:p w14:paraId="23C8F5C3" w14:textId="77777777" w:rsidR="005046E1" w:rsidRPr="005046E1" w:rsidRDefault="005046E1" w:rsidP="005046E1">
      <w:pPr>
        <w:jc w:val="both"/>
        <w:rPr>
          <w:rFonts w:ascii="Arial" w:hAnsi="Arial" w:cs="Arial"/>
        </w:rPr>
      </w:pPr>
      <w:r w:rsidRPr="005046E1">
        <w:rPr>
          <w:rFonts w:ascii="Arial" w:hAnsi="Arial" w:cs="Arial"/>
        </w:rPr>
        <w:t>Iz tog razloga, navodi zainteresovanog lica kojima se referentni uslov poredi samo sa površinama nadzemnih etaža nijesu metodološki pravilni niti mogu biti osnov za zaključak o nesrazmjernosti uslova. Referentni uslov nije propisan radi poređenja sa pojedinačnim nadzemnim gabaritom objekta, već radi provjere iskustva u realizaciji složenih stambeno-garažnih cjelina uporedive tehničke, funkcionalne i organizacione složenosti.</w:t>
      </w:r>
    </w:p>
    <w:p w14:paraId="6F88F3FB" w14:textId="77777777" w:rsidR="005046E1" w:rsidRPr="005046E1" w:rsidRDefault="005046E1" w:rsidP="005046E1">
      <w:pPr>
        <w:jc w:val="both"/>
        <w:rPr>
          <w:rFonts w:ascii="Arial" w:hAnsi="Arial" w:cs="Arial"/>
        </w:rPr>
      </w:pPr>
      <w:r w:rsidRPr="005046E1">
        <w:rPr>
          <w:rFonts w:ascii="Arial" w:hAnsi="Arial" w:cs="Arial"/>
        </w:rPr>
        <w:lastRenderedPageBreak/>
        <w:t>Naručilac naročito ukazuje da je predmet javne nabavke složen ugovor po modelu „projektuj i izgradi“, koji obuhvata izradu Glavnog projekta za cjelokupan Blok A1 i izvođenje prve faze stambenog kompleksa sa pratećom infrastrukturom. Takav predmet zahtijeva sposobnost privrednog subjekta da koordinira projektovanje, reviziju, izvođenje radova, usklađivanje projektnih rješenja sa tehničkim uslovima nadležnih organa, kao i realizaciju složenih podzemnih garažnih, mašinskih, elektro, protivpožarnih, saobraćajnih i komunalnih sistema. Shodno tome, uslovi stručne i tehničke sposobnosti nijesu određeni proizvoljno, već su neposredno povezani sa predmetom javne nabavke, njegovom vrijednošću, obimom i tehničkom složenošću.</w:t>
      </w:r>
    </w:p>
    <w:p w14:paraId="7404E296" w14:textId="77777777" w:rsidR="005046E1" w:rsidRPr="005046E1" w:rsidRDefault="005046E1" w:rsidP="005046E1">
      <w:pPr>
        <w:jc w:val="both"/>
        <w:rPr>
          <w:rFonts w:ascii="Arial" w:hAnsi="Arial" w:cs="Arial"/>
        </w:rPr>
      </w:pPr>
      <w:r w:rsidRPr="005046E1">
        <w:rPr>
          <w:rFonts w:ascii="Arial" w:hAnsi="Arial" w:cs="Arial"/>
        </w:rPr>
        <w:t>Nijesu osnovani ni navodi da referentni i kadrovski uslovi neopravdano ograničavaju konkurenciju. Tenderskom dokumentacijom nije isključena mogućnost podnošenja zajedničke ponude, niti mogućnost oslanjanja na kapacitete drugih privrednih subjekata, u skladu sa Zakonom o javnim nabavkama. Naručilac nije propisao dodatna ograničenja koja bi onemogućila privrednim subjektima da kroz zakonom dozvoljene modele učešća dokažu ispunjenost uslova stručne i tehničke sposobnosti.</w:t>
      </w:r>
    </w:p>
    <w:p w14:paraId="7A757ED0" w14:textId="77777777" w:rsidR="005046E1" w:rsidRPr="005046E1" w:rsidRDefault="005046E1" w:rsidP="005046E1">
      <w:pPr>
        <w:jc w:val="both"/>
        <w:rPr>
          <w:rFonts w:ascii="Arial" w:hAnsi="Arial" w:cs="Arial"/>
        </w:rPr>
      </w:pPr>
      <w:r w:rsidRPr="005046E1">
        <w:rPr>
          <w:rFonts w:ascii="Arial" w:hAnsi="Arial" w:cs="Arial"/>
        </w:rPr>
        <w:t>U pogledu navoda koji se odnose na angažovanje stručnih lica, naručilac ostaje pri stavu da je, imajući u vidu prirodu ugovora „projektuj i izgradi“, obim posla, vrijednost investicije i odgovornost izabranog ponuđača za cjelokupno izvršenje ugovora, opravdano zahtijevati da se sposobnost ponuđača dokazuje već u fazi podnošenja ponude. Ispunjenost uslova stručne i tehničke sposobnosti predstavlja uslov za učešće u postupku javne nabavke, a ne dokaz o tome da će svako pojedinačno stručno lice biti angažovano u istom intenzitetu tokom cijelog perioda realizacije ugovora.</w:t>
      </w:r>
    </w:p>
    <w:p w14:paraId="088EE82D" w14:textId="77777777" w:rsidR="005046E1" w:rsidRPr="005046E1" w:rsidRDefault="005046E1" w:rsidP="005046E1">
      <w:pPr>
        <w:jc w:val="both"/>
        <w:rPr>
          <w:rFonts w:ascii="Arial" w:hAnsi="Arial" w:cs="Arial"/>
        </w:rPr>
      </w:pPr>
      <w:r w:rsidRPr="005046E1">
        <w:rPr>
          <w:rFonts w:ascii="Arial" w:hAnsi="Arial" w:cs="Arial"/>
        </w:rPr>
        <w:t>Navodi zainteresovanog lica u vezi sa vodosnabdijevanjem, zaštitom izvorišta Mareza, procjenom uticaja na životnu sredinu, geotehničkim i hidrogeološkim istraživanjima, kao i priključenjem na buduću infrastrukturu, takođe nijesu osnov za izmjenu tenderske dokumentacije. Svi tehnički uslovi nadležnih organa, uključujući njihove izmjene i dopune, predstavljaju sastavni dio tenderske dokumentacije i obavezujući okvir za izradu Glavnog projekta. Izabrani ponuđač je dužan da projektna rješenja izradi u skladu sa važećim propisima, tehničkim uslovima i aktima nadležnih organa, a konačna tehnička rješenja biće predmet razrade kroz Glavni projekat i kroz zakonom propisane postupke.</w:t>
      </w:r>
    </w:p>
    <w:p w14:paraId="6D6DCE80" w14:textId="427311BB" w:rsidR="005046E1" w:rsidRPr="005046E1" w:rsidRDefault="005046E1" w:rsidP="005046E1">
      <w:pPr>
        <w:jc w:val="both"/>
        <w:rPr>
          <w:rFonts w:ascii="Arial" w:hAnsi="Arial" w:cs="Arial"/>
        </w:rPr>
      </w:pPr>
      <w:r w:rsidRPr="005046E1">
        <w:rPr>
          <w:rFonts w:ascii="Arial" w:hAnsi="Arial" w:cs="Arial"/>
        </w:rPr>
        <w:t>Činjenica da se pojedini upravni postupci i tehnička istraživanja sprovode u fazama ne znači da je predmet javne nabavke neodrediv, niti da ponuđači nijesu u mogućnosti da pripreme ponude. Naprotiv, upravo model „projektuj i izgradi“</w:t>
      </w:r>
      <w:r>
        <w:rPr>
          <w:rFonts w:ascii="Arial" w:hAnsi="Arial" w:cs="Arial"/>
        </w:rPr>
        <w:t xml:space="preserve"> </w:t>
      </w:r>
      <w:r w:rsidRPr="005046E1">
        <w:rPr>
          <w:rFonts w:ascii="Arial" w:hAnsi="Arial" w:cs="Arial"/>
        </w:rPr>
        <w:t>omogućava da se, u okviru jedinstvene odgovornosti izabranog ponuđača, projektna rješenja razvijaju u skladu sa tehničkim uslovima, pravilima struke i uslovima nadležnih organa. Eventualne mjere, ograničenja ili uslovi koje utvrde nadležni organi predstavljaju obavezujući okvir za izradu projektne dokumentacije i izvršenje ugovora, a ne nedostatak tenderske dokumentacije.</w:t>
      </w:r>
    </w:p>
    <w:p w14:paraId="289801A2" w14:textId="77777777" w:rsidR="005046E1" w:rsidRPr="005046E1" w:rsidRDefault="005046E1" w:rsidP="005046E1">
      <w:pPr>
        <w:jc w:val="both"/>
        <w:rPr>
          <w:rFonts w:ascii="Arial" w:hAnsi="Arial" w:cs="Arial"/>
        </w:rPr>
      </w:pPr>
      <w:r w:rsidRPr="005046E1">
        <w:rPr>
          <w:rFonts w:ascii="Arial" w:hAnsi="Arial" w:cs="Arial"/>
        </w:rPr>
        <w:t>U pogledu procijenjene vrijednosti javne nabavke, naručilac ostaje pri ranije datom pojašnjenju da je ista utvrđena u skladu sa Zakonom o javnim nabavkama, na osnovu stručnih podloga izrađenih u fazi pripreme investicije, uključujući Idejno rješenje, Programski zadatak, urbanističko-tehničke uslove, tehničke specifikacije i procjenu obima radova i usluga koji čine predmet javne nabavke. Procijenjena vrijednost ne predstavlja konačnu ugovorenu cijenu, već osnov za planiranje i sprovođenje postupka javne nabavke, dok će se konačna vrijednost ugovora utvrditi nakon sprovedenog postupka i ocjene ponuda.</w:t>
      </w:r>
    </w:p>
    <w:p w14:paraId="6A836483" w14:textId="77777777" w:rsidR="005046E1" w:rsidRPr="005046E1" w:rsidRDefault="005046E1" w:rsidP="005046E1">
      <w:pPr>
        <w:jc w:val="both"/>
        <w:rPr>
          <w:rFonts w:ascii="Arial" w:hAnsi="Arial" w:cs="Arial"/>
        </w:rPr>
      </w:pPr>
      <w:r w:rsidRPr="005046E1">
        <w:rPr>
          <w:rFonts w:ascii="Arial" w:hAnsi="Arial" w:cs="Arial"/>
        </w:rPr>
        <w:lastRenderedPageBreak/>
        <w:t>Nijesu osnovani ni navodi o informacionoj prednosti. Naručilac je svim zainteresovanim privrednim subjektima obezbijedio jednak pristup informacijama od značaja za pripremu ponude. Idejno rješenje, projektni zadatak, tehnički uslovi, tehničke specifikacije i druga dokumentacija koja predstavlja osnov za pripremu ponude objavljeni su kao sastavni dio tenderske dokumentacije i dostupni su svim učesnicima pod jednakim uslovima. Sama činjenica da je idejno rješenje ranije izrađeno i objavljeno ne predstavlja osnov za postojanje informacione prednosti, niti za ograničenje prava učešća bilo kog privrednog subjekta, osim u slučajevima i pod uslovima propisanim zakonom.</w:t>
      </w:r>
    </w:p>
    <w:p w14:paraId="4DB3EC6D" w14:textId="77777777" w:rsidR="005046E1" w:rsidRPr="005046E1" w:rsidRDefault="005046E1" w:rsidP="005046E1">
      <w:pPr>
        <w:jc w:val="both"/>
        <w:rPr>
          <w:rFonts w:ascii="Arial" w:hAnsi="Arial" w:cs="Arial"/>
        </w:rPr>
      </w:pPr>
      <w:r w:rsidRPr="005046E1">
        <w:rPr>
          <w:rFonts w:ascii="Arial" w:hAnsi="Arial" w:cs="Arial"/>
        </w:rPr>
        <w:t>Naručilac posebno ističe da zainteresovano lice kroz podnesak pokušava da činjenicu neslaganja sa odgovorima naručioca predstavi kao procesnu nepravilnost. Međutim, naručilac je postupao u okviru svojih zakonskih ovlašćenja, na zahtjeve za pojašnjenje odgovorio je u skladu sa zakonom, predlog za izmjenu tenderske dokumentacije je razmotrio i o njemu odlučio, a tenderska dokumentacija je svim zainteresovanim licima dostupna pod jednakim uslovima.</w:t>
      </w:r>
    </w:p>
    <w:p w14:paraId="0A81EE96" w14:textId="77777777" w:rsidR="005046E1" w:rsidRPr="005046E1" w:rsidRDefault="005046E1" w:rsidP="005046E1">
      <w:pPr>
        <w:jc w:val="both"/>
        <w:rPr>
          <w:rFonts w:ascii="Arial" w:hAnsi="Arial" w:cs="Arial"/>
        </w:rPr>
      </w:pPr>
      <w:r w:rsidRPr="005046E1">
        <w:rPr>
          <w:rFonts w:ascii="Arial" w:hAnsi="Arial" w:cs="Arial"/>
        </w:rPr>
        <w:t>Slijedom navedenog, naručilac smatra da navodi iz izjašnjenja zainteresovanog lica nijesu osnovani i da ne predstavljaju razlog za izmjenu tenderske dokumentacije, obustavu postupka ili drugačije postupanje naručioca.</w:t>
      </w:r>
    </w:p>
    <w:p w14:paraId="6E3E2E3E" w14:textId="35AAB3EE" w:rsidR="00C2063F" w:rsidRPr="005046E1" w:rsidRDefault="005046E1" w:rsidP="005046E1">
      <w:pPr>
        <w:jc w:val="both"/>
        <w:rPr>
          <w:rFonts w:ascii="Arial" w:hAnsi="Arial" w:cs="Arial"/>
        </w:rPr>
      </w:pPr>
      <w:r w:rsidRPr="005046E1">
        <w:rPr>
          <w:rFonts w:ascii="Arial" w:hAnsi="Arial" w:cs="Arial"/>
        </w:rPr>
        <w:t>Naručilac će, u slučaju pokretanja postupka pravne zaštite, Komisiji za zaštitu prava u postupcima javnih nabavki dostaviti kompletan spis predmeta i izjasniti se u skladu sa Zakonom o javnim nabavkama, ostajući pri stavu da je predmetna tenderska dokumentacija pripremljena zakonito, transparentno, nediskriminatorno i u skladu sa predmetom, obimom, vrijednošću i tehničkom složenošću javne nabavke.</w:t>
      </w:r>
    </w:p>
    <w:p w14:paraId="07D4BA91" w14:textId="77777777" w:rsidR="00FC7BE5" w:rsidRPr="005046E1" w:rsidRDefault="00FC7BE5" w:rsidP="00102F10">
      <w:pPr>
        <w:spacing w:before="280"/>
        <w:jc w:val="both"/>
        <w:rPr>
          <w:rFonts w:ascii="Arial" w:eastAsia="Arial" w:hAnsi="Arial" w:cs="Arial"/>
          <w:bCs/>
        </w:rPr>
      </w:pPr>
    </w:p>
    <w:p w14:paraId="2B90C53A" w14:textId="10926CB6" w:rsidR="00875206" w:rsidRPr="005046E1" w:rsidRDefault="00875206" w:rsidP="00BB5A0D">
      <w:pPr>
        <w:spacing w:after="140" w:line="276" w:lineRule="auto"/>
        <w:jc w:val="right"/>
        <w:rPr>
          <w:rFonts w:ascii="Arial" w:hAnsi="Arial" w:cs="Arial"/>
        </w:rPr>
      </w:pPr>
      <w:r w:rsidRPr="005046E1">
        <w:rPr>
          <w:rFonts w:ascii="Arial" w:hAnsi="Arial" w:cs="Arial"/>
        </w:rPr>
        <w:t xml:space="preserve">                                                                                                      </w:t>
      </w:r>
      <w:r w:rsidR="00BA6A55" w:rsidRPr="005046E1">
        <w:rPr>
          <w:rFonts w:ascii="Arial" w:hAnsi="Arial" w:cs="Arial"/>
        </w:rPr>
        <w:t xml:space="preserve">  </w:t>
      </w:r>
      <w:r w:rsidRPr="005046E1">
        <w:rPr>
          <w:rFonts w:ascii="Arial" w:hAnsi="Arial" w:cs="Arial"/>
        </w:rPr>
        <w:t xml:space="preserve"> Predsjednik Komisije</w:t>
      </w:r>
    </w:p>
    <w:p w14:paraId="346CB8E6" w14:textId="0B180505" w:rsidR="000D1568" w:rsidRPr="005046E1" w:rsidRDefault="00A31CB1" w:rsidP="00BB5A0D">
      <w:pPr>
        <w:spacing w:after="140" w:line="276" w:lineRule="auto"/>
        <w:jc w:val="right"/>
        <w:rPr>
          <w:rFonts w:ascii="Arial" w:hAnsi="Arial" w:cs="Arial"/>
        </w:rPr>
      </w:pPr>
      <w:r w:rsidRPr="005046E1">
        <w:rPr>
          <w:rFonts w:ascii="Arial" w:hAnsi="Arial" w:cs="Arial"/>
        </w:rPr>
        <w:t xml:space="preserve">                                                                                                            </w:t>
      </w:r>
      <w:r w:rsidR="00875206" w:rsidRPr="005046E1">
        <w:rPr>
          <w:rFonts w:ascii="Arial" w:hAnsi="Arial" w:cs="Arial"/>
        </w:rPr>
        <w:t xml:space="preserve">  </w:t>
      </w:r>
      <w:r w:rsidR="00880AC0" w:rsidRPr="005046E1">
        <w:rPr>
          <w:rFonts w:ascii="Arial" w:hAnsi="Arial" w:cs="Arial"/>
        </w:rPr>
        <w:t>Milica Vukčević</w:t>
      </w:r>
      <w:r w:rsidR="0079653B" w:rsidRPr="005046E1">
        <w:rPr>
          <w:rFonts w:ascii="Arial" w:hAnsi="Arial" w:cs="Arial"/>
        </w:rPr>
        <w:t xml:space="preserve">, </w:t>
      </w:r>
      <w:r w:rsidR="004D2B80">
        <w:rPr>
          <w:rFonts w:ascii="Arial" w:hAnsi="Arial" w:cs="Arial"/>
        </w:rPr>
        <w:t>s.r.</w:t>
      </w:r>
    </w:p>
    <w:sectPr w:rsidR="000D1568" w:rsidRPr="005046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B76FE" w14:textId="77777777" w:rsidR="001076DA" w:rsidRDefault="001076DA" w:rsidP="009E587D">
      <w:pPr>
        <w:spacing w:after="0" w:line="240" w:lineRule="auto"/>
      </w:pPr>
      <w:r>
        <w:separator/>
      </w:r>
    </w:p>
  </w:endnote>
  <w:endnote w:type="continuationSeparator" w:id="0">
    <w:p w14:paraId="77F9E2C2" w14:textId="77777777" w:rsidR="001076DA" w:rsidRDefault="001076DA" w:rsidP="009E5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217844"/>
      <w:docPartObj>
        <w:docPartGallery w:val="Page Numbers (Bottom of Page)"/>
        <w:docPartUnique/>
      </w:docPartObj>
    </w:sdtPr>
    <w:sdtEndPr>
      <w:rPr>
        <w:noProof/>
      </w:rPr>
    </w:sdtEndPr>
    <w:sdtContent>
      <w:p w14:paraId="6ECFA53C" w14:textId="7662EB14" w:rsidR="009E587D" w:rsidRDefault="009E587D">
        <w:pPr>
          <w:pStyle w:val="Footer"/>
          <w:jc w:val="right"/>
        </w:pPr>
        <w:r>
          <w:fldChar w:fldCharType="begin"/>
        </w:r>
        <w:r>
          <w:instrText xml:space="preserve"> PAGE   \* MERGEFORMAT </w:instrText>
        </w:r>
        <w:r>
          <w:fldChar w:fldCharType="separate"/>
        </w:r>
        <w:r w:rsidR="00193D53">
          <w:rPr>
            <w:noProof/>
          </w:rPr>
          <w:t>2</w:t>
        </w:r>
        <w:r>
          <w:rPr>
            <w:noProof/>
          </w:rPr>
          <w:fldChar w:fldCharType="end"/>
        </w:r>
      </w:p>
    </w:sdtContent>
  </w:sdt>
  <w:p w14:paraId="1B97976A" w14:textId="77777777" w:rsidR="009E587D" w:rsidRDefault="009E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C4FE4" w14:textId="77777777" w:rsidR="001076DA" w:rsidRDefault="001076DA" w:rsidP="009E587D">
      <w:pPr>
        <w:spacing w:after="0" w:line="240" w:lineRule="auto"/>
      </w:pPr>
      <w:r>
        <w:separator/>
      </w:r>
    </w:p>
  </w:footnote>
  <w:footnote w:type="continuationSeparator" w:id="0">
    <w:p w14:paraId="14543BA7" w14:textId="77777777" w:rsidR="001076DA" w:rsidRDefault="001076DA" w:rsidP="009E5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3BB6"/>
    <w:multiLevelType w:val="multilevel"/>
    <w:tmpl w:val="DD4A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F71D6"/>
    <w:multiLevelType w:val="hybridMultilevel"/>
    <w:tmpl w:val="F0245020"/>
    <w:lvl w:ilvl="0" w:tplc="5AE695B8">
      <w:start w:val="1"/>
      <w:numFmt w:val="bullet"/>
      <w:lvlText w:val="–"/>
      <w:lvlJc w:val="left"/>
      <w:pPr>
        <w:ind w:left="420" w:hanging="280"/>
      </w:pPr>
    </w:lvl>
    <w:lvl w:ilvl="1" w:tplc="47E217C0">
      <w:numFmt w:val="decimal"/>
      <w:lvlText w:val=""/>
      <w:lvlJc w:val="left"/>
      <w:pPr>
        <w:ind w:left="0" w:firstLine="0"/>
      </w:pPr>
    </w:lvl>
    <w:lvl w:ilvl="2" w:tplc="67F6E5F0">
      <w:numFmt w:val="decimal"/>
      <w:lvlText w:val=""/>
      <w:lvlJc w:val="left"/>
      <w:pPr>
        <w:ind w:left="0" w:firstLine="0"/>
      </w:pPr>
    </w:lvl>
    <w:lvl w:ilvl="3" w:tplc="C646E02E">
      <w:numFmt w:val="decimal"/>
      <w:lvlText w:val=""/>
      <w:lvlJc w:val="left"/>
      <w:pPr>
        <w:ind w:left="0" w:firstLine="0"/>
      </w:pPr>
    </w:lvl>
    <w:lvl w:ilvl="4" w:tplc="C428D85C">
      <w:numFmt w:val="decimal"/>
      <w:lvlText w:val=""/>
      <w:lvlJc w:val="left"/>
      <w:pPr>
        <w:ind w:left="0" w:firstLine="0"/>
      </w:pPr>
    </w:lvl>
    <w:lvl w:ilvl="5" w:tplc="DD943B68">
      <w:numFmt w:val="decimal"/>
      <w:lvlText w:val=""/>
      <w:lvlJc w:val="left"/>
      <w:pPr>
        <w:ind w:left="0" w:firstLine="0"/>
      </w:pPr>
    </w:lvl>
    <w:lvl w:ilvl="6" w:tplc="562076A2">
      <w:numFmt w:val="decimal"/>
      <w:lvlText w:val=""/>
      <w:lvlJc w:val="left"/>
      <w:pPr>
        <w:ind w:left="0" w:firstLine="0"/>
      </w:pPr>
    </w:lvl>
    <w:lvl w:ilvl="7" w:tplc="9AC647A4">
      <w:numFmt w:val="decimal"/>
      <w:lvlText w:val=""/>
      <w:lvlJc w:val="left"/>
      <w:pPr>
        <w:ind w:left="0" w:firstLine="0"/>
      </w:pPr>
    </w:lvl>
    <w:lvl w:ilvl="8" w:tplc="E98C600C">
      <w:numFmt w:val="decimal"/>
      <w:lvlText w:val=""/>
      <w:lvlJc w:val="left"/>
      <w:pPr>
        <w:ind w:left="0" w:firstLine="0"/>
      </w:pPr>
    </w:lvl>
  </w:abstractNum>
  <w:abstractNum w:abstractNumId="2" w15:restartNumberingAfterBreak="0">
    <w:nsid w:val="50A043A2"/>
    <w:multiLevelType w:val="hybridMultilevel"/>
    <w:tmpl w:val="DD44F6D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6D674BE"/>
    <w:multiLevelType w:val="hybridMultilevel"/>
    <w:tmpl w:val="85BAC1C8"/>
    <w:lvl w:ilvl="0" w:tplc="1FA8F25E">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8A8545D"/>
    <w:multiLevelType w:val="hybridMultilevel"/>
    <w:tmpl w:val="8780C020"/>
    <w:lvl w:ilvl="0" w:tplc="A0A68812">
      <w:start w:val="7"/>
      <w:numFmt w:val="decimal"/>
      <w:lvlText w:val="%1."/>
      <w:lvlJc w:val="left"/>
      <w:pPr>
        <w:ind w:left="162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8556D"/>
    <w:multiLevelType w:val="hybridMultilevel"/>
    <w:tmpl w:val="1144B172"/>
    <w:lvl w:ilvl="0" w:tplc="D8A4AAB4">
      <w:start w:val="1"/>
      <w:numFmt w:val="bullet"/>
      <w:lvlText w:val="–"/>
      <w:lvlJc w:val="left"/>
      <w:pPr>
        <w:ind w:left="540" w:hanging="270"/>
      </w:pPr>
    </w:lvl>
    <w:lvl w:ilvl="1" w:tplc="40903C96">
      <w:numFmt w:val="decimal"/>
      <w:lvlText w:val=""/>
      <w:lvlJc w:val="left"/>
    </w:lvl>
    <w:lvl w:ilvl="2" w:tplc="D78A66CC">
      <w:numFmt w:val="decimal"/>
      <w:lvlText w:val=""/>
      <w:lvlJc w:val="left"/>
    </w:lvl>
    <w:lvl w:ilvl="3" w:tplc="33EE947C">
      <w:numFmt w:val="decimal"/>
      <w:lvlText w:val=""/>
      <w:lvlJc w:val="left"/>
    </w:lvl>
    <w:lvl w:ilvl="4" w:tplc="07045FCA">
      <w:numFmt w:val="decimal"/>
      <w:lvlText w:val=""/>
      <w:lvlJc w:val="left"/>
    </w:lvl>
    <w:lvl w:ilvl="5" w:tplc="622001B8">
      <w:numFmt w:val="decimal"/>
      <w:lvlText w:val=""/>
      <w:lvlJc w:val="left"/>
    </w:lvl>
    <w:lvl w:ilvl="6" w:tplc="4A52B27E">
      <w:numFmt w:val="decimal"/>
      <w:lvlText w:val=""/>
      <w:lvlJc w:val="left"/>
    </w:lvl>
    <w:lvl w:ilvl="7" w:tplc="0070013A">
      <w:numFmt w:val="decimal"/>
      <w:lvlText w:val=""/>
      <w:lvlJc w:val="left"/>
    </w:lvl>
    <w:lvl w:ilvl="8" w:tplc="4BDA7132">
      <w:numFmt w:val="decimal"/>
      <w:lvlText w:val=""/>
      <w:lvlJc w:val="left"/>
    </w:lvl>
  </w:abstractNum>
  <w:num w:numId="1" w16cid:durableId="1849513749">
    <w:abstractNumId w:val="2"/>
  </w:num>
  <w:num w:numId="2" w16cid:durableId="1620646732">
    <w:abstractNumId w:val="3"/>
  </w:num>
  <w:num w:numId="3" w16cid:durableId="20733866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2673460">
    <w:abstractNumId w:val="5"/>
  </w:num>
  <w:num w:numId="5" w16cid:durableId="622229581">
    <w:abstractNumId w:val="0"/>
  </w:num>
  <w:num w:numId="6" w16cid:durableId="527763739">
    <w:abstractNumId w:val="1"/>
  </w:num>
  <w:num w:numId="7" w16cid:durableId="1374499111">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9C"/>
    <w:rsid w:val="00026DFB"/>
    <w:rsid w:val="00040638"/>
    <w:rsid w:val="00044DA7"/>
    <w:rsid w:val="000475F5"/>
    <w:rsid w:val="0007674E"/>
    <w:rsid w:val="00076F89"/>
    <w:rsid w:val="0009014B"/>
    <w:rsid w:val="00094865"/>
    <w:rsid w:val="000A1795"/>
    <w:rsid w:val="000D1568"/>
    <w:rsid w:val="00102F10"/>
    <w:rsid w:val="001076DA"/>
    <w:rsid w:val="00121115"/>
    <w:rsid w:val="00142AE5"/>
    <w:rsid w:val="00175814"/>
    <w:rsid w:val="0019089B"/>
    <w:rsid w:val="00193D53"/>
    <w:rsid w:val="001A67AD"/>
    <w:rsid w:val="001D733C"/>
    <w:rsid w:val="001F7A0C"/>
    <w:rsid w:val="00201CD8"/>
    <w:rsid w:val="00255C20"/>
    <w:rsid w:val="00284A15"/>
    <w:rsid w:val="002851D5"/>
    <w:rsid w:val="00301F72"/>
    <w:rsid w:val="003103EE"/>
    <w:rsid w:val="00326524"/>
    <w:rsid w:val="0033131C"/>
    <w:rsid w:val="0034168D"/>
    <w:rsid w:val="00360A64"/>
    <w:rsid w:val="00364564"/>
    <w:rsid w:val="003957A9"/>
    <w:rsid w:val="003D57A9"/>
    <w:rsid w:val="003D6431"/>
    <w:rsid w:val="00456742"/>
    <w:rsid w:val="00492C25"/>
    <w:rsid w:val="004A5883"/>
    <w:rsid w:val="004D2B80"/>
    <w:rsid w:val="004F3CCF"/>
    <w:rsid w:val="005046E1"/>
    <w:rsid w:val="005168D7"/>
    <w:rsid w:val="00527843"/>
    <w:rsid w:val="00555FD7"/>
    <w:rsid w:val="00576505"/>
    <w:rsid w:val="005A58C6"/>
    <w:rsid w:val="005C7F45"/>
    <w:rsid w:val="005E57AE"/>
    <w:rsid w:val="005F315A"/>
    <w:rsid w:val="0060070A"/>
    <w:rsid w:val="006122B5"/>
    <w:rsid w:val="00625975"/>
    <w:rsid w:val="006357AE"/>
    <w:rsid w:val="006414C5"/>
    <w:rsid w:val="00671259"/>
    <w:rsid w:val="00673782"/>
    <w:rsid w:val="006B12DC"/>
    <w:rsid w:val="006D430B"/>
    <w:rsid w:val="006F6456"/>
    <w:rsid w:val="00703788"/>
    <w:rsid w:val="00731510"/>
    <w:rsid w:val="0073163A"/>
    <w:rsid w:val="00743179"/>
    <w:rsid w:val="007550DF"/>
    <w:rsid w:val="007564A7"/>
    <w:rsid w:val="00761BA7"/>
    <w:rsid w:val="00766CBB"/>
    <w:rsid w:val="00767B34"/>
    <w:rsid w:val="00780FD9"/>
    <w:rsid w:val="007941DD"/>
    <w:rsid w:val="0079653B"/>
    <w:rsid w:val="007F111B"/>
    <w:rsid w:val="007F3925"/>
    <w:rsid w:val="008140FD"/>
    <w:rsid w:val="0083614C"/>
    <w:rsid w:val="00846F54"/>
    <w:rsid w:val="0087182D"/>
    <w:rsid w:val="00875206"/>
    <w:rsid w:val="00880AC0"/>
    <w:rsid w:val="00882884"/>
    <w:rsid w:val="00894748"/>
    <w:rsid w:val="008B7080"/>
    <w:rsid w:val="008D1C85"/>
    <w:rsid w:val="008D58F1"/>
    <w:rsid w:val="008D7808"/>
    <w:rsid w:val="008E08E0"/>
    <w:rsid w:val="008E695B"/>
    <w:rsid w:val="008F1F48"/>
    <w:rsid w:val="00907C3D"/>
    <w:rsid w:val="00926591"/>
    <w:rsid w:val="0094435E"/>
    <w:rsid w:val="00961360"/>
    <w:rsid w:val="0096532D"/>
    <w:rsid w:val="00973584"/>
    <w:rsid w:val="0098263C"/>
    <w:rsid w:val="00983EF5"/>
    <w:rsid w:val="00997BD2"/>
    <w:rsid w:val="009B1771"/>
    <w:rsid w:val="009D6936"/>
    <w:rsid w:val="009E1BF5"/>
    <w:rsid w:val="009E239C"/>
    <w:rsid w:val="009E587D"/>
    <w:rsid w:val="009F4872"/>
    <w:rsid w:val="009F699E"/>
    <w:rsid w:val="00A25A37"/>
    <w:rsid w:val="00A25E0F"/>
    <w:rsid w:val="00A31CB1"/>
    <w:rsid w:val="00A5084E"/>
    <w:rsid w:val="00A51093"/>
    <w:rsid w:val="00A60E9F"/>
    <w:rsid w:val="00A752D8"/>
    <w:rsid w:val="00A90747"/>
    <w:rsid w:val="00A91A35"/>
    <w:rsid w:val="00AD5419"/>
    <w:rsid w:val="00AF613A"/>
    <w:rsid w:val="00B13278"/>
    <w:rsid w:val="00B175CE"/>
    <w:rsid w:val="00B22BC5"/>
    <w:rsid w:val="00B3099D"/>
    <w:rsid w:val="00B32E60"/>
    <w:rsid w:val="00B354C6"/>
    <w:rsid w:val="00B4073F"/>
    <w:rsid w:val="00B66023"/>
    <w:rsid w:val="00B668C5"/>
    <w:rsid w:val="00B7054B"/>
    <w:rsid w:val="00B71AFD"/>
    <w:rsid w:val="00B95030"/>
    <w:rsid w:val="00BA6A55"/>
    <w:rsid w:val="00BB5A0D"/>
    <w:rsid w:val="00BC6F5D"/>
    <w:rsid w:val="00BD0F1A"/>
    <w:rsid w:val="00BD3DC3"/>
    <w:rsid w:val="00BE2745"/>
    <w:rsid w:val="00C16E4F"/>
    <w:rsid w:val="00C2063F"/>
    <w:rsid w:val="00C30BB4"/>
    <w:rsid w:val="00CA06BE"/>
    <w:rsid w:val="00CC582C"/>
    <w:rsid w:val="00CE50B3"/>
    <w:rsid w:val="00CF3809"/>
    <w:rsid w:val="00D417B2"/>
    <w:rsid w:val="00D420D6"/>
    <w:rsid w:val="00D60B36"/>
    <w:rsid w:val="00DB0D28"/>
    <w:rsid w:val="00DC0209"/>
    <w:rsid w:val="00DD2D1D"/>
    <w:rsid w:val="00DE12C7"/>
    <w:rsid w:val="00E06E48"/>
    <w:rsid w:val="00E151D9"/>
    <w:rsid w:val="00E37099"/>
    <w:rsid w:val="00E47E44"/>
    <w:rsid w:val="00E92EFC"/>
    <w:rsid w:val="00E92FEA"/>
    <w:rsid w:val="00EA1B67"/>
    <w:rsid w:val="00EB01C8"/>
    <w:rsid w:val="00EB65CC"/>
    <w:rsid w:val="00ED20CA"/>
    <w:rsid w:val="00ED3CF2"/>
    <w:rsid w:val="00EE3CF4"/>
    <w:rsid w:val="00F0151C"/>
    <w:rsid w:val="00F04104"/>
    <w:rsid w:val="00F047EC"/>
    <w:rsid w:val="00F5799E"/>
    <w:rsid w:val="00F822EA"/>
    <w:rsid w:val="00F877F5"/>
    <w:rsid w:val="00F906FB"/>
    <w:rsid w:val="00F951AB"/>
    <w:rsid w:val="00FC25DE"/>
    <w:rsid w:val="00FC7BE5"/>
    <w:rsid w:val="00FD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EF24B"/>
  <w15:chartTrackingRefBased/>
  <w15:docId w15:val="{62F441C2-D53A-4AD1-8186-B7702DD6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206"/>
    <w:pPr>
      <w:spacing w:after="0" w:line="240" w:lineRule="auto"/>
    </w:pPr>
  </w:style>
  <w:style w:type="character" w:customStyle="1" w:styleId="ListParagraphChar">
    <w:name w:val="List Paragraph Char"/>
    <w:aliases w:val="Liste 1 Char,List Paragraph1 Char"/>
    <w:link w:val="ListParagraph"/>
    <w:uiPriority w:val="34"/>
    <w:locked/>
    <w:rsid w:val="00CA06BE"/>
    <w:rPr>
      <w:rFonts w:ascii="Calibri" w:eastAsia="Calibri" w:hAnsi="Calibri" w:cs="Times New Roman"/>
      <w:lang w:val="bs-Latn-BA"/>
    </w:rPr>
  </w:style>
  <w:style w:type="paragraph" w:styleId="ListParagraph">
    <w:name w:val="List Paragraph"/>
    <w:aliases w:val="Liste 1,List Paragraph1"/>
    <w:basedOn w:val="Normal"/>
    <w:link w:val="ListParagraphChar"/>
    <w:qFormat/>
    <w:rsid w:val="00CA06BE"/>
    <w:pPr>
      <w:spacing w:after="200" w:line="276" w:lineRule="auto"/>
      <w:ind w:left="720"/>
      <w:contextualSpacing/>
    </w:pPr>
    <w:rPr>
      <w:rFonts w:ascii="Calibri" w:eastAsia="Calibri" w:hAnsi="Calibri" w:cs="Times New Roman"/>
      <w:lang w:val="bs-Latn-BA"/>
    </w:rPr>
  </w:style>
  <w:style w:type="paragraph" w:styleId="Header">
    <w:name w:val="header"/>
    <w:basedOn w:val="Normal"/>
    <w:link w:val="HeaderChar"/>
    <w:uiPriority w:val="99"/>
    <w:unhideWhenUsed/>
    <w:rsid w:val="009E5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7D"/>
  </w:style>
  <w:style w:type="paragraph" w:styleId="Footer">
    <w:name w:val="footer"/>
    <w:basedOn w:val="Normal"/>
    <w:link w:val="FooterChar"/>
    <w:uiPriority w:val="99"/>
    <w:unhideWhenUsed/>
    <w:rsid w:val="009E5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7D"/>
  </w:style>
  <w:style w:type="paragraph" w:styleId="NormalWeb">
    <w:name w:val="Normal (Web)"/>
    <w:basedOn w:val="Normal"/>
    <w:uiPriority w:val="99"/>
    <w:qFormat/>
    <w:rsid w:val="00B668C5"/>
    <w:pPr>
      <w:widowControl w:val="0"/>
      <w:spacing w:beforeAutospacing="1" w:after="0" w:afterAutospacing="1" w:line="240" w:lineRule="auto"/>
    </w:pPr>
    <w:rPr>
      <w:rFonts w:eastAsiaTheme="minorEastAsia" w:cs="Times New Roman"/>
      <w:sz w:val="24"/>
      <w:szCs w:val="24"/>
      <w:lang w:eastAsia="zh-CN"/>
    </w:rPr>
  </w:style>
  <w:style w:type="paragraph" w:customStyle="1" w:styleId="isselectedend">
    <w:name w:val="isselectedend"/>
    <w:basedOn w:val="Normal"/>
    <w:rsid w:val="008F1F4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F1F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F48"/>
    <w:rPr>
      <w:rFonts w:ascii="Segoe UI" w:hAnsi="Segoe UI" w:cs="Segoe UI"/>
      <w:sz w:val="18"/>
      <w:szCs w:val="18"/>
    </w:rPr>
  </w:style>
  <w:style w:type="paragraph" w:styleId="FootnoteText">
    <w:name w:val="footnote text"/>
    <w:basedOn w:val="Normal"/>
    <w:link w:val="FootnoteTextChar"/>
    <w:uiPriority w:val="99"/>
    <w:semiHidden/>
    <w:unhideWhenUsed/>
    <w:rsid w:val="00301F7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301F72"/>
    <w:rPr>
      <w:rFonts w:ascii="Calibri" w:eastAsia="Calibri" w:hAnsi="Calibri" w:cs="Times New Roman"/>
      <w:sz w:val="20"/>
      <w:szCs w:val="20"/>
    </w:rPr>
  </w:style>
  <w:style w:type="character" w:styleId="FootnoteReference">
    <w:name w:val="footnote reference"/>
    <w:uiPriority w:val="99"/>
    <w:semiHidden/>
    <w:unhideWhenUsed/>
    <w:rsid w:val="00301F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4006">
      <w:bodyDiv w:val="1"/>
      <w:marLeft w:val="0"/>
      <w:marRight w:val="0"/>
      <w:marTop w:val="0"/>
      <w:marBottom w:val="0"/>
      <w:divBdr>
        <w:top w:val="none" w:sz="0" w:space="0" w:color="auto"/>
        <w:left w:val="none" w:sz="0" w:space="0" w:color="auto"/>
        <w:bottom w:val="none" w:sz="0" w:space="0" w:color="auto"/>
        <w:right w:val="none" w:sz="0" w:space="0" w:color="auto"/>
      </w:divBdr>
    </w:div>
    <w:div w:id="1100443993">
      <w:bodyDiv w:val="1"/>
      <w:marLeft w:val="0"/>
      <w:marRight w:val="0"/>
      <w:marTop w:val="0"/>
      <w:marBottom w:val="0"/>
      <w:divBdr>
        <w:top w:val="none" w:sz="0" w:space="0" w:color="auto"/>
        <w:left w:val="none" w:sz="0" w:space="0" w:color="auto"/>
        <w:bottom w:val="none" w:sz="0" w:space="0" w:color="auto"/>
        <w:right w:val="none" w:sz="0" w:space="0" w:color="auto"/>
      </w:divBdr>
    </w:div>
    <w:div w:id="1274750757">
      <w:bodyDiv w:val="1"/>
      <w:marLeft w:val="0"/>
      <w:marRight w:val="0"/>
      <w:marTop w:val="0"/>
      <w:marBottom w:val="0"/>
      <w:divBdr>
        <w:top w:val="none" w:sz="0" w:space="0" w:color="auto"/>
        <w:left w:val="none" w:sz="0" w:space="0" w:color="auto"/>
        <w:bottom w:val="none" w:sz="0" w:space="0" w:color="auto"/>
        <w:right w:val="none" w:sz="0" w:space="0" w:color="auto"/>
      </w:divBdr>
    </w:div>
    <w:div w:id="1283806757">
      <w:bodyDiv w:val="1"/>
      <w:marLeft w:val="0"/>
      <w:marRight w:val="0"/>
      <w:marTop w:val="0"/>
      <w:marBottom w:val="0"/>
      <w:divBdr>
        <w:top w:val="none" w:sz="0" w:space="0" w:color="auto"/>
        <w:left w:val="none" w:sz="0" w:space="0" w:color="auto"/>
        <w:bottom w:val="none" w:sz="0" w:space="0" w:color="auto"/>
        <w:right w:val="none" w:sz="0" w:space="0" w:color="auto"/>
      </w:divBdr>
    </w:div>
    <w:div w:id="1558203778">
      <w:bodyDiv w:val="1"/>
      <w:marLeft w:val="0"/>
      <w:marRight w:val="0"/>
      <w:marTop w:val="0"/>
      <w:marBottom w:val="0"/>
      <w:divBdr>
        <w:top w:val="none" w:sz="0" w:space="0" w:color="auto"/>
        <w:left w:val="none" w:sz="0" w:space="0" w:color="auto"/>
        <w:bottom w:val="none" w:sz="0" w:space="0" w:color="auto"/>
        <w:right w:val="none" w:sz="0" w:space="0" w:color="auto"/>
      </w:divBdr>
    </w:div>
    <w:div w:id="1639337321">
      <w:bodyDiv w:val="1"/>
      <w:marLeft w:val="0"/>
      <w:marRight w:val="0"/>
      <w:marTop w:val="0"/>
      <w:marBottom w:val="0"/>
      <w:divBdr>
        <w:top w:val="none" w:sz="0" w:space="0" w:color="auto"/>
        <w:left w:val="none" w:sz="0" w:space="0" w:color="auto"/>
        <w:bottom w:val="none" w:sz="0" w:space="0" w:color="auto"/>
        <w:right w:val="none" w:sz="0" w:space="0" w:color="auto"/>
      </w:divBdr>
    </w:div>
    <w:div w:id="200416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2483</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Petar Vukčević</cp:lastModifiedBy>
  <cp:revision>3</cp:revision>
  <cp:lastPrinted>2026-07-15T12:38:00Z</cp:lastPrinted>
  <dcterms:created xsi:type="dcterms:W3CDTF">2026-07-15T16:08:00Z</dcterms:created>
  <dcterms:modified xsi:type="dcterms:W3CDTF">2026-07-15T16:08:00Z</dcterms:modified>
</cp:coreProperties>
</file>