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11E5C" w14:textId="5E6CE038" w:rsidR="00CA06BE" w:rsidRPr="008F1F48" w:rsidRDefault="00EB65CC" w:rsidP="00CA06BE">
      <w:pPr>
        <w:tabs>
          <w:tab w:val="left" w:pos="851"/>
          <w:tab w:val="right" w:pos="3402"/>
        </w:tabs>
        <w:spacing w:after="0"/>
        <w:rPr>
          <w:rFonts w:ascii="Arial" w:eastAsia="Calibri" w:hAnsi="Arial" w:cs="Arial"/>
          <w:lang w:val="sr-Latn-ME"/>
        </w:rPr>
      </w:pPr>
      <w:r w:rsidRPr="008F1F48">
        <w:rPr>
          <w:rFonts w:ascii="Arial" w:eastAsia="Calibri" w:hAnsi="Arial" w:cs="Arial"/>
          <w:lang w:val="sr-Latn-ME"/>
        </w:rPr>
        <w:t>Ministarstvo javnih radova</w:t>
      </w:r>
    </w:p>
    <w:p w14:paraId="04D6776F" w14:textId="77777777" w:rsidR="00CA06BE" w:rsidRPr="008F1F48" w:rsidRDefault="00CA06BE" w:rsidP="00CA06BE">
      <w:pPr>
        <w:tabs>
          <w:tab w:val="left" w:pos="851"/>
          <w:tab w:val="right" w:pos="3402"/>
        </w:tabs>
        <w:spacing w:after="0"/>
        <w:rPr>
          <w:rFonts w:ascii="Arial" w:eastAsia="Calibri" w:hAnsi="Arial" w:cs="Arial"/>
          <w:lang w:val="sr-Latn-ME"/>
        </w:rPr>
      </w:pPr>
      <w:r w:rsidRPr="008F1F48">
        <w:rPr>
          <w:rFonts w:ascii="Arial" w:eastAsia="Calibri" w:hAnsi="Arial" w:cs="Arial"/>
          <w:lang w:val="sr-Latn-ME"/>
        </w:rPr>
        <w:t>ul.Arsenija Boljevića 2a, City Mall/III sprat, 81000 Podgorica</w:t>
      </w:r>
      <w:r w:rsidRPr="008F1F48">
        <w:rPr>
          <w:rFonts w:ascii="Arial" w:eastAsia="Calibri" w:hAnsi="Arial" w:cs="Arial"/>
          <w:lang w:val="sr-Latn-ME"/>
        </w:rPr>
        <w:tab/>
        <w:t xml:space="preserve"> </w:t>
      </w:r>
    </w:p>
    <w:p w14:paraId="32B07FCB" w14:textId="1F7EC99C" w:rsidR="00CA06BE" w:rsidRPr="008F1F48" w:rsidRDefault="00CA06BE" w:rsidP="00CA06BE">
      <w:pPr>
        <w:tabs>
          <w:tab w:val="right" w:pos="3402"/>
        </w:tabs>
        <w:spacing w:after="0"/>
        <w:rPr>
          <w:rFonts w:ascii="Arial" w:eastAsia="Calibri" w:hAnsi="Arial" w:cs="Arial"/>
          <w:lang w:val="sr-Latn-ME"/>
        </w:rPr>
      </w:pPr>
      <w:r w:rsidRPr="008F1F48">
        <w:rPr>
          <w:rFonts w:ascii="Arial" w:eastAsia="Calibri" w:hAnsi="Arial" w:cs="Arial"/>
          <w:lang w:val="sr-Latn-ME"/>
        </w:rPr>
        <w:t xml:space="preserve">Broj: </w:t>
      </w:r>
      <w:r w:rsidR="003467CB">
        <w:rPr>
          <w:rFonts w:ascii="Arial" w:eastAsia="Calibri" w:hAnsi="Arial" w:cs="Arial"/>
          <w:lang w:val="sr-Latn-ME"/>
        </w:rPr>
        <w:t>01-426/26-2437/2</w:t>
      </w:r>
    </w:p>
    <w:p w14:paraId="2B091172" w14:textId="4798C2FB" w:rsidR="00875206" w:rsidRPr="008F1F48" w:rsidRDefault="00CA06BE" w:rsidP="0019089B">
      <w:pPr>
        <w:pStyle w:val="ListParagraph"/>
        <w:spacing w:after="0" w:line="240" w:lineRule="auto"/>
        <w:ind w:left="0"/>
        <w:rPr>
          <w:rFonts w:ascii="Arial" w:hAnsi="Arial" w:cs="Arial"/>
          <w:bCs/>
          <w:lang w:val="sr-Latn-ME"/>
        </w:rPr>
      </w:pPr>
      <w:r w:rsidRPr="008F1F48">
        <w:rPr>
          <w:rFonts w:ascii="Arial" w:hAnsi="Arial" w:cs="Arial"/>
          <w:lang w:val="sr-Latn-ME"/>
        </w:rPr>
        <w:t xml:space="preserve">Podgorica, </w:t>
      </w:r>
      <w:r w:rsidR="003467CB">
        <w:rPr>
          <w:rFonts w:ascii="Arial" w:hAnsi="Arial" w:cs="Arial"/>
          <w:lang w:val="sr-Latn-ME"/>
        </w:rPr>
        <w:t>06.07.2026.godine</w:t>
      </w:r>
    </w:p>
    <w:p w14:paraId="7E1BC8CA" w14:textId="0AF2F9CD" w:rsidR="005F315A" w:rsidRPr="008F1F48" w:rsidRDefault="005F315A" w:rsidP="00875206">
      <w:pPr>
        <w:pStyle w:val="NoSpacing"/>
        <w:jc w:val="both"/>
        <w:rPr>
          <w:rFonts w:ascii="Arial" w:hAnsi="Arial" w:cs="Arial"/>
          <w:bCs/>
          <w:lang w:val="sr-Latn-ME"/>
        </w:rPr>
      </w:pPr>
    </w:p>
    <w:p w14:paraId="2665F03C" w14:textId="77777777" w:rsidR="005F315A" w:rsidRPr="008F1F48" w:rsidRDefault="005F315A" w:rsidP="00875206">
      <w:pPr>
        <w:pStyle w:val="NoSpacing"/>
        <w:jc w:val="both"/>
        <w:rPr>
          <w:rFonts w:ascii="Arial" w:hAnsi="Arial" w:cs="Arial"/>
          <w:bCs/>
          <w:lang w:val="sr-Latn-ME"/>
        </w:rPr>
      </w:pPr>
    </w:p>
    <w:p w14:paraId="0033716C" w14:textId="3E2B30EA" w:rsidR="00ED20CA" w:rsidRPr="008F1F48" w:rsidRDefault="00875206" w:rsidP="00EB65CC">
      <w:pPr>
        <w:pStyle w:val="NoSpacing"/>
        <w:ind w:firstLine="709"/>
        <w:jc w:val="center"/>
        <w:rPr>
          <w:rFonts w:ascii="Arial" w:hAnsi="Arial" w:cs="Arial"/>
          <w:b/>
          <w:bCs/>
          <w:lang w:val="sr-Latn-ME"/>
        </w:rPr>
      </w:pPr>
      <w:r w:rsidRPr="008F1F48">
        <w:rPr>
          <w:rFonts w:ascii="Arial" w:hAnsi="Arial" w:cs="Arial"/>
          <w:b/>
          <w:bCs/>
          <w:lang w:val="sr-Latn-ME"/>
        </w:rPr>
        <w:t>POJAŠNJENJE</w:t>
      </w:r>
    </w:p>
    <w:p w14:paraId="633A2975" w14:textId="54D0F798" w:rsidR="002851D5" w:rsidRPr="008F1F48" w:rsidRDefault="00EB01C8" w:rsidP="008F1F48">
      <w:pPr>
        <w:jc w:val="center"/>
        <w:rPr>
          <w:rFonts w:ascii="Arial" w:hAnsi="Arial" w:cs="Arial"/>
          <w:b/>
          <w:bCs/>
          <w:lang w:val="sr-Latn-ME"/>
        </w:rPr>
      </w:pPr>
      <w:r w:rsidRPr="008F1F48">
        <w:rPr>
          <w:rFonts w:ascii="Arial" w:hAnsi="Arial" w:cs="Arial"/>
          <w:b/>
          <w:bCs/>
          <w:lang w:val="sr-Latn-ME"/>
        </w:rPr>
        <w:t xml:space="preserve">Tenderske dokumentacije broj </w:t>
      </w:r>
      <w:r w:rsidR="008F1F48" w:rsidRPr="008F1F48">
        <w:rPr>
          <w:rFonts w:ascii="Arial" w:hAnsi="Arial" w:cs="Arial"/>
          <w:b/>
          <w:bCs/>
          <w:lang w:val="sr-Latn-ME"/>
        </w:rPr>
        <w:t>0</w:t>
      </w:r>
      <w:r w:rsidR="003467CB">
        <w:rPr>
          <w:rFonts w:ascii="Arial" w:hAnsi="Arial" w:cs="Arial"/>
          <w:b/>
          <w:bCs/>
          <w:lang w:val="sr-Latn-ME"/>
        </w:rPr>
        <w:t>5</w:t>
      </w:r>
      <w:r w:rsidR="008F1F48" w:rsidRPr="008F1F48">
        <w:rPr>
          <w:rFonts w:ascii="Arial" w:hAnsi="Arial" w:cs="Arial"/>
          <w:b/>
          <w:bCs/>
          <w:lang w:val="sr-Latn-ME"/>
        </w:rPr>
        <w:t>-4</w:t>
      </w:r>
      <w:r w:rsidR="003467CB">
        <w:rPr>
          <w:rFonts w:ascii="Arial" w:hAnsi="Arial" w:cs="Arial"/>
          <w:b/>
          <w:bCs/>
          <w:lang w:val="sr-Latn-ME"/>
        </w:rPr>
        <w:t>5</w:t>
      </w:r>
      <w:r w:rsidR="008F1F48" w:rsidRPr="008F1F48">
        <w:rPr>
          <w:rFonts w:ascii="Arial" w:hAnsi="Arial" w:cs="Arial"/>
          <w:b/>
          <w:bCs/>
          <w:lang w:val="sr-Latn-ME"/>
        </w:rPr>
        <w:t xml:space="preserve">/26 </w:t>
      </w:r>
      <w:r w:rsidRPr="008F1F48">
        <w:rPr>
          <w:rFonts w:ascii="Arial" w:hAnsi="Arial" w:cs="Arial"/>
          <w:b/>
          <w:bCs/>
          <w:lang w:val="sr-Latn-ME"/>
        </w:rPr>
        <w:t xml:space="preserve">od </w:t>
      </w:r>
      <w:r w:rsidR="003467CB">
        <w:rPr>
          <w:rFonts w:ascii="Arial" w:hAnsi="Arial" w:cs="Arial"/>
          <w:b/>
          <w:bCs/>
          <w:lang w:val="sr-Latn-ME"/>
        </w:rPr>
        <w:t>22</w:t>
      </w:r>
      <w:r w:rsidR="008F1F48" w:rsidRPr="008F1F48">
        <w:rPr>
          <w:rFonts w:ascii="Arial" w:hAnsi="Arial" w:cs="Arial"/>
          <w:b/>
          <w:bCs/>
          <w:lang w:val="sr-Latn-ME"/>
        </w:rPr>
        <w:t>.06.</w:t>
      </w:r>
      <w:r w:rsidR="008D1C85" w:rsidRPr="008F1F48">
        <w:rPr>
          <w:rFonts w:ascii="Arial" w:hAnsi="Arial" w:cs="Arial"/>
          <w:b/>
          <w:bCs/>
          <w:lang w:val="sr-Latn-ME"/>
        </w:rPr>
        <w:t>2026.godine</w:t>
      </w:r>
    </w:p>
    <w:p w14:paraId="3E304A78" w14:textId="77777777" w:rsidR="003467CB" w:rsidRDefault="00EB01C8" w:rsidP="003467CB">
      <w:pPr>
        <w:jc w:val="center"/>
        <w:rPr>
          <w:rFonts w:ascii="Arial" w:hAnsi="Arial" w:cs="Arial"/>
          <w:b/>
          <w:bCs/>
          <w:lang w:val="sr-Latn-ME"/>
        </w:rPr>
      </w:pPr>
      <w:r w:rsidRPr="008F1F48">
        <w:rPr>
          <w:rFonts w:ascii="Arial" w:hAnsi="Arial" w:cs="Arial"/>
          <w:b/>
          <w:bCs/>
          <w:lang w:val="sr-Latn-ME"/>
        </w:rPr>
        <w:t>(šifra postupka</w:t>
      </w:r>
      <w:r w:rsidR="00026DFB" w:rsidRPr="008F1F48">
        <w:rPr>
          <w:rFonts w:ascii="Arial" w:hAnsi="Arial" w:cs="Arial"/>
          <w:b/>
          <w:bCs/>
          <w:lang w:val="sr-Latn-ME"/>
        </w:rPr>
        <w:t xml:space="preserve"> </w:t>
      </w:r>
      <w:r w:rsidR="00880AC0" w:rsidRPr="008F1F48">
        <w:rPr>
          <w:rFonts w:ascii="Arial" w:hAnsi="Arial" w:cs="Arial"/>
          <w:b/>
          <w:bCs/>
          <w:lang w:val="sr-Latn-ME"/>
        </w:rPr>
        <w:t>#</w:t>
      </w:r>
      <w:r w:rsidR="003D57A9" w:rsidRPr="008F1F48">
        <w:rPr>
          <w:rFonts w:ascii="Arial" w:hAnsi="Arial" w:cs="Arial"/>
          <w:b/>
          <w:bCs/>
          <w:lang w:val="sr-Latn-ME"/>
        </w:rPr>
        <w:t>1</w:t>
      </w:r>
      <w:r w:rsidR="008F1F48" w:rsidRPr="008F1F48">
        <w:rPr>
          <w:rFonts w:ascii="Arial" w:hAnsi="Arial" w:cs="Arial"/>
          <w:b/>
          <w:bCs/>
          <w:lang w:val="sr-Latn-ME"/>
        </w:rPr>
        <w:t>1</w:t>
      </w:r>
      <w:r w:rsidR="003467CB">
        <w:rPr>
          <w:rFonts w:ascii="Arial" w:hAnsi="Arial" w:cs="Arial"/>
          <w:b/>
          <w:bCs/>
          <w:lang w:val="sr-Latn-ME"/>
        </w:rPr>
        <w:t>7917</w:t>
      </w:r>
      <w:r w:rsidR="00026DFB" w:rsidRPr="008F1F48">
        <w:rPr>
          <w:rFonts w:ascii="Arial" w:hAnsi="Arial" w:cs="Arial"/>
          <w:b/>
          <w:bCs/>
          <w:lang w:val="sr-Latn-ME"/>
        </w:rPr>
        <w:t>)</w:t>
      </w:r>
      <w:r w:rsidR="00EB65CC" w:rsidRPr="008F1F48">
        <w:rPr>
          <w:rFonts w:ascii="Arial" w:hAnsi="Arial" w:cs="Arial"/>
          <w:b/>
          <w:bCs/>
          <w:lang w:val="sr-Latn-ME"/>
        </w:rPr>
        <w:t xml:space="preserve"> za</w:t>
      </w:r>
      <w:r w:rsidR="008D1C85" w:rsidRPr="008F1F48">
        <w:rPr>
          <w:rFonts w:ascii="Arial" w:hAnsi="Arial" w:cs="Arial"/>
          <w:b/>
          <w:bCs/>
          <w:lang w:val="sr-Latn-ME"/>
        </w:rPr>
        <w:t xml:space="preserve"> </w:t>
      </w:r>
      <w:r w:rsidR="003467CB" w:rsidRPr="003467CB">
        <w:rPr>
          <w:rFonts w:ascii="Arial" w:hAnsi="Arial" w:cs="Arial"/>
          <w:b/>
          <w:bCs/>
          <w:lang w:val="sr-Latn-ME"/>
        </w:rPr>
        <w:t>Izrad</w:t>
      </w:r>
      <w:r w:rsidR="003467CB">
        <w:rPr>
          <w:rFonts w:ascii="Arial" w:hAnsi="Arial" w:cs="Arial"/>
          <w:b/>
          <w:bCs/>
          <w:lang w:val="sr-Latn-ME"/>
        </w:rPr>
        <w:t xml:space="preserve">u </w:t>
      </w:r>
      <w:r w:rsidR="003467CB" w:rsidRPr="003467CB">
        <w:rPr>
          <w:rFonts w:ascii="Arial" w:hAnsi="Arial" w:cs="Arial"/>
          <w:b/>
          <w:bCs/>
          <w:lang w:val="sr-Latn-ME"/>
        </w:rPr>
        <w:t>Glavnog projekta stambenog kompleksa Blok A1 i izvođenje radova na izgradnji prve faze dijela stambenog kompleksa sa pratećom infrastrukturom u naselju “Velje brdo”, Podgorica</w:t>
      </w:r>
    </w:p>
    <w:p w14:paraId="715CBE05" w14:textId="13DDC737" w:rsidR="00B22BC5" w:rsidRPr="008F1F48" w:rsidRDefault="00B22BC5" w:rsidP="003467CB">
      <w:pPr>
        <w:rPr>
          <w:rFonts w:ascii="Arial" w:hAnsi="Arial" w:cs="Arial"/>
          <w:bCs/>
          <w:lang w:val="sr-Latn-ME"/>
        </w:rPr>
      </w:pPr>
      <w:r w:rsidRPr="008F1F48">
        <w:rPr>
          <w:rFonts w:ascii="Arial" w:hAnsi="Arial" w:cs="Arial"/>
          <w:bCs/>
          <w:lang w:val="sr-Latn-ME"/>
        </w:rPr>
        <w:t>Povodom zahtjeva za pojašnjenje Tenderske dokumentacije</w:t>
      </w:r>
      <w:r w:rsidR="00FD6A75" w:rsidRPr="008F1F48">
        <w:rPr>
          <w:rFonts w:ascii="Arial" w:hAnsi="Arial" w:cs="Arial"/>
          <w:bCs/>
          <w:lang w:val="sr-Latn-ME"/>
        </w:rPr>
        <w:t>,</w:t>
      </w:r>
      <w:r w:rsidRPr="008F1F48">
        <w:rPr>
          <w:rFonts w:ascii="Arial" w:hAnsi="Arial" w:cs="Arial"/>
          <w:bCs/>
          <w:lang w:val="sr-Latn-ME"/>
        </w:rPr>
        <w:t xml:space="preserve"> Komisija za sprovođenje postupka javne nabavke, u skladu sa članom 95 stav 2 Zakona o javnim nabavkama, na postavljena pitanja daje sljedeće odgovore: </w:t>
      </w:r>
    </w:p>
    <w:p w14:paraId="478DE9A7" w14:textId="77777777" w:rsidR="00EB65CC" w:rsidRPr="008F1F48" w:rsidRDefault="00EB65CC" w:rsidP="00B22BC5">
      <w:pPr>
        <w:spacing w:after="0" w:line="240" w:lineRule="auto"/>
        <w:ind w:firstLine="567"/>
        <w:jc w:val="both"/>
        <w:rPr>
          <w:rFonts w:ascii="Arial" w:hAnsi="Arial" w:cs="Arial"/>
          <w:bCs/>
          <w:lang w:val="sr-Latn-ME"/>
        </w:rPr>
      </w:pPr>
    </w:p>
    <w:p w14:paraId="016E810D" w14:textId="77777777" w:rsidR="003467CB" w:rsidRPr="003467CB" w:rsidRDefault="00A752D8" w:rsidP="003467CB">
      <w:pPr>
        <w:jc w:val="both"/>
        <w:rPr>
          <w:rFonts w:ascii="Arial" w:hAnsi="Arial" w:cs="Arial"/>
        </w:rPr>
      </w:pPr>
      <w:r w:rsidRPr="00A752D8">
        <w:rPr>
          <w:rFonts w:ascii="Arial" w:hAnsi="Arial" w:cs="Arial"/>
        </w:rPr>
        <w:t xml:space="preserve">Pitanje </w:t>
      </w:r>
      <w:r w:rsidR="003467CB" w:rsidRPr="003467CB">
        <w:rPr>
          <w:rFonts w:ascii="Arial" w:hAnsi="Arial" w:cs="Arial"/>
          <w:b/>
          <w:bCs/>
        </w:rPr>
        <w:t>I.  PRAVNI OSNOV I POVOD</w:t>
      </w:r>
    </w:p>
    <w:p w14:paraId="075973EB" w14:textId="11569425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 xml:space="preserve">Na osnovu člana 94 Zakona o javnim nabavkama („Službeni list CG“, br. 74/2019, 3/2023, 11/2023 - ispravka i 84/2024; u daljem tekstu: ZJN), zainteresovano </w:t>
      </w:r>
      <w:r>
        <w:rPr>
          <w:rFonts w:ascii="Arial" w:hAnsi="Arial" w:cs="Arial"/>
        </w:rPr>
        <w:t xml:space="preserve">lice </w:t>
      </w:r>
      <w:r w:rsidRPr="003467CB">
        <w:rPr>
          <w:rFonts w:ascii="Arial" w:hAnsi="Arial" w:cs="Arial"/>
        </w:rPr>
        <w:t>podnosi predlog za izmjenu tenderske dokumentacije u predmetnom postupku javne nabavke.</w:t>
      </w:r>
    </w:p>
    <w:p w14:paraId="0DC0A796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>Povod za podnošenje ovog predloga jeste Pojašnjenje tenderske dokumentacije broj 04-426/26-2437/1 od 02.07.2026. godine (u daljem tekstu: Pojašnjenje), kojim je naručilac odgovorio na zahtjev za pojašnjenje zainteresovanog lica. Sadržina Pojašnjenja — kako ono što je naručilac potvrdio, tako i ono na šta je izričito odbio da odgovori — potvrđuje i dodatno dokumentuje nepravilnosti tenderske dokumentacije na koje je zainteresovano lice ukazalo, zbog čega se njihovo otklanjanje kroz izmjenu tenderske dokumentacije ukazuje kao nužno.</w:t>
      </w:r>
    </w:p>
    <w:p w14:paraId="32E9E0B9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>Zainteresovano lice posebno naglašava da, u skladu sa članom 94 stav 5 ZJN, ovaj predlog ne sadrži konkretne izmjene tenderske dokumentacije, već obrazloženje razloga zbog kojih je nepravilnosti neophodno otkloniti, dok je izbor konkretnog načina otklanjanja u nadležnosti naručioca.</w:t>
      </w:r>
    </w:p>
    <w:p w14:paraId="515EF661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  <w:b/>
          <w:bCs/>
        </w:rPr>
        <w:t>II.  NESPORNO ČINJENIČNO STANJE</w:t>
      </w:r>
    </w:p>
    <w:p w14:paraId="431ECF47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 xml:space="preserve">Naručilac u Pojašnjenju </w:t>
      </w:r>
      <w:r w:rsidRPr="003467CB">
        <w:rPr>
          <w:rFonts w:ascii="Arial" w:hAnsi="Arial" w:cs="Arial"/>
          <w:b/>
          <w:bCs/>
        </w:rPr>
        <w:t>nije osporio nijedan činjenični navod</w:t>
      </w:r>
      <w:r w:rsidRPr="003467CB">
        <w:rPr>
          <w:rFonts w:ascii="Arial" w:hAnsi="Arial" w:cs="Arial"/>
        </w:rPr>
        <w:t xml:space="preserve"> zainteresovanog lica. Nesporno je, dakle, sljedeće:</w:t>
      </w:r>
    </w:p>
    <w:p w14:paraId="1002A579" w14:textId="77777777" w:rsidR="003467CB" w:rsidRPr="003467CB" w:rsidRDefault="003467CB" w:rsidP="003467CB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>nijedan pojedinačni objekat u okviru cjelokupnog Bloka A1 ne dostiže BRGP od 20.000 m² — najveći objekat ima BRGP 13.286,78 m², dok objekti prve faze imaju cca 12.150,85 m² i 10.537,59 m²: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00"/>
        <w:gridCol w:w="2300"/>
        <w:gridCol w:w="2360"/>
      </w:tblGrid>
      <w:tr w:rsidR="003467CB" w:rsidRPr="003467CB" w14:paraId="013A56FB" w14:textId="77777777">
        <w:tc>
          <w:tcPr>
            <w:tcW w:w="4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5092BBCB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  <w:b/>
                <w:bCs/>
              </w:rPr>
              <w:t>Urbanistička parcela / objekat</w:t>
            </w: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283B345D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  <w:b/>
                <w:bCs/>
              </w:rPr>
              <w:t>BRGP (m²)</w:t>
            </w:r>
          </w:p>
        </w:tc>
        <w:tc>
          <w:tcPr>
            <w:tcW w:w="23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shd w:val="clear" w:color="auto" w:fill="D9D9D9"/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0254908E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  <w:b/>
                <w:bCs/>
              </w:rPr>
              <w:t>Dostiže 20.000 m²?</w:t>
            </w:r>
          </w:p>
        </w:tc>
      </w:tr>
      <w:tr w:rsidR="003467CB" w:rsidRPr="003467CB" w14:paraId="52D90A0E" w14:textId="77777777">
        <w:tc>
          <w:tcPr>
            <w:tcW w:w="4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362781ED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</w:rPr>
              <w:t>UP 387/1.1 (najveći objekat u Bloku A1)</w:t>
            </w: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24B0280D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</w:rPr>
              <w:t>13.286,78</w:t>
            </w:r>
          </w:p>
        </w:tc>
        <w:tc>
          <w:tcPr>
            <w:tcW w:w="23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14FD41FB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</w:rPr>
              <w:t>NE</w:t>
            </w:r>
          </w:p>
        </w:tc>
      </w:tr>
      <w:tr w:rsidR="003467CB" w:rsidRPr="003467CB" w14:paraId="3CCC2D85" w14:textId="77777777">
        <w:tc>
          <w:tcPr>
            <w:tcW w:w="4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6B63AD0D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</w:rPr>
              <w:t>UP 387/1.2</w:t>
            </w: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69F2B020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</w:rPr>
              <w:t>11.874,25</w:t>
            </w:r>
          </w:p>
        </w:tc>
        <w:tc>
          <w:tcPr>
            <w:tcW w:w="23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1E5BA4C0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</w:rPr>
              <w:t>NE</w:t>
            </w:r>
          </w:p>
        </w:tc>
      </w:tr>
      <w:tr w:rsidR="003467CB" w:rsidRPr="003467CB" w14:paraId="39480916" w14:textId="77777777">
        <w:tc>
          <w:tcPr>
            <w:tcW w:w="4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7FFB2400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</w:rPr>
              <w:lastRenderedPageBreak/>
              <w:t>UP 387/1.3</w:t>
            </w: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60A10849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</w:rPr>
              <w:t>10.181,25</w:t>
            </w:r>
          </w:p>
        </w:tc>
        <w:tc>
          <w:tcPr>
            <w:tcW w:w="23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1CC7D521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</w:rPr>
              <w:t>NE</w:t>
            </w:r>
          </w:p>
        </w:tc>
      </w:tr>
      <w:tr w:rsidR="003467CB" w:rsidRPr="003467CB" w14:paraId="7918E8C3" w14:textId="77777777">
        <w:tc>
          <w:tcPr>
            <w:tcW w:w="4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1B917061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</w:rPr>
              <w:t>UP 387/1.4</w:t>
            </w: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3590F57B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</w:rPr>
              <w:t>11.844,42</w:t>
            </w:r>
          </w:p>
        </w:tc>
        <w:tc>
          <w:tcPr>
            <w:tcW w:w="23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15264B06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</w:rPr>
              <w:t>NE</w:t>
            </w:r>
          </w:p>
        </w:tc>
      </w:tr>
      <w:tr w:rsidR="003467CB" w:rsidRPr="003467CB" w14:paraId="25241215" w14:textId="77777777">
        <w:tc>
          <w:tcPr>
            <w:tcW w:w="4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4BA67AE6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</w:rPr>
              <w:t>UP 387/1.5 — prva faza (pet objekata)</w:t>
            </w: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4CC59F59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</w:rPr>
              <w:t>12.150,85</w:t>
            </w:r>
          </w:p>
        </w:tc>
        <w:tc>
          <w:tcPr>
            <w:tcW w:w="23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547EF259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</w:rPr>
              <w:t>NE</w:t>
            </w:r>
          </w:p>
        </w:tc>
      </w:tr>
      <w:tr w:rsidR="003467CB" w:rsidRPr="003467CB" w14:paraId="28FD64A4" w14:textId="77777777">
        <w:tc>
          <w:tcPr>
            <w:tcW w:w="47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73D6699F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</w:rPr>
              <w:t>UP 387/1.6 — prva faza (Su+P+4)</w:t>
            </w:r>
          </w:p>
        </w:tc>
        <w:tc>
          <w:tcPr>
            <w:tcW w:w="230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039EE93C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</w:rPr>
              <w:t>10.537,59</w:t>
            </w:r>
          </w:p>
        </w:tc>
        <w:tc>
          <w:tcPr>
            <w:tcW w:w="2360" w:type="dxa"/>
            <w:tcBorders>
              <w:top w:val="single" w:sz="4" w:space="0" w:color="888888"/>
              <w:left w:val="single" w:sz="4" w:space="0" w:color="888888"/>
              <w:bottom w:val="single" w:sz="4" w:space="0" w:color="888888"/>
              <w:right w:val="single" w:sz="4" w:space="0" w:color="888888"/>
            </w:tcBorders>
            <w:tcMar>
              <w:top w:w="60" w:type="dxa"/>
              <w:left w:w="110" w:type="dxa"/>
              <w:bottom w:w="60" w:type="dxa"/>
              <w:right w:w="110" w:type="dxa"/>
            </w:tcMar>
            <w:hideMark/>
          </w:tcPr>
          <w:p w14:paraId="026648A4" w14:textId="77777777" w:rsidR="003467CB" w:rsidRPr="003467CB" w:rsidRDefault="003467CB" w:rsidP="003467CB">
            <w:pPr>
              <w:jc w:val="both"/>
              <w:rPr>
                <w:rFonts w:ascii="Arial" w:hAnsi="Arial" w:cs="Arial"/>
              </w:rPr>
            </w:pPr>
            <w:r w:rsidRPr="003467CB">
              <w:rPr>
                <w:rFonts w:ascii="Arial" w:hAnsi="Arial" w:cs="Arial"/>
              </w:rPr>
              <w:t>NE</w:t>
            </w:r>
          </w:p>
        </w:tc>
      </w:tr>
    </w:tbl>
    <w:p w14:paraId="1C0AAFBD" w14:textId="77777777" w:rsidR="003467CB" w:rsidRPr="003467CB" w:rsidRDefault="003467CB" w:rsidP="003467CB">
      <w:pPr>
        <w:jc w:val="both"/>
        <w:rPr>
          <w:rFonts w:ascii="Arial" w:hAnsi="Arial" w:cs="Arial"/>
        </w:rPr>
      </w:pPr>
    </w:p>
    <w:p w14:paraId="6104AD11" w14:textId="77777777" w:rsidR="003467CB" w:rsidRPr="003467CB" w:rsidRDefault="003467CB" w:rsidP="003467CB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>referentni uslov zahtijeva najmanje tri potvrde, svaka za pojedinačni objekat BRGP ≥ 20.000 m², sa garažom, minimum dvije podrumske etaže i svih osam taksativno navedenih sistema u jednoj jedinstvenoj cjelini, uz kumulativnu vrijednost od 22.000.000,00 € i priznavanje isključivo objekata završenih od 22.06.2021. godine;</w:t>
      </w:r>
    </w:p>
    <w:p w14:paraId="0B7042FD" w14:textId="77777777" w:rsidR="003467CB" w:rsidRPr="003467CB" w:rsidRDefault="003467CB" w:rsidP="003467CB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 xml:space="preserve">postupak procjene uticaja na životnu sredinu je za predmetni zahvat </w:t>
      </w:r>
      <w:r w:rsidRPr="003467CB">
        <w:rPr>
          <w:rFonts w:ascii="Arial" w:hAnsi="Arial" w:cs="Arial"/>
          <w:b/>
          <w:bCs/>
        </w:rPr>
        <w:t>obavezan</w:t>
      </w:r>
      <w:r w:rsidRPr="003467CB">
        <w:rPr>
          <w:rFonts w:ascii="Arial" w:hAnsi="Arial" w:cs="Arial"/>
        </w:rPr>
        <w:t xml:space="preserve"> (akt Agencije za zaštitu životne sredine br. 03-D-1445/2 od 14.05.2026. godine), a </w:t>
      </w:r>
      <w:r w:rsidRPr="003467CB">
        <w:rPr>
          <w:rFonts w:ascii="Arial" w:hAnsi="Arial" w:cs="Arial"/>
          <w:b/>
          <w:bCs/>
        </w:rPr>
        <w:t>nije sproveden</w:t>
      </w:r>
      <w:r w:rsidRPr="003467CB">
        <w:rPr>
          <w:rFonts w:ascii="Arial" w:hAnsi="Arial" w:cs="Arial"/>
        </w:rPr>
        <w:t>;</w:t>
      </w:r>
    </w:p>
    <w:p w14:paraId="6CC6A745" w14:textId="77777777" w:rsidR="003467CB" w:rsidRPr="003467CB" w:rsidRDefault="003467CB" w:rsidP="003467CB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>detaljno hidrogeološko istraživanje šireg područja izvorišta Mareza je u toku, a Tehnički uslovi DOO „Vodovod i kanalizacija“ Podgorica mijenjani su i dopunjavani 22.06.2026. godine — istog dana kada je objavljena tenderska dokumentacija — upravo na osnovu tek Preliminarne hidrogeološke studije;</w:t>
      </w:r>
    </w:p>
    <w:p w14:paraId="1C0BE739" w14:textId="77777777" w:rsidR="003467CB" w:rsidRPr="003467CB" w:rsidRDefault="003467CB" w:rsidP="003467CB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>naručilac ne može odrediti datum uvođenja izvođača u posao, od kojeg teče rok izvođenja od 32 mjeseca i za koji se vezuju avansna i izvođačka garancija;</w:t>
      </w:r>
    </w:p>
    <w:p w14:paraId="0FB23194" w14:textId="77777777" w:rsidR="003467CB" w:rsidRPr="003467CB" w:rsidRDefault="003467CB" w:rsidP="003467CB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>izgradnja Bulevara Velje brdo, na koji se prema Urbanističko-tehničkim uslovima priključuju saobraćajnice i infrastruktura prve faze, predmet je posebne, nezavršene javne nabavke.</w:t>
      </w:r>
    </w:p>
    <w:p w14:paraId="4224B343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  <w:b/>
          <w:bCs/>
        </w:rPr>
        <w:t>III.  REFERENTNI USLOV BRGP ≥ 20.000 m² — NARUČIOČEVA ODBRANA POBIJA SAMU SEBE</w:t>
      </w:r>
    </w:p>
    <w:p w14:paraId="14FDE989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 xml:space="preserve">Naručilac u Odgovoru br. 1 brani referentni uslov tvrdnjom da predmet nabavke „nije projektovanje niti izvođenje pojedinačne stambene građevine, već izrada Glavnog projekta za cjelokupan stambeni kompleks Blok A1“. Ta odbrana, međutim, </w:t>
      </w:r>
      <w:r w:rsidRPr="003467CB">
        <w:rPr>
          <w:rFonts w:ascii="Arial" w:hAnsi="Arial" w:cs="Arial"/>
          <w:b/>
          <w:bCs/>
        </w:rPr>
        <w:t>neposredno pobija parametar koji brani</w:t>
      </w:r>
      <w:r w:rsidRPr="003467CB">
        <w:rPr>
          <w:rFonts w:ascii="Arial" w:hAnsi="Arial" w:cs="Arial"/>
        </w:rPr>
        <w:t xml:space="preserve">. Ako je mjerodavna cjelina kompleks, a ne pojedinačna zgrada — zašto je referentni uslov definisan upravo po </w:t>
      </w:r>
      <w:r w:rsidRPr="003467CB">
        <w:rPr>
          <w:rFonts w:ascii="Arial" w:hAnsi="Arial" w:cs="Arial"/>
          <w:b/>
          <w:bCs/>
        </w:rPr>
        <w:t>pojedinačnom objektu</w:t>
      </w:r>
      <w:r w:rsidRPr="003467CB">
        <w:rPr>
          <w:rFonts w:ascii="Arial" w:hAnsi="Arial" w:cs="Arial"/>
        </w:rPr>
        <w:t>? Naručilac zahtijeva da ponuđač dokaže iskustvo na tri pojedinačne zgrade od kojih je svaka za više od 50% veća od najvećeg objekta koji će ikada biti izgrađen u okviru predmeta nabavke (20.000 m² naspram 13.286,78 m²), i za više od 64% veća od najvećeg objekta prve faze koja se ugovara (12.150,85 m²).</w:t>
      </w:r>
    </w:p>
    <w:p w14:paraId="6BF4D83A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 xml:space="preserve">Time je dokumentovana unutrašnja protivrječnost: parametar „pojedinačni objekat ≥ 20.000 m²“ nema uporište ni u predmetu nabavke posmatranom po objektima (nijedan ne dostiže prag), ni u predmetu posmatranom kao kompleks (jer tada pojedinačni objekat uopšte nije mjerodavna jedinica poređenja). Uslov stručne i tehničke sposobnosti koji nije </w:t>
      </w:r>
      <w:r w:rsidRPr="003467CB">
        <w:rPr>
          <w:rFonts w:ascii="Arial" w:hAnsi="Arial" w:cs="Arial"/>
          <w:b/>
          <w:bCs/>
        </w:rPr>
        <w:t>srazmjeran predmetu nabavke</w:t>
      </w:r>
      <w:r w:rsidRPr="003467CB">
        <w:rPr>
          <w:rFonts w:ascii="Arial" w:hAnsi="Arial" w:cs="Arial"/>
        </w:rPr>
        <w:t xml:space="preserve"> i sa njim </w:t>
      </w:r>
      <w:r w:rsidRPr="003467CB">
        <w:rPr>
          <w:rFonts w:ascii="Arial" w:hAnsi="Arial" w:cs="Arial"/>
          <w:b/>
          <w:bCs/>
        </w:rPr>
        <w:t>objektivno povezan</w:t>
      </w:r>
      <w:r w:rsidRPr="003467CB">
        <w:rPr>
          <w:rFonts w:ascii="Arial" w:hAnsi="Arial" w:cs="Arial"/>
        </w:rPr>
        <w:t xml:space="preserve"> suprotan je članu 12 ZJN (načelo proporcionalnosti) i članu 88 stav 1 ZJN, koji zabranjuje uslove koji imaju za posljedicu ograničavanje konkurencije — pri čemu je test iz člana 88 stav 1 test </w:t>
      </w:r>
      <w:r w:rsidRPr="003467CB">
        <w:rPr>
          <w:rFonts w:ascii="Arial" w:hAnsi="Arial" w:cs="Arial"/>
          <w:b/>
          <w:bCs/>
        </w:rPr>
        <w:t>posljedice</w:t>
      </w:r>
      <w:r w:rsidRPr="003467CB">
        <w:rPr>
          <w:rFonts w:ascii="Arial" w:hAnsi="Arial" w:cs="Arial"/>
        </w:rPr>
        <w:t>, a ne namjere. Isto proizlazi i iz člana 42 Direktive 2014/24/EU, sa kojom je ZJN usklađen u okviru pristupnog procesa Crne Gore.</w:t>
      </w:r>
    </w:p>
    <w:p w14:paraId="2B181066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lastRenderedPageBreak/>
        <w:t xml:space="preserve">Naručiočev argument o „kumulativno propisanim uslovima“ dodatno pogoršava, a ne popravlja, njegov položaj. Kumulativni efekat zahtjeva — pojedinačni objekat ≥ 20.000 m² </w:t>
      </w:r>
      <w:r w:rsidRPr="003467CB">
        <w:rPr>
          <w:rFonts w:ascii="Arial" w:hAnsi="Arial" w:cs="Arial"/>
          <w:b/>
          <w:bCs/>
        </w:rPr>
        <w:t>i</w:t>
      </w:r>
      <w:r w:rsidRPr="003467CB">
        <w:rPr>
          <w:rFonts w:ascii="Arial" w:hAnsi="Arial" w:cs="Arial"/>
        </w:rPr>
        <w:t xml:space="preserve"> garaža sa minimum dvije podrumske etaže </w:t>
      </w:r>
      <w:r w:rsidRPr="003467CB">
        <w:rPr>
          <w:rFonts w:ascii="Arial" w:hAnsi="Arial" w:cs="Arial"/>
          <w:b/>
          <w:bCs/>
        </w:rPr>
        <w:t>i</w:t>
      </w:r>
      <w:r w:rsidRPr="003467CB">
        <w:rPr>
          <w:rFonts w:ascii="Arial" w:hAnsi="Arial" w:cs="Arial"/>
        </w:rPr>
        <w:t xml:space="preserve"> svih osam taksativno navedenih sistema u istoj jedinstvenoj cjelini </w:t>
      </w:r>
      <w:r w:rsidRPr="003467CB">
        <w:rPr>
          <w:rFonts w:ascii="Arial" w:hAnsi="Arial" w:cs="Arial"/>
          <w:b/>
          <w:bCs/>
        </w:rPr>
        <w:t>i</w:t>
      </w:r>
      <w:r w:rsidRPr="003467CB">
        <w:rPr>
          <w:rFonts w:ascii="Arial" w:hAnsi="Arial" w:cs="Arial"/>
        </w:rPr>
        <w:t xml:space="preserve"> završetak nakon 22.06.2021. godine </w:t>
      </w:r>
      <w:r w:rsidRPr="003467CB">
        <w:rPr>
          <w:rFonts w:ascii="Arial" w:hAnsi="Arial" w:cs="Arial"/>
          <w:b/>
          <w:bCs/>
        </w:rPr>
        <w:t>i</w:t>
      </w:r>
      <w:r w:rsidRPr="003467CB">
        <w:rPr>
          <w:rFonts w:ascii="Arial" w:hAnsi="Arial" w:cs="Arial"/>
        </w:rPr>
        <w:t xml:space="preserve"> kumulativna vrijednost od 22.000.000,00 € — sužava krug potencijalnih ponuđača drastično više nego svaki od tih zahtjeva pojedinačno. Upravo kumulativni efekat pojedinačno „razumnih“ zahtjeva predstavlja tipičan mehanizam de facto određivanja unaprijed poznatog kruga ponuđača.</w:t>
      </w:r>
    </w:p>
    <w:p w14:paraId="5539DF1D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  <w:b/>
          <w:bCs/>
        </w:rPr>
        <w:t>IV.  TERET DOKAZIVANJA — NARUČILAC JE PRIZNAO DA NE RASPOLAŽE ANALIZOM</w:t>
      </w:r>
    </w:p>
    <w:p w14:paraId="28312F02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 xml:space="preserve">Na izričit zahtjev da dostavi metodologiju istraživanja tržišta i analize iz člana 82 stav 4 ZJN na osnovu koje su utvrđeni parametar „pojedinačni objekat ≥ 20.000 m²“ i kumulativni prag od 22.000.000,00 €, naručilac u Odgovoru br. 1 (tačka b) </w:t>
      </w:r>
      <w:r w:rsidRPr="003467CB">
        <w:rPr>
          <w:rFonts w:ascii="Arial" w:hAnsi="Arial" w:cs="Arial"/>
          <w:b/>
          <w:bCs/>
        </w:rPr>
        <w:t>nije dostavio nikakvu metodologiju, obračun niti izvor podataka</w:t>
      </w:r>
      <w:r w:rsidRPr="003467CB">
        <w:rPr>
          <w:rFonts w:ascii="Arial" w:hAnsi="Arial" w:cs="Arial"/>
        </w:rPr>
        <w:t xml:space="preserve">, već je ponovio uopštenu formulaciju da je „pošao od prirode, obima i tehničke složenosti predmeta javne nabavke“. Na pitanje koliko privrednih subjekata istovremeno ispunjava sve propisane parametre, naručilac je odgovorio da takvom evidencijom </w:t>
      </w:r>
      <w:r w:rsidRPr="003467CB">
        <w:rPr>
          <w:rFonts w:ascii="Arial" w:hAnsi="Arial" w:cs="Arial"/>
          <w:b/>
          <w:bCs/>
        </w:rPr>
        <w:t>ne raspolaže niti je dužan da raspolaže</w:t>
      </w:r>
      <w:r w:rsidRPr="003467CB">
        <w:rPr>
          <w:rFonts w:ascii="Arial" w:hAnsi="Arial" w:cs="Arial"/>
        </w:rPr>
        <w:t xml:space="preserve"> (tačka c).</w:t>
      </w:r>
    </w:p>
    <w:p w14:paraId="01E5208B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 xml:space="preserve">Ova dva odgovora, uzeta zajedno, imaju odlučujuću procesnu posljedicu: naručilac je </w:t>
      </w:r>
      <w:r w:rsidRPr="003467CB">
        <w:rPr>
          <w:rFonts w:ascii="Arial" w:hAnsi="Arial" w:cs="Arial"/>
          <w:b/>
          <w:bCs/>
        </w:rPr>
        <w:t>priznao da ne zna</w:t>
      </w:r>
      <w:r w:rsidRPr="003467CB">
        <w:rPr>
          <w:rFonts w:ascii="Arial" w:hAnsi="Arial" w:cs="Arial"/>
        </w:rPr>
        <w:t xml:space="preserve"> — i da nije ni provjeravao — da li propisane uslove uopšte može ispuniti više od jednog privrednog subjekta, odnosno bilo koji privredni subjekat na relevantnom tržištu. Naručilac koji ne raspolaže nikakvim saznanjem o efektu svojih uslova na konkurenciju ne može tvrditi da su ti uslovi proporcionalni i da ne ograničavaju konkurenciju: takva tvrdnja bez podloge nije ocjena, već pretpostavka. Uopštena pozivanja na „prirodu, obim i složenost“ ne mogu zamijeniti dokumentovanu analizu; u suprotnom bi svaki, i najrestriktivniji uslov, bio imun na kontrolu pukim ponavljanjem iste formule.</w:t>
      </w:r>
    </w:p>
    <w:p w14:paraId="4E1E2C8B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  <w:b/>
          <w:bCs/>
        </w:rPr>
        <w:t>V.  KADROVSKI USLOVI — IZVEDENA DISKRIMINACIJA I NESRAZMJERNOST</w:t>
      </w:r>
    </w:p>
    <w:p w14:paraId="769FA53D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 xml:space="preserve">Pojedinačni referentni uslovi za četiri ključna stručna lica (vodeći projektant, odgovorni projektant konstruktivnog smjera, odgovorni projektant mašinstva, rukovodilac građenja) vezani su za </w:t>
      </w:r>
      <w:r w:rsidRPr="003467CB">
        <w:rPr>
          <w:rFonts w:ascii="Arial" w:hAnsi="Arial" w:cs="Arial"/>
          <w:b/>
          <w:bCs/>
        </w:rPr>
        <w:t>isti parametar</w:t>
      </w:r>
      <w:r w:rsidRPr="003467CB">
        <w:rPr>
          <w:rFonts w:ascii="Arial" w:hAnsi="Arial" w:cs="Arial"/>
        </w:rPr>
        <w:t xml:space="preserve"> — objekat BRGP ≥ 20.000 m² sa istovjetnim garažnim sistemima — čija je neusklađenost sa predmetom nabavke dokumentovana u odjeljku III. Nepravilnost osnovnog parametra prenosi se, po prirodi stvari, i na sve uslove koji su iz njega izvedeni: od stručnih lica se zahtijeva iskustvo na objektima kakvi u predmetu nabavke ne postoje.</w:t>
      </w:r>
    </w:p>
    <w:p w14:paraId="659316B6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>Naručilac u Odgovoru br. 2 (tačka b) potvrđuje da se ispunjenost svih 26 kadrovskih uslova zahtijeva već u trenutku podnošenja ponude, uključujući stručna lica koja se, prema njegovom sopstvenom opisu dinamike realizacije, angažuju tek u kasnijim fazama izvršenja ugovora — nakon revizije Glavnog projekta i izdavanja građevinske dozvole. Zahtjev da ponuđač na dan podnošenja ponude dokaže raspolaganje kompletnim kadrom potrebnim tek za docnije faze 36-mjesečnog ugovora prekoračuje ono što je nužno za ocjenu sposobnosti (član 12 ZJN) i nesrazmjerno opterećuje upravo konzorcijume i specijalizovane subjekte na čije se pravo učešća naručilac u Odgovoru br. 2 (tačka a) formalno poziva. Direktiva 2014/24/EU u članu 58 stav 4 izričito dopušta da se raspolaganje resursima za izvršenje ugovora dokazuje obavezom njihove raspoloživosti tokom izvršenja — a ne isključivo posjedovanjem na dan podnošenja ponude.</w:t>
      </w:r>
    </w:p>
    <w:p w14:paraId="56DB2034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  <w:b/>
          <w:bCs/>
        </w:rPr>
        <w:t>VI.  NEODREDIVOST PREDMETA I PRENOS NEKVANTIFIKOVANIH RIZIKA NA PONUĐAČE</w:t>
      </w:r>
    </w:p>
    <w:p w14:paraId="2F6F4DCC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lastRenderedPageBreak/>
        <w:t xml:space="preserve">Odgovori br. 4, 5 i 6, posmatrani kumulativno, dokumentuju da u trenutku isteka roka za podnošenje ponuda ponuđači </w:t>
      </w:r>
      <w:r w:rsidRPr="003467CB">
        <w:rPr>
          <w:rFonts w:ascii="Arial" w:hAnsi="Arial" w:cs="Arial"/>
          <w:b/>
          <w:bCs/>
        </w:rPr>
        <w:t>objektivno ne mogu racionalno formirati ni cijenu ni rokove</w:t>
      </w:r>
      <w:r w:rsidRPr="003467CB">
        <w:rPr>
          <w:rFonts w:ascii="Arial" w:hAnsi="Arial" w:cs="Arial"/>
        </w:rPr>
        <w:t xml:space="preserve"> za 36-mjesečni ugovor „projektuj i izgradi“, i to iz razloga koje je naručilac sam potvrdio ili odbio da otkloni:</w:t>
      </w:r>
    </w:p>
    <w:p w14:paraId="5C085BF5" w14:textId="77777777" w:rsidR="003467CB" w:rsidRPr="003467CB" w:rsidRDefault="003467CB" w:rsidP="003467CB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3467CB">
        <w:rPr>
          <w:rFonts w:ascii="Arial" w:hAnsi="Arial" w:cs="Arial"/>
          <w:b/>
          <w:bCs/>
        </w:rPr>
        <w:t xml:space="preserve">Vodosnabdijevanje: </w:t>
      </w:r>
      <w:r w:rsidRPr="003467CB">
        <w:rPr>
          <w:rFonts w:ascii="Arial" w:hAnsi="Arial" w:cs="Arial"/>
        </w:rPr>
        <w:t xml:space="preserve">naručilac potvrđuje da su Tehnički uslovi mijenjani 22.06.2026. godine na osnovu tek Preliminarne hidrogeološke studije, dok je detaljno istraživanje izvorišta Mareza u toku. Na precizno pitanje u koju zonu sanitarne zaštite izvorišta (II ili III) lokacija potpada — okolnost od koje neposredno zavisi dopuštenost i obim izgradnje, uključujući podzemne garaže kapaciteta cca 1.236 vozila — naručilac je </w:t>
      </w:r>
      <w:r w:rsidRPr="003467CB">
        <w:rPr>
          <w:rFonts w:ascii="Arial" w:hAnsi="Arial" w:cs="Arial"/>
          <w:b/>
          <w:bCs/>
        </w:rPr>
        <w:t>odbio da odgovori</w:t>
      </w:r>
      <w:r w:rsidRPr="003467CB">
        <w:rPr>
          <w:rFonts w:ascii="Arial" w:hAnsi="Arial" w:cs="Arial"/>
        </w:rPr>
        <w:t>, uz obrazloženje da „nije nadležan“. Ponuđač, dakle, treba da ponudi fiksnu cijenu za zahvat čiji pravni režim zaštite izvorišta ni sam naručilac ne želi ili ne može da imenuje.</w:t>
      </w:r>
    </w:p>
    <w:p w14:paraId="47BC9F78" w14:textId="77777777" w:rsidR="003467CB" w:rsidRPr="003467CB" w:rsidRDefault="003467CB" w:rsidP="003467CB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3467CB">
        <w:rPr>
          <w:rFonts w:ascii="Arial" w:hAnsi="Arial" w:cs="Arial"/>
          <w:b/>
          <w:bCs/>
        </w:rPr>
        <w:t xml:space="preserve">Procjena uticaja na životnu sredinu: </w:t>
      </w:r>
      <w:r w:rsidRPr="003467CB">
        <w:rPr>
          <w:rFonts w:ascii="Arial" w:hAnsi="Arial" w:cs="Arial"/>
        </w:rPr>
        <w:t xml:space="preserve">naručilac potvrđuje da je postupak procjene uticaja obavezan i da nije sproveden, te da će biti „realizovan u okviru realizacije projekta“. Na pitanje o posljedicama po obim, cijenu i rokove ugovora ukoliko procjena naloži izmjene rješenja ili utvrdi da lokacija nije podobna — uključujući izričitu odredbu Urbanističko-tehničkih uslova prema kojoj se izgradnja ne dozvoljava ako geotehnička i seizmička ispitivanja pokažu rizik — naručilac </w:t>
      </w:r>
      <w:r w:rsidRPr="003467CB">
        <w:rPr>
          <w:rFonts w:ascii="Arial" w:hAnsi="Arial" w:cs="Arial"/>
          <w:b/>
          <w:bCs/>
        </w:rPr>
        <w:t>nije dao nikakav odgovor</w:t>
      </w:r>
      <w:r w:rsidRPr="003467CB">
        <w:rPr>
          <w:rFonts w:ascii="Arial" w:hAnsi="Arial" w:cs="Arial"/>
        </w:rPr>
        <w:t>. Rizik ishoda obaveznog upravnog postupka, koji po samoj prirodi stvari može obesmisliti ili bitno izmijeniti predmet ugovora, prenesen je na ponuđače bez ikakvog mehanizma kvantifikacije.</w:t>
      </w:r>
    </w:p>
    <w:p w14:paraId="2A3E93CA" w14:textId="77777777" w:rsidR="003467CB" w:rsidRPr="003467CB" w:rsidRDefault="003467CB" w:rsidP="003467CB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3467CB">
        <w:rPr>
          <w:rFonts w:ascii="Arial" w:hAnsi="Arial" w:cs="Arial"/>
          <w:b/>
          <w:bCs/>
        </w:rPr>
        <w:t xml:space="preserve">Uvođenje u posao: </w:t>
      </w:r>
      <w:r w:rsidRPr="003467CB">
        <w:rPr>
          <w:rFonts w:ascii="Arial" w:hAnsi="Arial" w:cs="Arial"/>
        </w:rPr>
        <w:t>naručilac potvrđuje da datum uvođenja izvođača u posao nije odrediv, a od tog datuma teku rok izvođenja od 32 mjeseca i obaveze po osnovu garancija. Ponuđač je time izložen vremenski neograničenom riziku držanja garancija i resursa, koji nije moguće ukalkulisati u cijenu.</w:t>
      </w:r>
    </w:p>
    <w:p w14:paraId="3DB87404" w14:textId="77777777" w:rsidR="003467CB" w:rsidRPr="003467CB" w:rsidRDefault="003467CB" w:rsidP="003467CB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3467CB">
        <w:rPr>
          <w:rFonts w:ascii="Arial" w:hAnsi="Arial" w:cs="Arial"/>
          <w:b/>
          <w:bCs/>
        </w:rPr>
        <w:t xml:space="preserve">Bulevar Velje brdo: </w:t>
      </w:r>
      <w:r w:rsidRPr="003467CB">
        <w:rPr>
          <w:rFonts w:ascii="Arial" w:hAnsi="Arial" w:cs="Arial"/>
        </w:rPr>
        <w:t>naručilac tvrdi da izgradnja Bulevara „ne utiče na odredivost predmeta“, iako prema Urbanističko-tehničkim uslovima — koji su sastavni dio iste tenderske dokumentacije — upravo Bulevar predstavlja primarnu saobraćajnicu i tačku elektroenergetskog i vodovodnog priključenja prve faze. Tvrdnja iz Pojašnjenja u direktnoj je suprotnosti sa sadržinom sopstvene tenderske dokumentacije.</w:t>
      </w:r>
    </w:p>
    <w:p w14:paraId="684789CE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 xml:space="preserve">Ovakvo stanje tenderske dokumentacije suprotno je zahtjevu odredivosti predmeta nabavke i načelu ekonomičnosti i efikasnosti iz člana 7 ZJN, a proizvodi i posljedicu po jednak tretman: u uslovima ovolike neizvjesnosti, racionalnu ponudu može formirati samo subjekat koji raspolaže informacijama kojima drugi ponuđači ne raspolažu. Ta posljedica dobija posebnu težinu imajući u vidu da naručilac u Odgovoru br. 3 (tačka b) </w:t>
      </w:r>
      <w:r w:rsidRPr="003467CB">
        <w:rPr>
          <w:rFonts w:ascii="Arial" w:hAnsi="Arial" w:cs="Arial"/>
          <w:b/>
          <w:bCs/>
        </w:rPr>
        <w:t>nije odgovorio</w:t>
      </w:r>
      <w:r w:rsidRPr="003467CB">
        <w:rPr>
          <w:rFonts w:ascii="Arial" w:hAnsi="Arial" w:cs="Arial"/>
        </w:rPr>
        <w:t xml:space="preserve"> na izričito pitanje koje je konkretne mjere preduzeo radi sprječavanja informacione prednosti autora idejnog rješenja i sa njima povezanih lica — mjere čije preduzimanje i dokumentovanje predviđa i član 41 Direktive 2014/24/EU — već je samo parafrazirao zakonsku obavezu čije se izvršenje upravo i provjerava.</w:t>
      </w:r>
    </w:p>
    <w:p w14:paraId="1B7E8133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  <w:b/>
          <w:bCs/>
        </w:rPr>
        <w:t>VII.  PROCIJENJENA VRIJEDNOST — ODBIJANJE DOSTAVLJANJA METODOLOGIJE</w:t>
      </w:r>
    </w:p>
    <w:p w14:paraId="5F2F4171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 xml:space="preserve">Na zahtjev da dostavi metodologiju utvrđivanja procijenjene vrijednosti od 40.100.000,00 € bez PDV-a, sa osvrtom na to da li su i u kom obimu u nju uključeni rizici koji se tenderskom dokumentacijom prenose na izvođača (vodosnabdijevanje, zaštita izvorišta, procjena uticaja, hidrogeološka i geotehnička istraživanja, zavisnost od neizgrađene primarne saobraćajnice), naručilac u Odgovoru br. 7 nije dostavio ni metodologiju ni odgovor na pitanje o obuhvatu rizika, već je naveo da ZJN „ne propisuje obavezu” dostavljanja obračuna. Time je pitanje da li </w:t>
      </w:r>
      <w:r w:rsidRPr="003467CB">
        <w:rPr>
          <w:rFonts w:ascii="Arial" w:hAnsi="Arial" w:cs="Arial"/>
        </w:rPr>
        <w:lastRenderedPageBreak/>
        <w:t>procijenjena vrijednost uopšte obuhvata rizike opisane u odjeljku VI ostalo bez odgovora — a upravo od tog pitanja zavisi realnost procijenjene vrijednosti i uporedivost budućih ponuda.</w:t>
      </w:r>
    </w:p>
    <w:p w14:paraId="32EE6391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  <w:b/>
          <w:bCs/>
        </w:rPr>
        <w:t>VIII.  RAZLOZI ZBOG KOJIH JE NEPRAVILNOSTI NEOPHODNO OTKLONITI</w:t>
      </w:r>
    </w:p>
    <w:p w14:paraId="7E6E9181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>Iz svega navedenog proizlazi da tenderska dokumentacija u sadašnjem obliku sadrži nepravilnosti čije je otklanjanje neophodno radi obezbjeđenja konkurencije, jednakog tretmana i odredivosti predmeta nabavke, i to:</w:t>
      </w:r>
    </w:p>
    <w:p w14:paraId="72D10E47" w14:textId="77777777" w:rsidR="003467CB" w:rsidRPr="003467CB" w:rsidRDefault="003467CB" w:rsidP="003467CB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>referentni uslov za privredni subjekat definisan po pojedinačnom objektu BRGP ≥ 20.000 m² nije objektivno povezan sa predmetom nabavke niti mu je proporcionalan, budući da nijedan objekat u okviru predmeta nabavke ne dostiže ni približno taj prag, a naručilac ne raspolaže analizom iz člana 82 stav 4 ZJN koja bi ga opravdala (povreda čl. 10, 12 i 88 st. 1 ZJN);</w:t>
      </w:r>
    </w:p>
    <w:p w14:paraId="591DA2EB" w14:textId="77777777" w:rsidR="003467CB" w:rsidRPr="003467CB" w:rsidRDefault="003467CB" w:rsidP="003467CB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>pojedinačni referentni uslovi za ključna stručna lica izvedeni su iz istog neusklađenog parametra i dijele njegovu nepravilnost;</w:t>
      </w:r>
    </w:p>
    <w:p w14:paraId="60FFE537" w14:textId="77777777" w:rsidR="003467CB" w:rsidRPr="003467CB" w:rsidRDefault="003467CB" w:rsidP="003467CB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>zahtjev da se svih 26 kadrovskih uslova dokaže u trenutku podnošenja ponude, uključujući kadar potreban tek u docnijim fazama izvršenja, prekoračuje mjeru nužnu za ocjenu sposobnosti (povreda člana 12 ZJN);</w:t>
      </w:r>
    </w:p>
    <w:p w14:paraId="540952A2" w14:textId="77777777" w:rsidR="003467CB" w:rsidRPr="003467CB" w:rsidRDefault="003467CB" w:rsidP="003467CB">
      <w:pPr>
        <w:numPr>
          <w:ilvl w:val="0"/>
          <w:numId w:val="3"/>
        </w:num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>predmet nabavke nije odrediv u mjeri koja omogućava racionalno formiranje cijene i rokova, jer ključni preduslovi zahvata (režim zone sanitarne zaštite izvorišta Mareza, ishod obavezne procjene uticaja na životnu sredinu, rezultati hidrogeoloških i geotehničkih istraživanja, datum uvođenja u posao, izgradnja Bulevara Velje brdo) u trenutku podnošenja ponuda nijesu utvrđeni (povreda člana 7 ZJN), čime se ujedno stvara strukturna informaciona prednost u korist lica koja su učestvovala u pripremi postupka, bez dokumentovanih mjera zaštite jednakog tretmana.</w:t>
      </w:r>
    </w:p>
    <w:p w14:paraId="04B40106" w14:textId="77777777" w:rsidR="003467CB" w:rsidRP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>Zainteresovano lice predlaže da naručilac, u skladu sa članom 94 ZJN, izmijeni tendersku dokumentaciju tako da se navedene nepravilnosti otklone, pri čemu — saglasno članu 94 stav 5 ZJN — izbor konkretnog načina otklanjanja pripada naručiocu. Zainteresovano lice ukazuje da otklanjanje nepravilnosti podrazumijeva, u pogledu uslova sposobnosti, njihovo usklađivanje sa stvarnim tehničkim karakteristikama predmeta nabavke dokumentovanim u odjeljku II, a u pogledu odredivosti predmeta — usklađivanje dinamike postupka sa okončanjem obaveznih prethodnih postupaka i istraživanja, odnosno jasnu alokaciju i kvantifikaciju rizika koji se prenose na izvođača.</w:t>
      </w:r>
    </w:p>
    <w:p w14:paraId="0897F370" w14:textId="77777777" w:rsidR="003467CB" w:rsidRDefault="003467CB" w:rsidP="003467CB">
      <w:pPr>
        <w:jc w:val="both"/>
        <w:rPr>
          <w:rFonts w:ascii="Arial" w:hAnsi="Arial" w:cs="Arial"/>
        </w:rPr>
      </w:pPr>
      <w:r w:rsidRPr="003467CB">
        <w:rPr>
          <w:rFonts w:ascii="Arial" w:hAnsi="Arial" w:cs="Arial"/>
        </w:rPr>
        <w:t>Naručilac je dužan da o ovom predlogu odluči u roku od tri dana od dana prijema, u skladu sa članom 94 stav 6 ZJN. Ukoliko nepravilnosti ne budu otklonjene, zainteresovano lice će iskoristiti pravo na izjavljivanje žalbe Komisiji za zaštitu prava u postupcima javnih nabavki, u skladu sa članom 185 stav 3 tačka 1 ZJN.</w:t>
      </w:r>
    </w:p>
    <w:p w14:paraId="417EAE5B" w14:textId="000DEACC" w:rsidR="003467CB" w:rsidRPr="003467CB" w:rsidRDefault="003467CB" w:rsidP="003467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Odgovor: Naručilac neće vršiti izmjenu tenderske dokumentacije i upućuje da je odgovore na postavljena pitanja dao </w:t>
      </w:r>
      <w:r w:rsidRPr="003467CB">
        <w:rPr>
          <w:rFonts w:ascii="Arial" w:hAnsi="Arial" w:cs="Arial"/>
        </w:rPr>
        <w:t>Pojašnjenje</w:t>
      </w:r>
      <w:r>
        <w:rPr>
          <w:rFonts w:ascii="Arial" w:hAnsi="Arial" w:cs="Arial"/>
        </w:rPr>
        <w:t xml:space="preserve">m </w:t>
      </w:r>
      <w:r w:rsidRPr="003467CB">
        <w:rPr>
          <w:rFonts w:ascii="Arial" w:hAnsi="Arial" w:cs="Arial"/>
        </w:rPr>
        <w:t>tenderske dokumentacije broj 04-426/26-2437/1 od 02.07.2026. godine</w:t>
      </w:r>
    </w:p>
    <w:p w14:paraId="2D8FCB69" w14:textId="4862C244" w:rsidR="00880AC0" w:rsidRPr="00A31CB1" w:rsidRDefault="00880AC0" w:rsidP="003467CB">
      <w:pPr>
        <w:jc w:val="both"/>
        <w:rPr>
          <w:rFonts w:ascii="Arial" w:hAnsi="Arial" w:cs="Arial"/>
          <w:bCs/>
          <w:lang w:val="sr-Latn-ME"/>
        </w:rPr>
      </w:pPr>
    </w:p>
    <w:p w14:paraId="2B90C53A" w14:textId="10926CB6" w:rsidR="00875206" w:rsidRPr="00A31CB1" w:rsidRDefault="00875206" w:rsidP="0034168D">
      <w:pPr>
        <w:tabs>
          <w:tab w:val="left" w:pos="7236"/>
        </w:tabs>
        <w:rPr>
          <w:rFonts w:ascii="Arial" w:hAnsi="Arial" w:cs="Arial"/>
        </w:rPr>
      </w:pPr>
      <w:r w:rsidRPr="00A31CB1">
        <w:rPr>
          <w:rFonts w:ascii="Arial" w:hAnsi="Arial" w:cs="Arial"/>
        </w:rPr>
        <w:t xml:space="preserve">                                                                                                      </w:t>
      </w:r>
      <w:r w:rsidR="00BA6A55" w:rsidRPr="00A31CB1">
        <w:rPr>
          <w:rFonts w:ascii="Arial" w:hAnsi="Arial" w:cs="Arial"/>
        </w:rPr>
        <w:t xml:space="preserve">  </w:t>
      </w:r>
      <w:r w:rsidRPr="00A31CB1">
        <w:rPr>
          <w:rFonts w:ascii="Arial" w:hAnsi="Arial" w:cs="Arial"/>
        </w:rPr>
        <w:t xml:space="preserve"> Predsjednik Komisije</w:t>
      </w:r>
    </w:p>
    <w:p w14:paraId="346CB8E6" w14:textId="78EB2E2F" w:rsidR="000D1568" w:rsidRPr="00A31CB1" w:rsidRDefault="00A31CB1" w:rsidP="00875206">
      <w:pPr>
        <w:tabs>
          <w:tab w:val="left" w:pos="71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</w:t>
      </w:r>
      <w:r w:rsidR="00875206" w:rsidRPr="00A31CB1">
        <w:rPr>
          <w:rFonts w:ascii="Arial" w:hAnsi="Arial" w:cs="Arial"/>
        </w:rPr>
        <w:t xml:space="preserve">  </w:t>
      </w:r>
      <w:r w:rsidR="00880AC0" w:rsidRPr="00A31CB1">
        <w:rPr>
          <w:rFonts w:ascii="Arial" w:hAnsi="Arial" w:cs="Arial"/>
        </w:rPr>
        <w:t>Milica Vukčević</w:t>
      </w:r>
      <w:r w:rsidR="003467CB">
        <w:rPr>
          <w:rFonts w:ascii="Arial" w:hAnsi="Arial" w:cs="Arial"/>
        </w:rPr>
        <w:t>, s.r.</w:t>
      </w:r>
    </w:p>
    <w:sectPr w:rsidR="000D1568" w:rsidRPr="00A31CB1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E8C699" w14:textId="77777777" w:rsidR="00934786" w:rsidRDefault="00934786" w:rsidP="009E587D">
      <w:pPr>
        <w:spacing w:after="0" w:line="240" w:lineRule="auto"/>
      </w:pPr>
      <w:r>
        <w:separator/>
      </w:r>
    </w:p>
  </w:endnote>
  <w:endnote w:type="continuationSeparator" w:id="0">
    <w:p w14:paraId="752E6BC0" w14:textId="77777777" w:rsidR="00934786" w:rsidRDefault="00934786" w:rsidP="009E5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0021784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ECFA53C" w14:textId="7662EB14" w:rsidR="009E587D" w:rsidRDefault="009E587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93D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B97976A" w14:textId="77777777" w:rsidR="009E587D" w:rsidRDefault="009E587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4938D0" w14:textId="77777777" w:rsidR="00934786" w:rsidRDefault="00934786" w:rsidP="009E587D">
      <w:pPr>
        <w:spacing w:after="0" w:line="240" w:lineRule="auto"/>
      </w:pPr>
      <w:r>
        <w:separator/>
      </w:r>
    </w:p>
  </w:footnote>
  <w:footnote w:type="continuationSeparator" w:id="0">
    <w:p w14:paraId="55C9F44E" w14:textId="77777777" w:rsidR="00934786" w:rsidRDefault="00934786" w:rsidP="009E5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A043A2"/>
    <w:multiLevelType w:val="hybridMultilevel"/>
    <w:tmpl w:val="DD44F6D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6D674BE"/>
    <w:multiLevelType w:val="hybridMultilevel"/>
    <w:tmpl w:val="85BAC1C8"/>
    <w:lvl w:ilvl="0" w:tplc="1FA8F25E">
      <w:start w:val="3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9545080"/>
    <w:multiLevelType w:val="hybridMultilevel"/>
    <w:tmpl w:val="EFCAC660"/>
    <w:lvl w:ilvl="0" w:tplc="F1284604">
      <w:start w:val="1"/>
      <w:numFmt w:val="bullet"/>
      <w:lvlText w:val="–"/>
      <w:lvlJc w:val="left"/>
      <w:pPr>
        <w:ind w:left="420" w:hanging="280"/>
      </w:pPr>
    </w:lvl>
    <w:lvl w:ilvl="1" w:tplc="946EB2EE">
      <w:numFmt w:val="decimal"/>
      <w:lvlText w:val=""/>
      <w:lvlJc w:val="left"/>
      <w:pPr>
        <w:ind w:left="0" w:firstLine="0"/>
      </w:pPr>
    </w:lvl>
    <w:lvl w:ilvl="2" w:tplc="E4C01AFE">
      <w:numFmt w:val="decimal"/>
      <w:lvlText w:val=""/>
      <w:lvlJc w:val="left"/>
      <w:pPr>
        <w:ind w:left="0" w:firstLine="0"/>
      </w:pPr>
    </w:lvl>
    <w:lvl w:ilvl="3" w:tplc="F468BDB4">
      <w:numFmt w:val="decimal"/>
      <w:lvlText w:val=""/>
      <w:lvlJc w:val="left"/>
      <w:pPr>
        <w:ind w:left="0" w:firstLine="0"/>
      </w:pPr>
    </w:lvl>
    <w:lvl w:ilvl="4" w:tplc="16F4F9FA">
      <w:numFmt w:val="decimal"/>
      <w:lvlText w:val=""/>
      <w:lvlJc w:val="left"/>
      <w:pPr>
        <w:ind w:left="0" w:firstLine="0"/>
      </w:pPr>
    </w:lvl>
    <w:lvl w:ilvl="5" w:tplc="74FA3F30">
      <w:numFmt w:val="decimal"/>
      <w:lvlText w:val=""/>
      <w:lvlJc w:val="left"/>
      <w:pPr>
        <w:ind w:left="0" w:firstLine="0"/>
      </w:pPr>
    </w:lvl>
    <w:lvl w:ilvl="6" w:tplc="89F02AF6">
      <w:numFmt w:val="decimal"/>
      <w:lvlText w:val=""/>
      <w:lvlJc w:val="left"/>
      <w:pPr>
        <w:ind w:left="0" w:firstLine="0"/>
      </w:pPr>
    </w:lvl>
    <w:lvl w:ilvl="7" w:tplc="8FD8CEE2">
      <w:numFmt w:val="decimal"/>
      <w:lvlText w:val=""/>
      <w:lvlJc w:val="left"/>
      <w:pPr>
        <w:ind w:left="0" w:firstLine="0"/>
      </w:pPr>
    </w:lvl>
    <w:lvl w:ilvl="8" w:tplc="36A83B42">
      <w:numFmt w:val="decimal"/>
      <w:lvlText w:val=""/>
      <w:lvlJc w:val="left"/>
      <w:pPr>
        <w:ind w:left="0" w:firstLine="0"/>
      </w:pPr>
    </w:lvl>
  </w:abstractNum>
  <w:num w:numId="1" w16cid:durableId="1611743096">
    <w:abstractNumId w:val="0"/>
  </w:num>
  <w:num w:numId="2" w16cid:durableId="1589997614">
    <w:abstractNumId w:val="1"/>
  </w:num>
  <w:num w:numId="3" w16cid:durableId="1216283678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239C"/>
    <w:rsid w:val="00026DFB"/>
    <w:rsid w:val="00040638"/>
    <w:rsid w:val="00044DA7"/>
    <w:rsid w:val="0007674E"/>
    <w:rsid w:val="00076F89"/>
    <w:rsid w:val="0009014B"/>
    <w:rsid w:val="00094865"/>
    <w:rsid w:val="000A1795"/>
    <w:rsid w:val="000D1568"/>
    <w:rsid w:val="00121115"/>
    <w:rsid w:val="00142AE5"/>
    <w:rsid w:val="00175814"/>
    <w:rsid w:val="0019089B"/>
    <w:rsid w:val="00193D53"/>
    <w:rsid w:val="001A67AD"/>
    <w:rsid w:val="001D733C"/>
    <w:rsid w:val="00255C20"/>
    <w:rsid w:val="00284A15"/>
    <w:rsid w:val="002851D5"/>
    <w:rsid w:val="003103EE"/>
    <w:rsid w:val="0033131C"/>
    <w:rsid w:val="0034168D"/>
    <w:rsid w:val="003467CB"/>
    <w:rsid w:val="00360A64"/>
    <w:rsid w:val="003957A9"/>
    <w:rsid w:val="003D57A9"/>
    <w:rsid w:val="003D6431"/>
    <w:rsid w:val="004522EA"/>
    <w:rsid w:val="00456742"/>
    <w:rsid w:val="00492C25"/>
    <w:rsid w:val="004A5883"/>
    <w:rsid w:val="004F3CCF"/>
    <w:rsid w:val="005168D7"/>
    <w:rsid w:val="00527843"/>
    <w:rsid w:val="00555FD7"/>
    <w:rsid w:val="00576505"/>
    <w:rsid w:val="005A58C6"/>
    <w:rsid w:val="005C7F45"/>
    <w:rsid w:val="005E57AE"/>
    <w:rsid w:val="005F315A"/>
    <w:rsid w:val="00625975"/>
    <w:rsid w:val="006357AE"/>
    <w:rsid w:val="006414C5"/>
    <w:rsid w:val="00671259"/>
    <w:rsid w:val="00673782"/>
    <w:rsid w:val="006B12DC"/>
    <w:rsid w:val="006F6456"/>
    <w:rsid w:val="00731510"/>
    <w:rsid w:val="0073163A"/>
    <w:rsid w:val="00734B1D"/>
    <w:rsid w:val="0073561D"/>
    <w:rsid w:val="007550DF"/>
    <w:rsid w:val="007564A7"/>
    <w:rsid w:val="00761BA7"/>
    <w:rsid w:val="00766CBB"/>
    <w:rsid w:val="00780FD9"/>
    <w:rsid w:val="007941DD"/>
    <w:rsid w:val="007F111B"/>
    <w:rsid w:val="007F3925"/>
    <w:rsid w:val="008140FD"/>
    <w:rsid w:val="0083614C"/>
    <w:rsid w:val="00846F54"/>
    <w:rsid w:val="0087182D"/>
    <w:rsid w:val="00875206"/>
    <w:rsid w:val="00880AC0"/>
    <w:rsid w:val="00894748"/>
    <w:rsid w:val="008D1C85"/>
    <w:rsid w:val="008D58F1"/>
    <w:rsid w:val="008D7808"/>
    <w:rsid w:val="008E08E0"/>
    <w:rsid w:val="008F1F48"/>
    <w:rsid w:val="00907C3D"/>
    <w:rsid w:val="00926591"/>
    <w:rsid w:val="00934786"/>
    <w:rsid w:val="0094435E"/>
    <w:rsid w:val="00961360"/>
    <w:rsid w:val="0096532D"/>
    <w:rsid w:val="00973584"/>
    <w:rsid w:val="0098263C"/>
    <w:rsid w:val="00983EF5"/>
    <w:rsid w:val="00997BD2"/>
    <w:rsid w:val="009B1771"/>
    <w:rsid w:val="009E1BF5"/>
    <w:rsid w:val="009E239C"/>
    <w:rsid w:val="009E587D"/>
    <w:rsid w:val="009F4872"/>
    <w:rsid w:val="009F699E"/>
    <w:rsid w:val="00A25A37"/>
    <w:rsid w:val="00A25E0F"/>
    <w:rsid w:val="00A31CB1"/>
    <w:rsid w:val="00A5084E"/>
    <w:rsid w:val="00A60E9F"/>
    <w:rsid w:val="00A752D8"/>
    <w:rsid w:val="00A91A35"/>
    <w:rsid w:val="00AD5419"/>
    <w:rsid w:val="00B13278"/>
    <w:rsid w:val="00B22BC5"/>
    <w:rsid w:val="00B32E60"/>
    <w:rsid w:val="00B354C6"/>
    <w:rsid w:val="00B4073F"/>
    <w:rsid w:val="00B66023"/>
    <w:rsid w:val="00B668C5"/>
    <w:rsid w:val="00B7054B"/>
    <w:rsid w:val="00B71AFD"/>
    <w:rsid w:val="00B95030"/>
    <w:rsid w:val="00BA6A55"/>
    <w:rsid w:val="00BD0F1A"/>
    <w:rsid w:val="00BD3DC3"/>
    <w:rsid w:val="00BE2745"/>
    <w:rsid w:val="00C474C3"/>
    <w:rsid w:val="00CA06BE"/>
    <w:rsid w:val="00CC582C"/>
    <w:rsid w:val="00CE50B3"/>
    <w:rsid w:val="00CF3809"/>
    <w:rsid w:val="00D417B2"/>
    <w:rsid w:val="00D420D6"/>
    <w:rsid w:val="00D60B36"/>
    <w:rsid w:val="00DB0D28"/>
    <w:rsid w:val="00DC0209"/>
    <w:rsid w:val="00DE12C7"/>
    <w:rsid w:val="00E06E48"/>
    <w:rsid w:val="00E151D9"/>
    <w:rsid w:val="00E47E44"/>
    <w:rsid w:val="00E92EFC"/>
    <w:rsid w:val="00E92FEA"/>
    <w:rsid w:val="00EA1B67"/>
    <w:rsid w:val="00EB01C8"/>
    <w:rsid w:val="00EB65CC"/>
    <w:rsid w:val="00ED20CA"/>
    <w:rsid w:val="00ED3CF2"/>
    <w:rsid w:val="00EE3CF4"/>
    <w:rsid w:val="00F0151C"/>
    <w:rsid w:val="00F047EC"/>
    <w:rsid w:val="00F5799E"/>
    <w:rsid w:val="00F877F5"/>
    <w:rsid w:val="00F951AB"/>
    <w:rsid w:val="00FC25DE"/>
    <w:rsid w:val="00FD6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EF24B"/>
  <w15:chartTrackingRefBased/>
  <w15:docId w15:val="{62F441C2-D53A-4AD1-8186-B7702DD650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75206"/>
    <w:pPr>
      <w:spacing w:after="0" w:line="240" w:lineRule="auto"/>
    </w:pPr>
  </w:style>
  <w:style w:type="character" w:customStyle="1" w:styleId="ListParagraphChar">
    <w:name w:val="List Paragraph Char"/>
    <w:aliases w:val="Liste 1 Char,List Paragraph1 Char"/>
    <w:link w:val="ListParagraph"/>
    <w:uiPriority w:val="34"/>
    <w:locked/>
    <w:rsid w:val="00CA06BE"/>
    <w:rPr>
      <w:rFonts w:ascii="Calibri" w:eastAsia="Calibri" w:hAnsi="Calibri" w:cs="Times New Roman"/>
      <w:lang w:val="bs-Latn-BA"/>
    </w:rPr>
  </w:style>
  <w:style w:type="paragraph" w:styleId="ListParagraph">
    <w:name w:val="List Paragraph"/>
    <w:aliases w:val="Liste 1,List Paragraph1"/>
    <w:basedOn w:val="Normal"/>
    <w:link w:val="ListParagraphChar"/>
    <w:uiPriority w:val="34"/>
    <w:qFormat/>
    <w:rsid w:val="00CA06BE"/>
    <w:pPr>
      <w:spacing w:after="200" w:line="276" w:lineRule="auto"/>
      <w:ind w:left="720"/>
      <w:contextualSpacing/>
    </w:pPr>
    <w:rPr>
      <w:rFonts w:ascii="Calibri" w:eastAsia="Calibri" w:hAnsi="Calibri" w:cs="Times New Roman"/>
      <w:lang w:val="bs-Latn-BA"/>
    </w:rPr>
  </w:style>
  <w:style w:type="paragraph" w:styleId="Header">
    <w:name w:val="header"/>
    <w:basedOn w:val="Normal"/>
    <w:link w:val="Head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587D"/>
  </w:style>
  <w:style w:type="paragraph" w:styleId="Footer">
    <w:name w:val="footer"/>
    <w:basedOn w:val="Normal"/>
    <w:link w:val="FooterChar"/>
    <w:uiPriority w:val="99"/>
    <w:unhideWhenUsed/>
    <w:rsid w:val="009E587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587D"/>
  </w:style>
  <w:style w:type="paragraph" w:styleId="NormalWeb">
    <w:name w:val="Normal (Web)"/>
    <w:basedOn w:val="Normal"/>
    <w:uiPriority w:val="99"/>
    <w:qFormat/>
    <w:rsid w:val="00B668C5"/>
    <w:pPr>
      <w:widowControl w:val="0"/>
      <w:spacing w:beforeAutospacing="1" w:after="0" w:afterAutospacing="1" w:line="240" w:lineRule="auto"/>
    </w:pPr>
    <w:rPr>
      <w:rFonts w:eastAsiaTheme="minorEastAsia" w:cs="Times New Roman"/>
      <w:sz w:val="24"/>
      <w:szCs w:val="24"/>
      <w:lang w:eastAsia="zh-CN"/>
    </w:rPr>
  </w:style>
  <w:style w:type="paragraph" w:customStyle="1" w:styleId="isselectedend">
    <w:name w:val="isselectedend"/>
    <w:basedOn w:val="Normal"/>
    <w:rsid w:val="008F1F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F1F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F4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475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3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2294</Words>
  <Characters>13082</Characters>
  <Application>Microsoft Office Word</Application>
  <DocSecurity>0</DocSecurity>
  <Lines>109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UKP</dc:creator>
  <cp:keywords/>
  <dc:description/>
  <cp:lastModifiedBy>Petar Vukčević</cp:lastModifiedBy>
  <cp:revision>3</cp:revision>
  <cp:lastPrinted>2026-06-16T12:40:00Z</cp:lastPrinted>
  <dcterms:created xsi:type="dcterms:W3CDTF">2026-06-22T19:12:00Z</dcterms:created>
  <dcterms:modified xsi:type="dcterms:W3CDTF">2026-07-06T14:52:00Z</dcterms:modified>
</cp:coreProperties>
</file>