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13A1" w14:textId="77A2E00A" w:rsidR="006F2111" w:rsidRDefault="006F2111" w:rsidP="009E7EA3">
      <w:pPr>
        <w:rPr>
          <w:rFonts w:cstheme="minorHAnsi"/>
          <w:b/>
          <w:bCs/>
          <w:sz w:val="24"/>
          <w:szCs w:val="24"/>
          <w:lang w:eastAsia="en-GB"/>
        </w:rPr>
      </w:pPr>
      <w:r>
        <w:rPr>
          <w:rFonts w:cstheme="minorHAnsi"/>
          <w:b/>
          <w:bCs/>
          <w:sz w:val="24"/>
          <w:szCs w:val="24"/>
          <w:lang w:eastAsia="en-GB"/>
        </w:rPr>
        <w:t>PRILOG 1</w:t>
      </w:r>
    </w:p>
    <w:p w14:paraId="20178C1E" w14:textId="6E12ACCD" w:rsidR="00E34470" w:rsidRPr="009E7EA3" w:rsidRDefault="00E34470" w:rsidP="009E7EA3">
      <w:pPr>
        <w:rPr>
          <w:rFonts w:cstheme="minorHAnsi"/>
          <w:b/>
          <w:bCs/>
          <w:sz w:val="24"/>
          <w:szCs w:val="24"/>
          <w:lang w:eastAsia="en-GB"/>
        </w:rPr>
      </w:pPr>
      <w:r w:rsidRPr="009E7EA3">
        <w:rPr>
          <w:rFonts w:cstheme="minorHAnsi"/>
          <w:b/>
          <w:bCs/>
          <w:sz w:val="24"/>
          <w:szCs w:val="24"/>
          <w:lang w:eastAsia="en-GB"/>
        </w:rPr>
        <w:t>Izrada Strateškog plana razvoja IPC Tehnopolis 2027–2031</w:t>
      </w:r>
      <w:r w:rsidR="009E7EA3" w:rsidRPr="009E7EA3">
        <w:rPr>
          <w:rFonts w:cstheme="minorHAnsi"/>
          <w:b/>
          <w:bCs/>
          <w:sz w:val="24"/>
          <w:szCs w:val="24"/>
          <w:lang w:eastAsia="en-GB"/>
        </w:rPr>
        <w:t xml:space="preserve"> sa Akcionim planom 2027 - 2028</w:t>
      </w:r>
    </w:p>
    <w:p w14:paraId="42672CF2" w14:textId="72876537" w:rsidR="00E34470" w:rsidRPr="009E7EA3" w:rsidRDefault="00E34470" w:rsidP="00E3447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0B3415C9" w14:textId="75069896" w:rsidR="00E34470" w:rsidRPr="002B65FF" w:rsidRDefault="00E34470" w:rsidP="009E7EA3">
      <w:pPr>
        <w:rPr>
          <w:rFonts w:cstheme="minorHAnsi"/>
          <w:b/>
          <w:bCs/>
          <w:lang w:eastAsia="en-GB"/>
        </w:rPr>
      </w:pPr>
      <w:r w:rsidRPr="002B65FF">
        <w:rPr>
          <w:rFonts w:cstheme="minorHAnsi"/>
          <w:b/>
          <w:bCs/>
          <w:lang w:eastAsia="en-GB"/>
        </w:rPr>
        <w:t xml:space="preserve">1. </w:t>
      </w:r>
      <w:r w:rsidR="009E7EA3" w:rsidRPr="002B65FF">
        <w:rPr>
          <w:rFonts w:cstheme="minorHAnsi"/>
          <w:b/>
          <w:bCs/>
          <w:lang w:eastAsia="en-GB"/>
        </w:rPr>
        <w:t>Kontekst</w:t>
      </w:r>
    </w:p>
    <w:p w14:paraId="683479A3" w14:textId="77777777" w:rsidR="00E34470" w:rsidRPr="002B65FF" w:rsidRDefault="00E34470" w:rsidP="002B65FF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IPC Tehnopolis predstavlja ključnu instituciju podrške inovacijama, preduzetništvu i tehnološkom razvoju u Crnoj Gori. U cilju daljeg institucionalnog razvoja, unapređenja programa i usluga, kao i boljeg pozicioniranja u nacionalnom i međunarodnom inovacionom ekosistemu, IPC Tehnopolis planira izradu novog Strateškog plana razvoja za period 2027–2031.</w:t>
      </w:r>
    </w:p>
    <w:p w14:paraId="402B5634" w14:textId="77777777" w:rsidR="00E34470" w:rsidRPr="002B65FF" w:rsidRDefault="00E34470" w:rsidP="002B65FF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Novi strateški plan treba da definiše pravce razvoja organizacije u skladu sa:</w:t>
      </w:r>
    </w:p>
    <w:p w14:paraId="5996E99F" w14:textId="77777777" w:rsidR="00E34470" w:rsidRPr="002B65FF" w:rsidRDefault="00E34470" w:rsidP="002B65F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nacionalnim strateškim dokumentima;</w:t>
      </w:r>
    </w:p>
    <w:p w14:paraId="0D8D65B6" w14:textId="7548A294" w:rsidR="00E34470" w:rsidRPr="002B65FF" w:rsidRDefault="00E34470" w:rsidP="002B65F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EU politikama i prioritetima</w:t>
      </w:r>
      <w:r w:rsidR="002B65FF" w:rsidRPr="002B65FF">
        <w:rPr>
          <w:rFonts w:eastAsia="Times New Roman" w:cstheme="minorHAnsi"/>
          <w:lang w:eastAsia="en-GB"/>
        </w:rPr>
        <w:t xml:space="preserve"> u kontekstu pristupanja EU</w:t>
      </w:r>
    </w:p>
    <w:p w14:paraId="0483AEA5" w14:textId="77777777" w:rsidR="00E34470" w:rsidRPr="002B65FF" w:rsidRDefault="00E34470" w:rsidP="002B65F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trendovima u inovacionim ekosistemima;</w:t>
      </w:r>
    </w:p>
    <w:p w14:paraId="4ACF93E8" w14:textId="6FB3BE1F" w:rsidR="00E34470" w:rsidRPr="002B65FF" w:rsidRDefault="00E34470" w:rsidP="002B65F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potrebama korisnika;</w:t>
      </w:r>
    </w:p>
    <w:p w14:paraId="186A0C51" w14:textId="77777777" w:rsidR="00E34470" w:rsidRPr="002B65FF" w:rsidRDefault="00E34470" w:rsidP="002B65F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institucionalnim kapacitetima IPC Tehnopolis.</w:t>
      </w:r>
    </w:p>
    <w:p w14:paraId="37673B85" w14:textId="77777777" w:rsidR="00E34470" w:rsidRPr="002B65FF" w:rsidRDefault="00E34470" w:rsidP="002B65FF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n-GB"/>
        </w:rPr>
      </w:pPr>
      <w:r w:rsidRPr="002B65FF">
        <w:rPr>
          <w:rFonts w:eastAsia="Times New Roman" w:cstheme="minorHAnsi"/>
          <w:lang w:eastAsia="en-GB"/>
        </w:rPr>
        <w:t>Proces izrade dokumenta treba da bude participativan i zasnovan na analizi podataka, konsultacijama i međunarodnim praksama.</w:t>
      </w:r>
    </w:p>
    <w:p w14:paraId="0E632AB8" w14:textId="28509100" w:rsidR="00E34470" w:rsidRPr="009E7EA3" w:rsidRDefault="00E34470" w:rsidP="00E3447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0D6AA0AD" w14:textId="77777777" w:rsidR="00E34470" w:rsidRPr="002B65FF" w:rsidRDefault="00E34470" w:rsidP="002B65FF">
      <w:pPr>
        <w:rPr>
          <w:b/>
          <w:bCs/>
          <w:lang w:eastAsia="en-GB"/>
        </w:rPr>
      </w:pPr>
      <w:r w:rsidRPr="002B65FF">
        <w:rPr>
          <w:b/>
          <w:bCs/>
          <w:lang w:eastAsia="en-GB"/>
        </w:rPr>
        <w:t>2. Cilj angažmana</w:t>
      </w:r>
    </w:p>
    <w:p w14:paraId="4EA2B96E" w14:textId="242DFE72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Opšti cilj angažmana je izrada kvalitetnog, finansijski održivog Strateškog plana razvoja IPC Tehnopolis za period 2027–2031.</w:t>
      </w:r>
      <w:r w:rsidR="004678A5">
        <w:rPr>
          <w:rFonts w:eastAsia="Times New Roman" w:cstheme="minorHAnsi"/>
          <w:sz w:val="24"/>
          <w:szCs w:val="24"/>
          <w:lang w:eastAsia="en-GB"/>
        </w:rPr>
        <w:t xml:space="preserve"> kojeg je moguće implementirat</w:t>
      </w:r>
      <w:r w:rsidR="00DF20F7">
        <w:rPr>
          <w:rFonts w:eastAsia="Times New Roman" w:cstheme="minorHAnsi"/>
          <w:sz w:val="24"/>
          <w:szCs w:val="24"/>
          <w:lang w:eastAsia="en-GB"/>
        </w:rPr>
        <w:t>i.</w:t>
      </w:r>
    </w:p>
    <w:p w14:paraId="53B08DB9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Specifični ciljevi:</w:t>
      </w:r>
    </w:p>
    <w:p w14:paraId="3739C71A" w14:textId="77777777" w:rsidR="00E34470" w:rsidRPr="009E7EA3" w:rsidRDefault="00E34470" w:rsidP="00E3447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analiza postojećeg stanja i okruženja;</w:t>
      </w:r>
    </w:p>
    <w:p w14:paraId="3E980291" w14:textId="77777777" w:rsidR="00E34470" w:rsidRPr="009E7EA3" w:rsidRDefault="00E34470" w:rsidP="00E3447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identifikacija strateških prioriteta;</w:t>
      </w:r>
    </w:p>
    <w:p w14:paraId="68A75183" w14:textId="77777777" w:rsidR="00E34470" w:rsidRPr="009E7EA3" w:rsidRDefault="00E34470" w:rsidP="00E3447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definisanje strateških i operativnih ciljeva;</w:t>
      </w:r>
    </w:p>
    <w:p w14:paraId="75EEEA73" w14:textId="78A6C9B8" w:rsidR="00E34470" w:rsidRPr="009E7EA3" w:rsidRDefault="00E34470" w:rsidP="00E3447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definisanje mjerljivog akcionog plana</w:t>
      </w:r>
      <w:r w:rsidR="006E0D52">
        <w:rPr>
          <w:rFonts w:eastAsia="Times New Roman" w:cstheme="minorHAnsi"/>
          <w:sz w:val="24"/>
          <w:szCs w:val="24"/>
          <w:lang w:eastAsia="en-GB"/>
        </w:rPr>
        <w:t xml:space="preserve"> 2027 - 2028</w:t>
      </w:r>
    </w:p>
    <w:p w14:paraId="69A53224" w14:textId="77777777" w:rsidR="00E34470" w:rsidRPr="009E7EA3" w:rsidRDefault="00E34470" w:rsidP="00E3447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uspostavljanje sistema monitoringa i evaluacije;</w:t>
      </w:r>
    </w:p>
    <w:p w14:paraId="01816C5E" w14:textId="77777777" w:rsidR="00E34470" w:rsidRPr="009E7EA3" w:rsidRDefault="00E34470" w:rsidP="00E3447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definisanje finansijskog okvira i mogućih izvora finansiranja.</w:t>
      </w:r>
    </w:p>
    <w:p w14:paraId="5D270B18" w14:textId="5826702B" w:rsidR="00E34470" w:rsidRPr="009E7EA3" w:rsidRDefault="00E34470" w:rsidP="00E3447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3DE1735C" w14:textId="77777777" w:rsidR="00E34470" w:rsidRPr="004678A5" w:rsidRDefault="00E34470" w:rsidP="004678A5">
      <w:pPr>
        <w:rPr>
          <w:b/>
          <w:bCs/>
          <w:lang w:eastAsia="en-GB"/>
        </w:rPr>
      </w:pPr>
      <w:r w:rsidRPr="004678A5">
        <w:rPr>
          <w:rFonts w:eastAsia="Times New Roman" w:cstheme="minorHAnsi"/>
          <w:b/>
          <w:bCs/>
          <w:kern w:val="36"/>
          <w:sz w:val="24"/>
          <w:szCs w:val="24"/>
          <w:lang w:eastAsia="en-GB"/>
        </w:rPr>
        <w:t>3</w:t>
      </w:r>
      <w:r w:rsidRPr="004678A5">
        <w:rPr>
          <w:b/>
          <w:bCs/>
          <w:lang w:eastAsia="en-GB"/>
        </w:rPr>
        <w:t>. Obim posla</w:t>
      </w:r>
    </w:p>
    <w:p w14:paraId="0D1354FC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Odabrani ponuđač biće odgovoran za:</w:t>
      </w:r>
    </w:p>
    <w:p w14:paraId="39B002BE" w14:textId="77777777" w:rsidR="00E34470" w:rsidRPr="004678A5" w:rsidRDefault="00E34470" w:rsidP="004678A5">
      <w:pPr>
        <w:rPr>
          <w:b/>
          <w:bCs/>
          <w:lang w:eastAsia="en-GB"/>
        </w:rPr>
      </w:pPr>
      <w:r w:rsidRPr="004678A5">
        <w:rPr>
          <w:b/>
          <w:bCs/>
          <w:lang w:eastAsia="en-GB"/>
        </w:rPr>
        <w:t>3.1. Analizu strateškog i regulatornog okvira</w:t>
      </w:r>
    </w:p>
    <w:p w14:paraId="3065F988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Analiza treba da obuhvati:</w:t>
      </w:r>
    </w:p>
    <w:p w14:paraId="5322AD52" w14:textId="77777777" w:rsidR="00E34470" w:rsidRPr="009E7EA3" w:rsidRDefault="00E34470" w:rsidP="00E3447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relevantne zakone i podzakonske akte;</w:t>
      </w:r>
    </w:p>
    <w:p w14:paraId="74601799" w14:textId="77777777" w:rsidR="00E34470" w:rsidRPr="009E7EA3" w:rsidRDefault="00E34470" w:rsidP="00E3447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lastRenderedPageBreak/>
        <w:t>nacionalne strategije i akcione planove;</w:t>
      </w:r>
    </w:p>
    <w:p w14:paraId="25764F9B" w14:textId="77777777" w:rsidR="00E34470" w:rsidRPr="009E7EA3" w:rsidRDefault="00E34470" w:rsidP="00E3447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EU politike i inicijative relevantne za inovacije i preduzetništvo;</w:t>
      </w:r>
    </w:p>
    <w:p w14:paraId="46D8AD13" w14:textId="77777777" w:rsidR="00E34470" w:rsidRPr="009E7EA3" w:rsidRDefault="00E34470" w:rsidP="00E3447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institucionalni okvir relevantan za funkcionisanje IPC Tehnopolis.</w:t>
      </w:r>
    </w:p>
    <w:p w14:paraId="01747B7C" w14:textId="77777777" w:rsidR="00E34470" w:rsidRPr="004678A5" w:rsidRDefault="00E34470" w:rsidP="004678A5">
      <w:pPr>
        <w:rPr>
          <w:b/>
          <w:bCs/>
          <w:lang w:eastAsia="en-GB"/>
        </w:rPr>
      </w:pPr>
      <w:r w:rsidRPr="004678A5">
        <w:rPr>
          <w:b/>
          <w:bCs/>
          <w:lang w:eastAsia="en-GB"/>
        </w:rPr>
        <w:t>3.2. Analizu internog stanja IPC Tehnopolis</w:t>
      </w:r>
    </w:p>
    <w:p w14:paraId="6CB205C2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Analiza treba da obuhvati:</w:t>
      </w:r>
    </w:p>
    <w:p w14:paraId="0493C8C9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institucionalne kapacitete;</w:t>
      </w:r>
    </w:p>
    <w:p w14:paraId="348A75DA" w14:textId="7CF3E98F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organizacionu strukturu</w:t>
      </w:r>
      <w:r w:rsidR="009D2A38">
        <w:rPr>
          <w:rFonts w:eastAsia="Times New Roman" w:cstheme="minorHAnsi"/>
          <w:sz w:val="24"/>
          <w:szCs w:val="24"/>
          <w:lang w:eastAsia="en-GB"/>
        </w:rPr>
        <w:t>, procjena adekvatnosti i predlog izmjena</w:t>
      </w:r>
    </w:p>
    <w:p w14:paraId="3ED7F3D4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postojeće programe i usluge;</w:t>
      </w:r>
    </w:p>
    <w:p w14:paraId="7DB1D85D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finansijski model;</w:t>
      </w:r>
    </w:p>
    <w:p w14:paraId="2AC66B83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ljudske resurse;</w:t>
      </w:r>
    </w:p>
    <w:p w14:paraId="191740A8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infrastrukturu i opremu;</w:t>
      </w:r>
    </w:p>
    <w:p w14:paraId="2C182C1F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postojeće rezultate i performanse;</w:t>
      </w:r>
    </w:p>
    <w:p w14:paraId="366178DB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saradnju sa stakeholderima;</w:t>
      </w:r>
    </w:p>
    <w:p w14:paraId="546629FF" w14:textId="77777777" w:rsidR="00E34470" w:rsidRPr="009E7EA3" w:rsidRDefault="00E34470" w:rsidP="00E3447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dosadašnje strateške dokumente i realizaciju prethodnih planova.</w:t>
      </w:r>
    </w:p>
    <w:p w14:paraId="6E65FD91" w14:textId="77777777" w:rsidR="00E34470" w:rsidRPr="00DF20F7" w:rsidRDefault="00E34470" w:rsidP="00DF20F7">
      <w:pPr>
        <w:rPr>
          <w:b/>
          <w:bCs/>
          <w:lang w:eastAsia="en-GB"/>
        </w:rPr>
      </w:pPr>
      <w:r w:rsidRPr="00DF20F7">
        <w:rPr>
          <w:b/>
          <w:bCs/>
          <w:lang w:eastAsia="en-GB"/>
        </w:rPr>
        <w:t>3.3. Analizu eksternog okruženja</w:t>
      </w:r>
    </w:p>
    <w:p w14:paraId="59BD8D06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Analiza treba da obuhvati:</w:t>
      </w:r>
    </w:p>
    <w:p w14:paraId="57D80801" w14:textId="77777777" w:rsidR="00E34470" w:rsidRPr="009E7EA3" w:rsidRDefault="00E34470" w:rsidP="00E3447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Crna Gora</w:t>
      </w:r>
    </w:p>
    <w:p w14:paraId="15B7ECA0" w14:textId="77777777" w:rsidR="00E34470" w:rsidRPr="009E7EA3" w:rsidRDefault="00E34470" w:rsidP="00E3447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stanje inovacionog ekosistema;</w:t>
      </w:r>
    </w:p>
    <w:p w14:paraId="4BFD7CEF" w14:textId="77777777" w:rsidR="00E34470" w:rsidRPr="009E7EA3" w:rsidRDefault="00E34470" w:rsidP="00E3447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ključne aktere;</w:t>
      </w:r>
    </w:p>
    <w:p w14:paraId="56AEA940" w14:textId="77777777" w:rsidR="00E34470" w:rsidRPr="009E7EA3" w:rsidRDefault="00E34470" w:rsidP="00E3447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politike podrške inovacijama i preduzetništvu;</w:t>
      </w:r>
    </w:p>
    <w:p w14:paraId="059FE095" w14:textId="77777777" w:rsidR="00E34470" w:rsidRPr="009E7EA3" w:rsidRDefault="00E34470" w:rsidP="00E3447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potrebe ciljnih grupa.</w:t>
      </w:r>
    </w:p>
    <w:p w14:paraId="61776FEC" w14:textId="77777777" w:rsidR="00E34470" w:rsidRPr="009E7EA3" w:rsidRDefault="00E34470" w:rsidP="00E3447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Region</w:t>
      </w:r>
    </w:p>
    <w:p w14:paraId="3E0D88A0" w14:textId="0002596C" w:rsidR="00E34470" w:rsidRPr="009E7EA3" w:rsidRDefault="00E34470" w:rsidP="00E3447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benchmarking relevantnih institucija;</w:t>
      </w:r>
      <w:r w:rsidR="00057E65">
        <w:rPr>
          <w:rFonts w:eastAsia="Times New Roman" w:cstheme="minorHAnsi"/>
          <w:sz w:val="24"/>
          <w:szCs w:val="24"/>
          <w:lang w:eastAsia="en-GB"/>
        </w:rPr>
        <w:t xml:space="preserve"> minimum 5 regionalnih, 3 evropske</w:t>
      </w:r>
    </w:p>
    <w:p w14:paraId="283F3E70" w14:textId="77777777" w:rsidR="00E34470" w:rsidRPr="009E7EA3" w:rsidRDefault="00E34470" w:rsidP="00E3447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modeli rada i finansiranja;</w:t>
      </w:r>
    </w:p>
    <w:p w14:paraId="1D4B2023" w14:textId="77777777" w:rsidR="00E34470" w:rsidRPr="009E7EA3" w:rsidRDefault="00E34470" w:rsidP="00E3447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primjeri dobre prakse.</w:t>
      </w:r>
    </w:p>
    <w:p w14:paraId="661CA333" w14:textId="77777777" w:rsidR="00E34470" w:rsidRPr="009E7EA3" w:rsidRDefault="00E34470" w:rsidP="00E3447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Međunarodni nivo</w:t>
      </w:r>
    </w:p>
    <w:p w14:paraId="73ADB61D" w14:textId="77777777" w:rsidR="00E34470" w:rsidRPr="009E7EA3" w:rsidRDefault="00E34470" w:rsidP="00E3447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globalni trendovi;</w:t>
      </w:r>
    </w:p>
    <w:p w14:paraId="6A306786" w14:textId="77777777" w:rsidR="00E34470" w:rsidRPr="009E7EA3" w:rsidRDefault="00E34470" w:rsidP="00E3447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razvojni modeli;</w:t>
      </w:r>
    </w:p>
    <w:p w14:paraId="5E007C95" w14:textId="77777777" w:rsidR="00E34470" w:rsidRPr="009E7EA3" w:rsidRDefault="00E34470" w:rsidP="00E3447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međunarodne inicijative;</w:t>
      </w:r>
    </w:p>
    <w:p w14:paraId="53B85876" w14:textId="77777777" w:rsidR="00E34470" w:rsidRPr="009E7EA3" w:rsidRDefault="00E34470" w:rsidP="00E3447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mogućnosti internacionalizacije.</w:t>
      </w:r>
    </w:p>
    <w:p w14:paraId="62269C21" w14:textId="77777777" w:rsidR="00E34470" w:rsidRPr="009E7EA3" w:rsidRDefault="00E34470" w:rsidP="00E3447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3.4. Konsultativni proces</w:t>
      </w:r>
    </w:p>
    <w:p w14:paraId="7E408217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Ponuđač treba da organizuje i sprovede:</w:t>
      </w:r>
    </w:p>
    <w:p w14:paraId="22A2FE64" w14:textId="4D5B6A3B" w:rsidR="00E34470" w:rsidRPr="009E7EA3" w:rsidRDefault="00E34470" w:rsidP="00E3447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radionice;</w:t>
      </w:r>
      <w:r w:rsidR="00057E65">
        <w:rPr>
          <w:rFonts w:eastAsia="Times New Roman" w:cstheme="minorHAnsi"/>
          <w:sz w:val="24"/>
          <w:szCs w:val="24"/>
          <w:lang w:eastAsia="en-GB"/>
        </w:rPr>
        <w:t xml:space="preserve"> minimum 5 strateških radionica sa menadžmentom</w:t>
      </w:r>
    </w:p>
    <w:p w14:paraId="62061A38" w14:textId="69305912" w:rsidR="00E34470" w:rsidRDefault="00E34470" w:rsidP="00E3447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DF20F7">
        <w:rPr>
          <w:rFonts w:eastAsia="Times New Roman" w:cstheme="minorHAnsi"/>
          <w:sz w:val="24"/>
          <w:szCs w:val="24"/>
          <w:lang w:eastAsia="en-GB"/>
        </w:rPr>
        <w:t>konsultacije</w:t>
      </w:r>
      <w:r w:rsidR="00057E65">
        <w:rPr>
          <w:rFonts w:eastAsia="Times New Roman" w:cstheme="minorHAnsi"/>
          <w:sz w:val="24"/>
          <w:szCs w:val="24"/>
          <w:lang w:eastAsia="en-GB"/>
        </w:rPr>
        <w:t xml:space="preserve"> i int</w:t>
      </w:r>
      <w:r w:rsidR="009D2A38">
        <w:rPr>
          <w:rFonts w:eastAsia="Times New Roman" w:cstheme="minorHAnsi"/>
          <w:sz w:val="24"/>
          <w:szCs w:val="24"/>
          <w:lang w:eastAsia="en-GB"/>
        </w:rPr>
        <w:t>e</w:t>
      </w:r>
      <w:r w:rsidR="00057E65">
        <w:rPr>
          <w:rFonts w:eastAsia="Times New Roman" w:cstheme="minorHAnsi"/>
          <w:sz w:val="24"/>
          <w:szCs w:val="24"/>
          <w:lang w:eastAsia="en-GB"/>
        </w:rPr>
        <w:t>rvjui</w:t>
      </w:r>
      <w:r w:rsidRPr="00DF20F7">
        <w:rPr>
          <w:rFonts w:eastAsia="Times New Roman" w:cstheme="minorHAnsi"/>
          <w:sz w:val="24"/>
          <w:szCs w:val="24"/>
          <w:lang w:eastAsia="en-GB"/>
        </w:rPr>
        <w:t xml:space="preserve"> sa relevantnim stakeholderima</w:t>
      </w:r>
      <w:r w:rsidR="00057E65">
        <w:rPr>
          <w:rFonts w:eastAsia="Times New Roman" w:cstheme="minorHAnsi"/>
          <w:sz w:val="24"/>
          <w:szCs w:val="24"/>
          <w:lang w:eastAsia="en-GB"/>
        </w:rPr>
        <w:t>; minimum 15 stakeholdera</w:t>
      </w:r>
    </w:p>
    <w:p w14:paraId="7ED5FD79" w14:textId="31958338" w:rsidR="009D2A38" w:rsidRPr="00DF20F7" w:rsidRDefault="009D2A38" w:rsidP="00E3447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lastRenderedPageBreak/>
        <w:t>minimum jedna validaciona radionica sa menadžmentom</w:t>
      </w:r>
    </w:p>
    <w:p w14:paraId="1F28B2A8" w14:textId="1C2FCE15" w:rsidR="00E34470" w:rsidRPr="009E7EA3" w:rsidRDefault="00DF20F7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S</w:t>
      </w:r>
      <w:r w:rsidR="00E34470" w:rsidRPr="009E7EA3">
        <w:rPr>
          <w:rFonts w:eastAsia="Times New Roman" w:cstheme="minorHAnsi"/>
          <w:sz w:val="24"/>
          <w:szCs w:val="24"/>
          <w:lang w:eastAsia="en-GB"/>
        </w:rPr>
        <w:t>takeholderi:</w:t>
      </w:r>
    </w:p>
    <w:p w14:paraId="775AA87A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Ministarstvo prosvjete, nauke i inovacija;</w:t>
      </w:r>
    </w:p>
    <w:p w14:paraId="6BFE3B2A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Fond za inovacije Crne Gore;</w:t>
      </w:r>
    </w:p>
    <w:p w14:paraId="1330BB5D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Naučno-tehnološki park Crne Gore;</w:t>
      </w:r>
    </w:p>
    <w:p w14:paraId="4F909110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akademska zajednica;</w:t>
      </w:r>
    </w:p>
    <w:p w14:paraId="7819E814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startup zajednica;</w:t>
      </w:r>
    </w:p>
    <w:p w14:paraId="14E93C3B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MSP sektor;</w:t>
      </w:r>
    </w:p>
    <w:p w14:paraId="52B86BBD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međunarodni partneri;</w:t>
      </w:r>
    </w:p>
    <w:p w14:paraId="080A165E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jedinice lokalne samouprave;</w:t>
      </w:r>
    </w:p>
    <w:p w14:paraId="0608CC6C" w14:textId="77777777" w:rsidR="00E34470" w:rsidRPr="009E7EA3" w:rsidRDefault="00E34470" w:rsidP="00E3447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razvojne i investicione institucije.</w:t>
      </w:r>
    </w:p>
    <w:p w14:paraId="1A970E86" w14:textId="77777777" w:rsidR="00E34470" w:rsidRPr="00DF20F7" w:rsidRDefault="00E34470" w:rsidP="00DF20F7">
      <w:pPr>
        <w:rPr>
          <w:b/>
          <w:bCs/>
          <w:lang w:eastAsia="en-GB"/>
        </w:rPr>
      </w:pPr>
      <w:r w:rsidRPr="00DF20F7">
        <w:rPr>
          <w:b/>
          <w:bCs/>
          <w:lang w:eastAsia="en-GB"/>
        </w:rPr>
        <w:t>3.5. Definisanje strateškog okvira</w:t>
      </w:r>
    </w:p>
    <w:p w14:paraId="3014E281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Na osnovu sprovedenih analiza potrebno je definisati:</w:t>
      </w:r>
    </w:p>
    <w:p w14:paraId="2C422EB4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viziju;</w:t>
      </w:r>
    </w:p>
    <w:p w14:paraId="02067FF1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misiju;</w:t>
      </w:r>
    </w:p>
    <w:p w14:paraId="4E66FE24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strateške prioritete;</w:t>
      </w:r>
    </w:p>
    <w:p w14:paraId="603090C2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strateške ciljeve;</w:t>
      </w:r>
    </w:p>
    <w:p w14:paraId="422E3F9D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operativne ciljeve;</w:t>
      </w:r>
    </w:p>
    <w:p w14:paraId="034B3B69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ciljne grupe;</w:t>
      </w:r>
    </w:p>
    <w:p w14:paraId="7832E8A8" w14:textId="77777777" w:rsidR="00E34470" w:rsidRPr="009E7EA3" w:rsidRDefault="00E34470" w:rsidP="00E3447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vrste podrške i programa.</w:t>
      </w:r>
    </w:p>
    <w:p w14:paraId="54147A1B" w14:textId="77777777" w:rsidR="00E34470" w:rsidRPr="00DF20F7" w:rsidRDefault="00E34470" w:rsidP="00DF20F7">
      <w:pPr>
        <w:rPr>
          <w:b/>
          <w:bCs/>
          <w:lang w:eastAsia="en-GB"/>
        </w:rPr>
      </w:pPr>
      <w:r w:rsidRPr="00DF20F7">
        <w:rPr>
          <w:b/>
          <w:bCs/>
          <w:lang w:eastAsia="en-GB"/>
        </w:rPr>
        <w:t>3.6. Izrada Akcionog plana</w:t>
      </w:r>
    </w:p>
    <w:p w14:paraId="309D3F24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Akcioni plan za period 2027–2028 treba da sadrži:</w:t>
      </w:r>
    </w:p>
    <w:p w14:paraId="1B8C200C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aktivnosti;</w:t>
      </w:r>
    </w:p>
    <w:p w14:paraId="69B62946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nosioce aktivnosti;</w:t>
      </w:r>
    </w:p>
    <w:p w14:paraId="0C5A561F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rokove;</w:t>
      </w:r>
    </w:p>
    <w:p w14:paraId="00A6A820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indikatore;</w:t>
      </w:r>
    </w:p>
    <w:p w14:paraId="148C8455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izvore verifikacije;</w:t>
      </w:r>
    </w:p>
    <w:p w14:paraId="6DBD66E7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procijenjena sredstva;</w:t>
      </w:r>
    </w:p>
    <w:p w14:paraId="16218FD6" w14:textId="77777777" w:rsidR="00E34470" w:rsidRPr="009E7EA3" w:rsidRDefault="00E34470" w:rsidP="00E3447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izvore finansiranja.</w:t>
      </w:r>
    </w:p>
    <w:p w14:paraId="2097D3CB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Posebnu pažnju potrebno je posvetiti:</w:t>
      </w:r>
    </w:p>
    <w:p w14:paraId="7BA4DE6C" w14:textId="77777777" w:rsidR="00E34470" w:rsidRPr="009E7EA3" w:rsidRDefault="00E34470" w:rsidP="00E3447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usklađenosti indikatora sa relevantnim nacionalnim strategijama;</w:t>
      </w:r>
    </w:p>
    <w:p w14:paraId="7EF5C09A" w14:textId="77777777" w:rsidR="00E34470" w:rsidRPr="009E7EA3" w:rsidRDefault="00E34470" w:rsidP="00E3447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mjerljivosti indikatora;</w:t>
      </w:r>
    </w:p>
    <w:p w14:paraId="34EADF63" w14:textId="77777777" w:rsidR="00E34470" w:rsidRPr="009E7EA3" w:rsidRDefault="00E34470" w:rsidP="00E3447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realističnosti planiranih aktivnosti.</w:t>
      </w:r>
    </w:p>
    <w:p w14:paraId="3188B427" w14:textId="77777777" w:rsidR="00E34470" w:rsidRPr="00DF20F7" w:rsidRDefault="00E34470" w:rsidP="00DF20F7">
      <w:pPr>
        <w:rPr>
          <w:b/>
          <w:bCs/>
          <w:lang w:eastAsia="en-GB"/>
        </w:rPr>
      </w:pPr>
      <w:r w:rsidRPr="00DF20F7">
        <w:rPr>
          <w:b/>
          <w:bCs/>
          <w:lang w:eastAsia="en-GB"/>
        </w:rPr>
        <w:t>3.7. Monitoring i evaluacija</w:t>
      </w:r>
    </w:p>
    <w:p w14:paraId="6474182E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Potrebno je definisati:</w:t>
      </w:r>
    </w:p>
    <w:p w14:paraId="54D078A6" w14:textId="77777777" w:rsidR="00E34470" w:rsidRPr="009E7EA3" w:rsidRDefault="00E34470" w:rsidP="00E3447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lastRenderedPageBreak/>
        <w:t>sistem monitoringa;</w:t>
      </w:r>
    </w:p>
    <w:p w14:paraId="5CB14D46" w14:textId="77777777" w:rsidR="00E34470" w:rsidRPr="009E7EA3" w:rsidRDefault="00E34470" w:rsidP="00E3447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metodologiju izvještavanja;</w:t>
      </w:r>
    </w:p>
    <w:p w14:paraId="18EE4F86" w14:textId="77777777" w:rsidR="00E34470" w:rsidRPr="009E7EA3" w:rsidRDefault="00E34470" w:rsidP="00E3447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dinamiku praćenja;</w:t>
      </w:r>
    </w:p>
    <w:p w14:paraId="096D7A09" w14:textId="77777777" w:rsidR="00E34470" w:rsidRPr="009E7EA3" w:rsidRDefault="00E34470" w:rsidP="00E3447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odgovornosti;</w:t>
      </w:r>
    </w:p>
    <w:p w14:paraId="47EF6125" w14:textId="77777777" w:rsidR="00E34470" w:rsidRPr="009E7EA3" w:rsidRDefault="00E34470" w:rsidP="00E3447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evaluacione mehanizme.</w:t>
      </w:r>
    </w:p>
    <w:p w14:paraId="456E92EC" w14:textId="77777777" w:rsidR="00E34470" w:rsidRPr="00DF20F7" w:rsidRDefault="00E34470" w:rsidP="00DF20F7">
      <w:pPr>
        <w:rPr>
          <w:b/>
          <w:bCs/>
          <w:lang w:eastAsia="en-GB"/>
        </w:rPr>
      </w:pPr>
      <w:r w:rsidRPr="00DF20F7">
        <w:rPr>
          <w:b/>
          <w:bCs/>
          <w:lang w:eastAsia="en-GB"/>
        </w:rPr>
        <w:t>3.8. Finansijski plan</w:t>
      </w:r>
    </w:p>
    <w:p w14:paraId="3E073057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Potrebno je definisati:</w:t>
      </w:r>
    </w:p>
    <w:p w14:paraId="34D653D2" w14:textId="07F48697" w:rsidR="00E34470" w:rsidRPr="009E7EA3" w:rsidRDefault="00E34470" w:rsidP="00E3447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procjenu budžetskih potreba</w:t>
      </w:r>
      <w:r w:rsidR="009D2A38">
        <w:rPr>
          <w:rFonts w:eastAsia="Times New Roman" w:cstheme="minorHAnsi"/>
          <w:sz w:val="24"/>
          <w:szCs w:val="24"/>
          <w:lang w:eastAsia="en-GB"/>
        </w:rPr>
        <w:t xml:space="preserve"> i </w:t>
      </w:r>
      <w:r w:rsidR="009D2A38" w:rsidRPr="009D2A38">
        <w:rPr>
          <w:rFonts w:eastAsia="Times New Roman" w:cstheme="minorHAnsi"/>
          <w:sz w:val="24"/>
          <w:szCs w:val="24"/>
          <w:lang w:eastAsia="en-GB"/>
        </w:rPr>
        <w:t>stepena zavisnosti od budžetskog finansiranja</w:t>
      </w:r>
    </w:p>
    <w:p w14:paraId="1D5A6D71" w14:textId="77777777" w:rsidR="00E34470" w:rsidRPr="009E7EA3" w:rsidRDefault="00E34470" w:rsidP="00E3447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moguće izvore finansiranja;</w:t>
      </w:r>
    </w:p>
    <w:p w14:paraId="31254CD6" w14:textId="77777777" w:rsidR="00E34470" w:rsidRPr="009E7EA3" w:rsidRDefault="00E34470" w:rsidP="00E3447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mogućnosti diversifikacije prihoda;</w:t>
      </w:r>
    </w:p>
    <w:p w14:paraId="7F017DD6" w14:textId="40D13A68" w:rsidR="00E34470" w:rsidRPr="009D2A38" w:rsidRDefault="00E34470" w:rsidP="00006BA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D2A38">
        <w:rPr>
          <w:rFonts w:eastAsia="Times New Roman" w:cstheme="minorHAnsi"/>
          <w:sz w:val="24"/>
          <w:szCs w:val="24"/>
          <w:lang w:eastAsia="en-GB"/>
        </w:rPr>
        <w:t>mogućnosti komercijalizacije programa i usluga</w:t>
      </w:r>
      <w:r w:rsidR="009D2A38" w:rsidRPr="009D2A38">
        <w:rPr>
          <w:rFonts w:eastAsia="Times New Roman" w:cstheme="minorHAnsi"/>
          <w:sz w:val="24"/>
          <w:szCs w:val="24"/>
          <w:lang w:eastAsia="en-GB"/>
        </w:rPr>
        <w:t xml:space="preserve"> i preporuke za povećanje sopstvenih prihoda</w:t>
      </w:r>
    </w:p>
    <w:p w14:paraId="0306298A" w14:textId="3454097D" w:rsidR="009D2A38" w:rsidRDefault="009D2A38" w:rsidP="009D2A3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D2A38">
        <w:rPr>
          <w:rFonts w:eastAsia="Times New Roman" w:cstheme="minorHAnsi"/>
          <w:sz w:val="24"/>
          <w:szCs w:val="24"/>
          <w:lang w:eastAsia="en-GB"/>
        </w:rPr>
        <w:t>analiza različitih scenarija finansiranja (optimistični, realni i konzervativni);</w:t>
      </w:r>
    </w:p>
    <w:p w14:paraId="2ED47D9E" w14:textId="31CC32EC" w:rsidR="009D2A38" w:rsidRPr="009D2A38" w:rsidRDefault="009D2A38" w:rsidP="009D2A3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4"/>
          <w:szCs w:val="24"/>
          <w:lang w:eastAsia="en-GB"/>
        </w:rPr>
        <w:t xml:space="preserve">3.9. </w:t>
      </w:r>
      <w:r w:rsidRPr="009D2A38">
        <w:rPr>
          <w:rFonts w:eastAsia="Times New Roman" w:cstheme="minorHAnsi"/>
          <w:b/>
          <w:bCs/>
          <w:sz w:val="24"/>
          <w:szCs w:val="24"/>
          <w:lang w:eastAsia="en-GB"/>
        </w:rPr>
        <w:t>Upravljanje rizicima</w:t>
      </w:r>
    </w:p>
    <w:p w14:paraId="2660E33E" w14:textId="77777777" w:rsidR="009D2A38" w:rsidRPr="009D2A38" w:rsidRDefault="009D2A38" w:rsidP="009D2A38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D2A38">
        <w:rPr>
          <w:rFonts w:eastAsia="Times New Roman" w:cstheme="minorHAnsi"/>
          <w:sz w:val="24"/>
          <w:szCs w:val="24"/>
          <w:lang w:eastAsia="en-GB"/>
        </w:rPr>
        <w:t xml:space="preserve">identifikacija strateških, operativnih i finansijskih rizika; </w:t>
      </w:r>
    </w:p>
    <w:p w14:paraId="6DFA7B97" w14:textId="77777777" w:rsidR="009D2A38" w:rsidRPr="009D2A38" w:rsidRDefault="009D2A38" w:rsidP="009D2A38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D2A38">
        <w:rPr>
          <w:rFonts w:eastAsia="Times New Roman" w:cstheme="minorHAnsi"/>
          <w:sz w:val="24"/>
          <w:szCs w:val="24"/>
          <w:lang w:eastAsia="en-GB"/>
        </w:rPr>
        <w:t>plan upravljanja rizicima.</w:t>
      </w:r>
    </w:p>
    <w:p w14:paraId="16FCC1AD" w14:textId="77777777" w:rsidR="009D2A38" w:rsidRPr="009D2A38" w:rsidRDefault="009D2A38" w:rsidP="009D2A3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7745819C" w14:textId="65C6D7F0" w:rsidR="00E34470" w:rsidRPr="00DF20F7" w:rsidRDefault="00E34470" w:rsidP="00DF20F7">
      <w:pPr>
        <w:rPr>
          <w:b/>
          <w:bCs/>
          <w:lang w:eastAsia="en-GB"/>
        </w:rPr>
      </w:pPr>
      <w:r w:rsidRPr="00DF20F7">
        <w:rPr>
          <w:b/>
          <w:bCs/>
          <w:lang w:eastAsia="en-GB"/>
        </w:rPr>
        <w:t>3.</w:t>
      </w:r>
      <w:r w:rsidR="009D2A38">
        <w:rPr>
          <w:b/>
          <w:bCs/>
          <w:lang w:eastAsia="en-GB"/>
        </w:rPr>
        <w:t>10</w:t>
      </w:r>
      <w:r w:rsidRPr="00DF20F7">
        <w:rPr>
          <w:b/>
          <w:bCs/>
          <w:lang w:eastAsia="en-GB"/>
        </w:rPr>
        <w:t>. Dodatne teme koje dokument mora obuhvatiti</w:t>
      </w:r>
    </w:p>
    <w:p w14:paraId="408A3C14" w14:textId="77777777" w:rsidR="00E34470" w:rsidRPr="009E7EA3" w:rsidRDefault="00E34470" w:rsidP="00E3447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Strategija treba da obradi:</w:t>
      </w:r>
    </w:p>
    <w:p w14:paraId="122F8F3B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mogućnosti internacionalizacije;</w:t>
      </w:r>
    </w:p>
    <w:p w14:paraId="4596743E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potencijal za javno-privatna partnerstva;</w:t>
      </w:r>
    </w:p>
    <w:p w14:paraId="37F65600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međunarodnu saradnju;</w:t>
      </w:r>
    </w:p>
    <w:p w14:paraId="004E11ED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potencijal korišćenja EU i strukturnih fondova;</w:t>
      </w:r>
    </w:p>
    <w:p w14:paraId="4E124EFE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potrebe razvoja ljudskih kapaciteta;</w:t>
      </w:r>
    </w:p>
    <w:p w14:paraId="2F6D5253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potrebe razvoja infrastrukture i opreme;</w:t>
      </w:r>
    </w:p>
    <w:p w14:paraId="0FFBF92C" w14:textId="642B9956" w:rsidR="00E34470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outsourcing modele;</w:t>
      </w:r>
    </w:p>
    <w:p w14:paraId="77A673B9" w14:textId="005AF6CA" w:rsidR="00C627D3" w:rsidRPr="009E7EA3" w:rsidRDefault="00C627D3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komunikacionu strategiju</w:t>
      </w:r>
    </w:p>
    <w:p w14:paraId="5092B73E" w14:textId="77777777" w:rsidR="00E34470" w:rsidRPr="009E7EA3" w:rsidRDefault="00E34470" w:rsidP="00E3447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saradnju sa Fondom za inovacije Crne Gore i Naučno-tehnološkim parkom Crne Gore.</w:t>
      </w:r>
    </w:p>
    <w:p w14:paraId="278CB073" w14:textId="423DB8C1" w:rsidR="00E34470" w:rsidRDefault="00DF20F7" w:rsidP="00E3447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4"/>
          <w:szCs w:val="24"/>
          <w:lang w:eastAsia="en-GB"/>
        </w:rPr>
        <w:t xml:space="preserve">4. </w:t>
      </w:r>
      <w:r w:rsidRPr="00DF20F7">
        <w:rPr>
          <w:rFonts w:eastAsia="Times New Roman" w:cstheme="minorHAnsi"/>
          <w:b/>
          <w:bCs/>
          <w:sz w:val="24"/>
          <w:szCs w:val="24"/>
          <w:lang w:eastAsia="en-GB"/>
        </w:rPr>
        <w:t>Ponuđač je dužan da u ponudi dostavi detaljnu metodologiju rada</w:t>
      </w:r>
      <w:r>
        <w:rPr>
          <w:rFonts w:eastAsia="Times New Roman" w:cstheme="minorHAnsi"/>
          <w:sz w:val="24"/>
          <w:szCs w:val="24"/>
          <w:lang w:eastAsia="en-GB"/>
        </w:rPr>
        <w:t>.</w:t>
      </w:r>
    </w:p>
    <w:p w14:paraId="0CC6DE25" w14:textId="4444F69A" w:rsidR="00DF20F7" w:rsidRDefault="00DF20F7" w:rsidP="00E3447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582C6695" w14:textId="09D7D512" w:rsidR="00DF20F7" w:rsidRPr="00C627D3" w:rsidRDefault="00DF20F7" w:rsidP="00C627D3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627D3">
        <w:rPr>
          <w:rFonts w:eastAsia="Times New Roman" w:cstheme="minorHAnsi"/>
          <w:b/>
          <w:bCs/>
          <w:sz w:val="24"/>
          <w:szCs w:val="24"/>
          <w:lang w:eastAsia="en-GB"/>
        </w:rPr>
        <w:t>5. Očekivani deliverable-i</w:t>
      </w:r>
    </w:p>
    <w:p w14:paraId="3A683C0B" w14:textId="77777777" w:rsidR="00DF20F7" w:rsidRPr="009E7EA3" w:rsidRDefault="00DF20F7" w:rsidP="00DF20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Deliverable 1 – Inception report</w:t>
      </w:r>
    </w:p>
    <w:p w14:paraId="4BD44AA3" w14:textId="77777777" w:rsidR="00DF20F7" w:rsidRPr="009E7EA3" w:rsidRDefault="00DF20F7" w:rsidP="00DF20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Sadrži:</w:t>
      </w:r>
    </w:p>
    <w:p w14:paraId="2A40247C" w14:textId="77777777" w:rsidR="00DF20F7" w:rsidRPr="009E7EA3" w:rsidRDefault="00DF20F7" w:rsidP="00DF20F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metodologiju;</w:t>
      </w:r>
    </w:p>
    <w:p w14:paraId="79C477A5" w14:textId="77777777" w:rsidR="00DF20F7" w:rsidRPr="009E7EA3" w:rsidRDefault="00DF20F7" w:rsidP="00DF20F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lastRenderedPageBreak/>
        <w:t>plan rada;</w:t>
      </w:r>
    </w:p>
    <w:p w14:paraId="012EE38A" w14:textId="77777777" w:rsidR="00DF20F7" w:rsidRPr="009E7EA3" w:rsidRDefault="00DF20F7" w:rsidP="00DF20F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mapu stakeholdera;</w:t>
      </w:r>
    </w:p>
    <w:p w14:paraId="7EDBDC80" w14:textId="77777777" w:rsidR="00DF20F7" w:rsidRPr="009E7EA3" w:rsidRDefault="00DF20F7" w:rsidP="00DF20F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detaljan vremenski plan.</w:t>
      </w:r>
    </w:p>
    <w:p w14:paraId="53A7239E" w14:textId="77777777" w:rsidR="00DF20F7" w:rsidRPr="009E7EA3" w:rsidRDefault="00DF20F7" w:rsidP="00DF20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Deliverable 2 – Analitički izvještaj</w:t>
      </w:r>
    </w:p>
    <w:p w14:paraId="4E0E5936" w14:textId="77777777" w:rsidR="00DF20F7" w:rsidRPr="009E7EA3" w:rsidRDefault="00DF20F7" w:rsidP="00DF20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Sadrži:</w:t>
      </w:r>
    </w:p>
    <w:p w14:paraId="17814D47" w14:textId="77777777" w:rsidR="00DF20F7" w:rsidRPr="009E7EA3" w:rsidRDefault="00DF20F7" w:rsidP="00DF20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sve sprovedene analize;</w:t>
      </w:r>
    </w:p>
    <w:p w14:paraId="567E5C68" w14:textId="77777777" w:rsidR="00DF20F7" w:rsidRPr="009E7EA3" w:rsidRDefault="00DF20F7" w:rsidP="00DF20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ključne nalaze;</w:t>
      </w:r>
    </w:p>
    <w:p w14:paraId="48ABE3CA" w14:textId="77777777" w:rsidR="00DF20F7" w:rsidRPr="009E7EA3" w:rsidRDefault="00DF20F7" w:rsidP="00DF20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benchmarking;</w:t>
      </w:r>
    </w:p>
    <w:p w14:paraId="054E8657" w14:textId="77777777" w:rsidR="00DF20F7" w:rsidRPr="009E7EA3" w:rsidRDefault="00DF20F7" w:rsidP="00DF20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SWOT analizu;</w:t>
      </w:r>
    </w:p>
    <w:p w14:paraId="308475CC" w14:textId="77777777" w:rsidR="00DF20F7" w:rsidRPr="009E7EA3" w:rsidRDefault="00DF20F7" w:rsidP="00DF20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preporuke.</w:t>
      </w:r>
    </w:p>
    <w:p w14:paraId="64A7E3CE" w14:textId="77777777" w:rsidR="00DF20F7" w:rsidRPr="009E7EA3" w:rsidRDefault="00DF20F7" w:rsidP="00DF20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Deliverable 3 – Nacrt Strategije</w:t>
      </w:r>
    </w:p>
    <w:p w14:paraId="17DB47BB" w14:textId="77777777" w:rsidR="00DF20F7" w:rsidRPr="009E7EA3" w:rsidRDefault="00DF20F7" w:rsidP="00DF20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Sadrži kompletan nacrt strateškog dokumenta.</w:t>
      </w:r>
    </w:p>
    <w:p w14:paraId="525B8801" w14:textId="77777777" w:rsidR="00DF20F7" w:rsidRPr="009E7EA3" w:rsidRDefault="00DF20F7" w:rsidP="00DF20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Deliverable 4 – Finalna Strategija</w:t>
      </w:r>
    </w:p>
    <w:p w14:paraId="1C7D7B9C" w14:textId="77777777" w:rsidR="00DF20F7" w:rsidRPr="009E7EA3" w:rsidRDefault="00DF20F7" w:rsidP="00DF20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Revidirana i finalizovana verzija dokumenta.</w:t>
      </w:r>
    </w:p>
    <w:p w14:paraId="14FBE312" w14:textId="77777777" w:rsidR="00DF20F7" w:rsidRPr="009E7EA3" w:rsidRDefault="00DF20F7" w:rsidP="00DF20F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b/>
          <w:bCs/>
          <w:sz w:val="24"/>
          <w:szCs w:val="24"/>
          <w:lang w:eastAsia="en-GB"/>
        </w:rPr>
        <w:t>Deliverable 5 – Prezentacija nalaza</w:t>
      </w:r>
    </w:p>
    <w:p w14:paraId="6C33206C" w14:textId="748021F2" w:rsidR="00951079" w:rsidRDefault="00DF20F7" w:rsidP="00C627D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 xml:space="preserve">Prezentacija finalnog dokumenta </w:t>
      </w:r>
    </w:p>
    <w:p w14:paraId="7CCEDA1E" w14:textId="582DB2D9" w:rsidR="00C627D3" w:rsidRPr="00C627D3" w:rsidRDefault="00C627D3" w:rsidP="00C627D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4"/>
          <w:szCs w:val="24"/>
          <w:lang w:eastAsia="en-GB"/>
        </w:rPr>
        <w:t xml:space="preserve">6. </w:t>
      </w:r>
      <w:r w:rsidRPr="00C627D3">
        <w:rPr>
          <w:rFonts w:eastAsia="Times New Roman" w:cstheme="minorHAnsi"/>
          <w:b/>
          <w:bCs/>
          <w:sz w:val="24"/>
          <w:szCs w:val="24"/>
          <w:lang w:eastAsia="en-GB"/>
        </w:rPr>
        <w:t>Strategija treba da bude:</w:t>
      </w:r>
    </w:p>
    <w:p w14:paraId="2692A929" w14:textId="77777777" w:rsidR="00C627D3" w:rsidRPr="009E7EA3" w:rsidRDefault="00C627D3" w:rsidP="00C627D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operativna;</w:t>
      </w:r>
    </w:p>
    <w:p w14:paraId="637051E6" w14:textId="77777777" w:rsidR="00C627D3" w:rsidRPr="009E7EA3" w:rsidRDefault="00C627D3" w:rsidP="00C627D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mjerljiva;</w:t>
      </w:r>
    </w:p>
    <w:p w14:paraId="6702D3BF" w14:textId="77777777" w:rsidR="00C627D3" w:rsidRPr="009E7EA3" w:rsidRDefault="00C627D3" w:rsidP="00C627D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finansijski realistična;</w:t>
      </w:r>
    </w:p>
    <w:p w14:paraId="72823581" w14:textId="77777777" w:rsidR="00C627D3" w:rsidRPr="009E7EA3" w:rsidRDefault="00C627D3" w:rsidP="00C627D3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E7EA3">
        <w:rPr>
          <w:rFonts w:eastAsia="Times New Roman" w:cstheme="minorHAnsi"/>
          <w:sz w:val="24"/>
          <w:szCs w:val="24"/>
          <w:lang w:eastAsia="en-GB"/>
        </w:rPr>
        <w:t>usklađena sa mogućim izvorima finansiranja.</w:t>
      </w:r>
    </w:p>
    <w:p w14:paraId="09AE3FB6" w14:textId="77777777" w:rsidR="00C627D3" w:rsidRPr="009E7EA3" w:rsidRDefault="00C627D3" w:rsidP="00DF20F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24B53E86" w14:textId="77777777" w:rsidR="00DF20F7" w:rsidRPr="009E7EA3" w:rsidRDefault="00DF20F7" w:rsidP="00E3447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sectPr w:rsidR="00DF20F7" w:rsidRPr="009E7E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20A"/>
    <w:multiLevelType w:val="hybridMultilevel"/>
    <w:tmpl w:val="539AC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9CF"/>
    <w:multiLevelType w:val="multilevel"/>
    <w:tmpl w:val="9896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A6575"/>
    <w:multiLevelType w:val="multilevel"/>
    <w:tmpl w:val="2954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A6520"/>
    <w:multiLevelType w:val="multilevel"/>
    <w:tmpl w:val="A1D6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61B66"/>
    <w:multiLevelType w:val="multilevel"/>
    <w:tmpl w:val="8F88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71CE5"/>
    <w:multiLevelType w:val="multilevel"/>
    <w:tmpl w:val="8B1C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1A1BA9"/>
    <w:multiLevelType w:val="multilevel"/>
    <w:tmpl w:val="C752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E091A"/>
    <w:multiLevelType w:val="multilevel"/>
    <w:tmpl w:val="C588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611CC"/>
    <w:multiLevelType w:val="multilevel"/>
    <w:tmpl w:val="C388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D174B"/>
    <w:multiLevelType w:val="multilevel"/>
    <w:tmpl w:val="A66C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B051D0"/>
    <w:multiLevelType w:val="multilevel"/>
    <w:tmpl w:val="B8B0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C92202"/>
    <w:multiLevelType w:val="multilevel"/>
    <w:tmpl w:val="A47C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34AA8"/>
    <w:multiLevelType w:val="multilevel"/>
    <w:tmpl w:val="98FA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FD7971"/>
    <w:multiLevelType w:val="multilevel"/>
    <w:tmpl w:val="7B20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A206C"/>
    <w:multiLevelType w:val="multilevel"/>
    <w:tmpl w:val="1B88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DD765B"/>
    <w:multiLevelType w:val="multilevel"/>
    <w:tmpl w:val="C5B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40782A"/>
    <w:multiLevelType w:val="multilevel"/>
    <w:tmpl w:val="5DFA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3358A3"/>
    <w:multiLevelType w:val="multilevel"/>
    <w:tmpl w:val="74E8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D62AE7"/>
    <w:multiLevelType w:val="multilevel"/>
    <w:tmpl w:val="48F8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40A54"/>
    <w:multiLevelType w:val="multilevel"/>
    <w:tmpl w:val="E31A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A151BF"/>
    <w:multiLevelType w:val="multilevel"/>
    <w:tmpl w:val="BD6C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383C69"/>
    <w:multiLevelType w:val="multilevel"/>
    <w:tmpl w:val="9A50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7A3D6E"/>
    <w:multiLevelType w:val="multilevel"/>
    <w:tmpl w:val="ACD0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9E1A22"/>
    <w:multiLevelType w:val="multilevel"/>
    <w:tmpl w:val="80BE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1D20F2"/>
    <w:multiLevelType w:val="multilevel"/>
    <w:tmpl w:val="3FE4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642CE0"/>
    <w:multiLevelType w:val="multilevel"/>
    <w:tmpl w:val="9676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B14CF0"/>
    <w:multiLevelType w:val="multilevel"/>
    <w:tmpl w:val="C5F83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462776"/>
    <w:multiLevelType w:val="multilevel"/>
    <w:tmpl w:val="37F6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C12857"/>
    <w:multiLevelType w:val="multilevel"/>
    <w:tmpl w:val="9B62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3C0CEB"/>
    <w:multiLevelType w:val="multilevel"/>
    <w:tmpl w:val="677E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B0198A"/>
    <w:multiLevelType w:val="multilevel"/>
    <w:tmpl w:val="F81C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897718"/>
    <w:multiLevelType w:val="multilevel"/>
    <w:tmpl w:val="28466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D96DCC"/>
    <w:multiLevelType w:val="multilevel"/>
    <w:tmpl w:val="0B80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6548F6"/>
    <w:multiLevelType w:val="multilevel"/>
    <w:tmpl w:val="7F8A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C64E93"/>
    <w:multiLevelType w:val="multilevel"/>
    <w:tmpl w:val="4D86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2F035A"/>
    <w:multiLevelType w:val="multilevel"/>
    <w:tmpl w:val="A616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547859"/>
    <w:multiLevelType w:val="multilevel"/>
    <w:tmpl w:val="745C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B71EAD"/>
    <w:multiLevelType w:val="multilevel"/>
    <w:tmpl w:val="1C3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8B2D35"/>
    <w:multiLevelType w:val="multilevel"/>
    <w:tmpl w:val="287A3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9D5260"/>
    <w:multiLevelType w:val="multilevel"/>
    <w:tmpl w:val="F888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3A7F4B"/>
    <w:multiLevelType w:val="multilevel"/>
    <w:tmpl w:val="7126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EC2939"/>
    <w:multiLevelType w:val="multilevel"/>
    <w:tmpl w:val="5DE8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5C7EEB"/>
    <w:multiLevelType w:val="multilevel"/>
    <w:tmpl w:val="AFF6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6937D2"/>
    <w:multiLevelType w:val="multilevel"/>
    <w:tmpl w:val="6056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970A81"/>
    <w:multiLevelType w:val="multilevel"/>
    <w:tmpl w:val="30F2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164023"/>
    <w:multiLevelType w:val="multilevel"/>
    <w:tmpl w:val="8D82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7"/>
  </w:num>
  <w:num w:numId="3">
    <w:abstractNumId w:val="39"/>
  </w:num>
  <w:num w:numId="4">
    <w:abstractNumId w:val="37"/>
  </w:num>
  <w:num w:numId="5">
    <w:abstractNumId w:val="30"/>
  </w:num>
  <w:num w:numId="6">
    <w:abstractNumId w:val="36"/>
  </w:num>
  <w:num w:numId="7">
    <w:abstractNumId w:val="31"/>
  </w:num>
  <w:num w:numId="8">
    <w:abstractNumId w:val="20"/>
  </w:num>
  <w:num w:numId="9">
    <w:abstractNumId w:val="45"/>
  </w:num>
  <w:num w:numId="10">
    <w:abstractNumId w:val="6"/>
  </w:num>
  <w:num w:numId="11">
    <w:abstractNumId w:val="21"/>
  </w:num>
  <w:num w:numId="12">
    <w:abstractNumId w:val="3"/>
  </w:num>
  <w:num w:numId="13">
    <w:abstractNumId w:val="7"/>
  </w:num>
  <w:num w:numId="14">
    <w:abstractNumId w:val="15"/>
  </w:num>
  <w:num w:numId="15">
    <w:abstractNumId w:val="12"/>
  </w:num>
  <w:num w:numId="16">
    <w:abstractNumId w:val="10"/>
  </w:num>
  <w:num w:numId="17">
    <w:abstractNumId w:val="43"/>
  </w:num>
  <w:num w:numId="18">
    <w:abstractNumId w:val="11"/>
  </w:num>
  <w:num w:numId="19">
    <w:abstractNumId w:val="9"/>
  </w:num>
  <w:num w:numId="20">
    <w:abstractNumId w:val="8"/>
  </w:num>
  <w:num w:numId="21">
    <w:abstractNumId w:val="40"/>
  </w:num>
  <w:num w:numId="22">
    <w:abstractNumId w:val="17"/>
  </w:num>
  <w:num w:numId="23">
    <w:abstractNumId w:val="16"/>
  </w:num>
  <w:num w:numId="24">
    <w:abstractNumId w:val="25"/>
  </w:num>
  <w:num w:numId="25">
    <w:abstractNumId w:val="41"/>
  </w:num>
  <w:num w:numId="26">
    <w:abstractNumId w:val="34"/>
  </w:num>
  <w:num w:numId="27">
    <w:abstractNumId w:val="22"/>
  </w:num>
  <w:num w:numId="28">
    <w:abstractNumId w:val="35"/>
  </w:num>
  <w:num w:numId="29">
    <w:abstractNumId w:val="26"/>
  </w:num>
  <w:num w:numId="30">
    <w:abstractNumId w:val="29"/>
  </w:num>
  <w:num w:numId="31">
    <w:abstractNumId w:val="2"/>
  </w:num>
  <w:num w:numId="32">
    <w:abstractNumId w:val="32"/>
  </w:num>
  <w:num w:numId="33">
    <w:abstractNumId w:val="1"/>
  </w:num>
  <w:num w:numId="34">
    <w:abstractNumId w:val="38"/>
  </w:num>
  <w:num w:numId="35">
    <w:abstractNumId w:val="14"/>
  </w:num>
  <w:num w:numId="36">
    <w:abstractNumId w:val="33"/>
  </w:num>
  <w:num w:numId="37">
    <w:abstractNumId w:val="28"/>
  </w:num>
  <w:num w:numId="38">
    <w:abstractNumId w:val="19"/>
  </w:num>
  <w:num w:numId="39">
    <w:abstractNumId w:val="4"/>
  </w:num>
  <w:num w:numId="40">
    <w:abstractNumId w:val="42"/>
  </w:num>
  <w:num w:numId="41">
    <w:abstractNumId w:val="13"/>
  </w:num>
  <w:num w:numId="42">
    <w:abstractNumId w:val="18"/>
  </w:num>
  <w:num w:numId="43">
    <w:abstractNumId w:val="5"/>
  </w:num>
  <w:num w:numId="44">
    <w:abstractNumId w:val="24"/>
  </w:num>
  <w:num w:numId="45">
    <w:abstractNumId w:val="44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B6"/>
    <w:rsid w:val="00057E65"/>
    <w:rsid w:val="00075979"/>
    <w:rsid w:val="000E74B6"/>
    <w:rsid w:val="00147C34"/>
    <w:rsid w:val="001518E6"/>
    <w:rsid w:val="001806E8"/>
    <w:rsid w:val="002B65FF"/>
    <w:rsid w:val="002F7BC2"/>
    <w:rsid w:val="00413EEA"/>
    <w:rsid w:val="004678A5"/>
    <w:rsid w:val="006E0D52"/>
    <w:rsid w:val="006F2111"/>
    <w:rsid w:val="00951079"/>
    <w:rsid w:val="00985089"/>
    <w:rsid w:val="009D2A38"/>
    <w:rsid w:val="009E7EA3"/>
    <w:rsid w:val="00AD36CF"/>
    <w:rsid w:val="00C627D3"/>
    <w:rsid w:val="00D60618"/>
    <w:rsid w:val="00DF20F7"/>
    <w:rsid w:val="00E3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01B59"/>
  <w15:chartTrackingRefBased/>
  <w15:docId w15:val="{3F78E737-26F6-4E94-99A8-6F8BDF97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44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E344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34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47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3447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3447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34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D2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9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5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Zorić Šundić</dc:creator>
  <cp:keywords/>
  <dc:description/>
  <cp:lastModifiedBy>Vanja Zorić Šundić</cp:lastModifiedBy>
  <cp:revision>10</cp:revision>
  <dcterms:created xsi:type="dcterms:W3CDTF">2026-05-08T05:56:00Z</dcterms:created>
  <dcterms:modified xsi:type="dcterms:W3CDTF">2026-06-30T12:46:00Z</dcterms:modified>
</cp:coreProperties>
</file>