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8F1F48" w:rsidRDefault="00EB65CC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>Ministarstvo javnih radova</w:t>
      </w:r>
    </w:p>
    <w:p w14:paraId="04D6776F" w14:textId="77777777" w:rsidR="00CA06BE" w:rsidRPr="008F1F48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>ul.Arsenija Boljevića 2a, City Mall/III sprat, 81000 Podgorica</w:t>
      </w:r>
      <w:r w:rsidRPr="008F1F48">
        <w:rPr>
          <w:rFonts w:ascii="Arial" w:eastAsia="Calibri" w:hAnsi="Arial" w:cs="Arial"/>
          <w:lang w:val="sr-Latn-ME"/>
        </w:rPr>
        <w:tab/>
        <w:t xml:space="preserve"> </w:t>
      </w:r>
    </w:p>
    <w:p w14:paraId="32B07FCB" w14:textId="4EFEF6C9" w:rsidR="00CA06BE" w:rsidRPr="008F1F48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 xml:space="preserve">Broj: </w:t>
      </w:r>
      <w:r w:rsidR="00DF430C" w:rsidRPr="00DF430C">
        <w:rPr>
          <w:rFonts w:ascii="Arial" w:eastAsia="Calibri" w:hAnsi="Arial" w:cs="Arial"/>
          <w:lang w:val="sr-Latn-ME"/>
        </w:rPr>
        <w:t>01-426/26-2102/</w:t>
      </w:r>
      <w:r w:rsidR="00DF430C">
        <w:rPr>
          <w:rFonts w:ascii="Arial" w:eastAsia="Calibri" w:hAnsi="Arial" w:cs="Arial"/>
          <w:lang w:val="sr-Latn-ME"/>
        </w:rPr>
        <w:t>6</w:t>
      </w:r>
    </w:p>
    <w:p w14:paraId="2B091172" w14:textId="5AAF5267" w:rsidR="00875206" w:rsidRPr="008F1F48" w:rsidRDefault="00CA06BE" w:rsidP="0019089B">
      <w:pPr>
        <w:pStyle w:val="ListParagraph"/>
        <w:spacing w:after="0" w:line="240" w:lineRule="auto"/>
        <w:ind w:left="0"/>
        <w:rPr>
          <w:rFonts w:ascii="Arial" w:hAnsi="Arial" w:cs="Arial"/>
          <w:bCs/>
          <w:lang w:val="sr-Latn-ME"/>
        </w:rPr>
      </w:pPr>
      <w:r w:rsidRPr="008F1F48">
        <w:rPr>
          <w:rFonts w:ascii="Arial" w:hAnsi="Arial" w:cs="Arial"/>
          <w:lang w:val="sr-Latn-ME"/>
        </w:rPr>
        <w:t xml:space="preserve">Podgorica, </w:t>
      </w:r>
      <w:r w:rsidR="00DF430C">
        <w:rPr>
          <w:rFonts w:ascii="Arial" w:hAnsi="Arial" w:cs="Arial"/>
          <w:lang w:val="sr-Latn-ME"/>
        </w:rPr>
        <w:t>22.06.2026.godine</w:t>
      </w:r>
    </w:p>
    <w:p w14:paraId="547A3395" w14:textId="2E97516F" w:rsidR="00EB65CC" w:rsidRPr="008F1F48" w:rsidRDefault="00EB65CC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7E1BC8CA" w14:textId="0AF2F9CD" w:rsidR="005F315A" w:rsidRPr="008F1F48" w:rsidRDefault="005F315A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2665F03C" w14:textId="77777777" w:rsidR="005F315A" w:rsidRPr="008F1F48" w:rsidRDefault="005F315A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0033716C" w14:textId="3E2B30EA" w:rsidR="00ED20CA" w:rsidRPr="008F1F48" w:rsidRDefault="00875206" w:rsidP="00EB65CC">
      <w:pPr>
        <w:pStyle w:val="NoSpacing"/>
        <w:ind w:firstLine="709"/>
        <w:jc w:val="center"/>
        <w:rPr>
          <w:rFonts w:ascii="Arial" w:hAnsi="Arial" w:cs="Arial"/>
          <w:b/>
          <w:bCs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>POJAŠNJENJE</w:t>
      </w:r>
    </w:p>
    <w:p w14:paraId="633A2975" w14:textId="3D050628" w:rsidR="002851D5" w:rsidRPr="008F1F48" w:rsidRDefault="00EB01C8" w:rsidP="008F1F48">
      <w:pPr>
        <w:jc w:val="center"/>
        <w:rPr>
          <w:rFonts w:ascii="Arial" w:hAnsi="Arial" w:cs="Arial"/>
          <w:b/>
          <w:bCs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 xml:space="preserve">Tenderske dokumentacije broj </w:t>
      </w:r>
      <w:r w:rsidR="008F1F48" w:rsidRPr="008F1F48">
        <w:rPr>
          <w:rFonts w:ascii="Arial" w:hAnsi="Arial" w:cs="Arial"/>
          <w:b/>
          <w:bCs/>
          <w:lang w:val="sr-Latn-ME"/>
        </w:rPr>
        <w:t xml:space="preserve">04-40/26 </w:t>
      </w:r>
      <w:r w:rsidRPr="008F1F48">
        <w:rPr>
          <w:rFonts w:ascii="Arial" w:hAnsi="Arial" w:cs="Arial"/>
          <w:b/>
          <w:bCs/>
          <w:lang w:val="sr-Latn-ME"/>
        </w:rPr>
        <w:t xml:space="preserve">od </w:t>
      </w:r>
      <w:r w:rsidR="008F1F48" w:rsidRPr="008F1F48">
        <w:rPr>
          <w:rFonts w:ascii="Arial" w:hAnsi="Arial" w:cs="Arial"/>
          <w:b/>
          <w:bCs/>
          <w:lang w:val="sr-Latn-ME"/>
        </w:rPr>
        <w:t>10.06.</w:t>
      </w:r>
      <w:r w:rsidR="008D1C85" w:rsidRPr="008F1F48">
        <w:rPr>
          <w:rFonts w:ascii="Arial" w:hAnsi="Arial" w:cs="Arial"/>
          <w:b/>
          <w:bCs/>
          <w:lang w:val="sr-Latn-ME"/>
        </w:rPr>
        <w:t>2026.godine</w:t>
      </w:r>
    </w:p>
    <w:p w14:paraId="1673D2C2" w14:textId="3F6A7453" w:rsidR="0073163A" w:rsidRPr="008F1F48" w:rsidRDefault="00EB01C8" w:rsidP="008F1F48">
      <w:pPr>
        <w:jc w:val="center"/>
        <w:rPr>
          <w:rFonts w:ascii="Arial" w:hAnsi="Arial" w:cs="Arial"/>
          <w:noProof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>(šifra postupka</w:t>
      </w:r>
      <w:r w:rsidR="00026DFB" w:rsidRPr="008F1F48">
        <w:rPr>
          <w:rFonts w:ascii="Arial" w:hAnsi="Arial" w:cs="Arial"/>
          <w:b/>
          <w:bCs/>
          <w:lang w:val="sr-Latn-ME"/>
        </w:rPr>
        <w:t xml:space="preserve"> </w:t>
      </w:r>
      <w:r w:rsidR="00880AC0" w:rsidRPr="008F1F48">
        <w:rPr>
          <w:rFonts w:ascii="Arial" w:hAnsi="Arial" w:cs="Arial"/>
          <w:b/>
          <w:bCs/>
          <w:lang w:val="sr-Latn-ME"/>
        </w:rPr>
        <w:t>#</w:t>
      </w:r>
      <w:r w:rsidR="003D57A9" w:rsidRPr="008F1F48">
        <w:rPr>
          <w:rFonts w:ascii="Arial" w:hAnsi="Arial" w:cs="Arial"/>
          <w:b/>
          <w:bCs/>
          <w:lang w:val="sr-Latn-ME"/>
        </w:rPr>
        <w:t>1</w:t>
      </w:r>
      <w:r w:rsidR="008F1F48" w:rsidRPr="008F1F48">
        <w:rPr>
          <w:rFonts w:ascii="Arial" w:hAnsi="Arial" w:cs="Arial"/>
          <w:b/>
          <w:bCs/>
          <w:lang w:val="sr-Latn-ME"/>
        </w:rPr>
        <w:t>17151</w:t>
      </w:r>
      <w:r w:rsidR="00026DFB" w:rsidRPr="008F1F48">
        <w:rPr>
          <w:rFonts w:ascii="Arial" w:hAnsi="Arial" w:cs="Arial"/>
          <w:b/>
          <w:bCs/>
          <w:lang w:val="sr-Latn-ME"/>
        </w:rPr>
        <w:t>)</w:t>
      </w:r>
      <w:r w:rsidR="00EB65CC" w:rsidRPr="008F1F48">
        <w:rPr>
          <w:rFonts w:ascii="Arial" w:hAnsi="Arial" w:cs="Arial"/>
          <w:b/>
          <w:bCs/>
          <w:lang w:val="sr-Latn-ME"/>
        </w:rPr>
        <w:t xml:space="preserve"> za</w:t>
      </w:r>
      <w:r w:rsidR="008D1C85" w:rsidRPr="008F1F48">
        <w:rPr>
          <w:rFonts w:ascii="Arial" w:hAnsi="Arial" w:cs="Arial"/>
          <w:b/>
          <w:bCs/>
          <w:lang w:val="sr-Latn-ME"/>
        </w:rPr>
        <w:t xml:space="preserve"> </w:t>
      </w:r>
      <w:r w:rsidR="008F1F48" w:rsidRPr="008F1F48">
        <w:rPr>
          <w:rFonts w:ascii="Arial" w:hAnsi="Arial" w:cs="Arial"/>
          <w:b/>
          <w:bCs/>
          <w:lang w:val="sr-Latn-ME"/>
        </w:rPr>
        <w:t>izvođenje radova na izgradnji Bulevara Velje brdo sa pratećom infrastrukturom</w:t>
      </w:r>
    </w:p>
    <w:p w14:paraId="715CBE05" w14:textId="4CF79A5E" w:rsidR="00B22BC5" w:rsidRPr="008F1F48" w:rsidRDefault="00B22BC5" w:rsidP="0073163A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ascii="Arial" w:hAnsi="Arial" w:cs="Arial"/>
          <w:bCs/>
          <w:lang w:val="sr-Latn-ME"/>
        </w:rPr>
      </w:pPr>
      <w:r w:rsidRPr="008F1F48">
        <w:rPr>
          <w:rFonts w:ascii="Arial" w:hAnsi="Arial" w:cs="Arial"/>
          <w:bCs/>
          <w:lang w:val="sr-Latn-ME"/>
        </w:rPr>
        <w:t>Povodom zahtjeva za pojašnjenje Tenderske dokumentacije</w:t>
      </w:r>
      <w:r w:rsidR="00FD6A75" w:rsidRPr="008F1F48">
        <w:rPr>
          <w:rFonts w:ascii="Arial" w:hAnsi="Arial" w:cs="Arial"/>
          <w:bCs/>
          <w:lang w:val="sr-Latn-ME"/>
        </w:rPr>
        <w:t>,</w:t>
      </w:r>
      <w:r w:rsidRPr="008F1F48">
        <w:rPr>
          <w:rFonts w:ascii="Arial" w:hAnsi="Arial" w:cs="Arial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478DE9A7" w14:textId="77777777" w:rsidR="00EB65CC" w:rsidRPr="008F1F48" w:rsidRDefault="00EB65CC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073E539C" w14:textId="77777777" w:rsidR="00A752D8" w:rsidRPr="00A65824" w:rsidRDefault="00A752D8" w:rsidP="00A752D8">
      <w:pPr>
        <w:rPr>
          <w:rFonts w:ascii="Arial" w:hAnsi="Arial" w:cs="Arial"/>
        </w:rPr>
      </w:pPr>
    </w:p>
    <w:p w14:paraId="6208F89C" w14:textId="25027BDA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Pitanje 1: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>Poštovani, U PREGLEDU POSTUPKA #117151 je kao Rok izvršenja ugovora navedeno: ''Rok izvršenja: 540 radnih dana od dana uvođenja u posao''. Mišljenja smo da je navedeni rok veoma kratak, kada se uzmu u obzir količine radova (naročito iskopa) i kompleksnost cjelokupnog projekta. S obzirom na količine iskopa iz tehničke specifikacije predmeta nabavke, na konfiguraciju terena i nemogućnost istovremenog pristupa trasi za veći broj mašina koje bi sinhronizovano vršile iskope, smatramo da navedeni rok za izvršenje ugovora ne može biti ispoštovan čak ni uz maksimalne napore i zalaganja Izvođača, te Vas molimo da razmotrite produženje navedenog roka za izvođenje radova.</w:t>
      </w:r>
    </w:p>
    <w:p w14:paraId="7CE7C522" w14:textId="37D29748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Odgovor: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>Prilikom određivanja roka uzeti su u obzir obim i vrste radova, konfiguracija terena, tehničko-tehnološki uslovi izvođenja, kao i mogućnost organizacije radova kroz više faza i radnih frontova. Dodatno, u okviru pripremnih radova izvodi se radna staza, kojom će se omogućiti pristup trasi i stvoriti preduslovi za efikasniju organizaciju izvođenja radova.</w:t>
      </w:r>
    </w:p>
    <w:p w14:paraId="62829146" w14:textId="77777777" w:rsidR="00A752D8" w:rsidRPr="00A752D8" w:rsidRDefault="00A752D8" w:rsidP="00A752D8">
      <w:pPr>
        <w:jc w:val="both"/>
        <w:rPr>
          <w:rFonts w:ascii="Arial" w:hAnsi="Arial" w:cs="Arial"/>
        </w:rPr>
      </w:pPr>
    </w:p>
    <w:p w14:paraId="5B705EA9" w14:textId="604026AE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Pitanje 2: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 xml:space="preserve">Tenderska dokumentacija u dijelu „Uslovi za obavljanje djelatnosti“ zahtijeva da privredni subjekat istovremeno posjeduje licencu za građenje objekata (čl. 84 i 107 Zakona o izgradnji objekata) i „Licencu za izradu projekata geoloških istraživanja, vršenje više vrsta geoloških istraživanja i izrade elaborata o rezultatima geoloških istraživanja (inženjersko-geološka i geotehnička, te hidrogeološka istraživanja)“, izdatu u skladu sa Zakonom o geološkim istraživanjima. Uslov se umnožava i kroz zahtjev za angažovanje odgovornog inženjera geologije sa položenim stručnim ispitom za vršenje geoloških istraživanja (tačka 9 stručnih i kadrovskih kapaciteta). Pojašnjenjem ste naveli: ,,Predmetni uslov je definsan na osnovu geotehničkog elaborata, kojim je predviđeno geotehničko praćenje i stalni geotehnički nadzor tokom izvođenja radova u složenim geotehničkim uslovima. Odnosi se na pozicije 11 – 18, 22, 42, 53, 57, 58, 68, 69, 70, 84, 85, 86, 107, 108. Saglasno Zakonu o javnim nabavkama ponuđač može da podnese ponudu samostalno, zajedničku ponudu, da koristi kapacitete drugog privrednog subjekta ili da dio predmeta javne nabavke ustupi podugovaraču, U zavisnosti od načina podnošenja ponude ponuđač sačinjava Izjavu privrednog subjekta, a sve u skladu sa Pravilnikom o obrascu Izjave privrednog subjekta.’’ Ukoliko ponuđač da bi dokazao predmetne uslove da posjeduje „Licencu </w:t>
      </w:r>
      <w:r w:rsidRPr="00A752D8">
        <w:rPr>
          <w:rFonts w:ascii="Arial" w:hAnsi="Arial" w:cs="Arial"/>
        </w:rPr>
        <w:lastRenderedPageBreak/>
        <w:t>za izradu projekata geoloških istraživanja, vršenje više vrsta geoloških istraživanja i izrade elaborata o rezultatima geoloških istraživanja (inženjersko-geološka i geotehnička, te hidrogeološka istraživanja)“, izdatu u skladu sa Zakonom o geološkim istraživanjima i da posjeduje odgovornog inženjera geologije sa položenim stručnim ispitom za vršenje geoloških istraživanja (tačka 9 stručnih i kadrovskih kapaciteta), angažuje podugovarača, molimo da potvrdite da je u tom slučaju dovoljno da u izjavi privrednog subjekta u Dijelu C u ovoj rubrici “a) navesti dio predmeta nabavke koji se ustupa, sa podacima o nazivu i opisu dijela predmeta nabavke i procentualni udio u ukupnoj vrijednosti predmeta nabavke:” navede tekst: Podugovaraču se ustupa geotehničko praćenje i stalni geotehnički nadzor tokom izvođenja radova u složenim geotehničkim uslovima, što se nalazi u pozicijama 11 – 18, 22, 42, 53, 57, 58, 68, 69, 70, 84, 85, 86, 107, 108 tehničke specifiakcije predmeta nabavke i navede procentualni udio u ukupnoj vrijednosti predmeta nabavke? Molimo naručioca da ovo potvrdi a ako ne potvrđuje molimo da vrlo precizno navede šta se treba navesti u ovom slučaju jer je ovo bitno da bi se pripremila ponuda. Pozdrav,</w:t>
      </w:r>
    </w:p>
    <w:p w14:paraId="07B49A48" w14:textId="09762042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Odgovor: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>Naručilac potvrđuje da je navedeni način popunjavanja Izjave privrednog subjekta prihvatljiv, uz obavezu navođenja dijela predmeta nabavke koji se ustupa podugovaraču i procentualnog udjela u ukupnoj vrijednosti predmeta nabavke, u skladu sa Pravilnikom o obrascu Izjave privrednog subjekta.</w:t>
      </w:r>
    </w:p>
    <w:p w14:paraId="3542137A" w14:textId="13C03AE7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Pitanje 3:U pregledu postupka je navedeno ''Rok plaćanja je: 30 dana od dana ovjere privremene situacije za izvedene radove, odnosno privremene i okončane situacije za izvedene radove.'' Molimo za pojašnjenje za sledeće: - do kada je Izvođač dužan da preda Stručnom nadzoru privremenu mjesečnu situaciju, tj. do kojeg dana u mjesecu, za radove koji su izvršeni u prethodnom mjesecu? - Koji je rok Stručnom nadzoru da ovjeri situaciju, ukoliko nema primjedbi? - Ukoliko Stručni nadzor ima primjedbe, koji rok ima Izvođač da te primjedbe otkloni? - Koji je rok Stručnom nadzoru da ovjeri situaciju, nakon otklanjanja primjedbi i ispostavljanja korigovane situacije od strane Izvođača?</w:t>
      </w:r>
    </w:p>
    <w:p w14:paraId="277E6CF5" w14:textId="34E3C1EC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>Odgovor:</w:t>
      </w:r>
      <w:r w:rsidR="00DF43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Biće predmet izmjene.</w:t>
      </w:r>
    </w:p>
    <w:p w14:paraId="41DE1F8A" w14:textId="14A29876" w:rsidR="00A752D8" w:rsidRP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 xml:space="preserve"> Pitanje 4: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>Rok izvršenja: 540 radnih dana od dana uvođenja u posao MOLIMO DA DEFINIŠETE RADNE DANE? Tj da date definiciju radni dan? Da je u pitanju kalendarski dan sve bi bilo jasno ali radni dan je već u domenu naručioca</w:t>
      </w:r>
    </w:p>
    <w:p w14:paraId="4648FD67" w14:textId="20A77014" w:rsidR="00A752D8" w:rsidRDefault="00A752D8" w:rsidP="00A752D8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 xml:space="preserve">Odgovor: </w:t>
      </w:r>
      <w:r w:rsidR="00DF430C">
        <w:rPr>
          <w:rFonts w:ascii="Arial" w:hAnsi="Arial" w:cs="Arial"/>
        </w:rPr>
        <w:t xml:space="preserve"> </w:t>
      </w:r>
      <w:r w:rsidRPr="00A752D8">
        <w:rPr>
          <w:rFonts w:ascii="Arial" w:hAnsi="Arial" w:cs="Arial"/>
        </w:rPr>
        <w:t>Pod radnim danom smatra se svaki dan koji je, u skladu sa ugovorenim dinamičkim planom izvođenja radova, upisan u građevinski dnevnik kao radni dan. Rok od 540 radnih dana računa se od dana uvođenja izvođača u posao.</w:t>
      </w:r>
    </w:p>
    <w:p w14:paraId="6609F6E6" w14:textId="77777777" w:rsidR="00DF430C" w:rsidRDefault="00DF430C" w:rsidP="00A752D8">
      <w:pPr>
        <w:jc w:val="both"/>
        <w:rPr>
          <w:rFonts w:ascii="Arial" w:hAnsi="Arial" w:cs="Arial"/>
        </w:rPr>
      </w:pPr>
    </w:p>
    <w:p w14:paraId="25B74766" w14:textId="41D81D28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5: S</w:t>
      </w:r>
      <w:r w:rsidRPr="00DF430C">
        <w:rPr>
          <w:rFonts w:ascii="Arial" w:hAnsi="Arial" w:cs="Arial"/>
        </w:rPr>
        <w:t>vesti tehničku specifikaciju svjetiljki i reflektora (poz. 134–136) na funkcionalne i svjetlotehničke zahtjeve, uz izostavljanje kataloških oznaka i nefunkcionalnih tačnih vrijednosti, te objaviti mjerljive kriterijume ekvivalentnosti i razjasniti status sertifikata „ENEC Plus“;</w:t>
      </w:r>
    </w:p>
    <w:p w14:paraId="033ACC08" w14:textId="130B3ADE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Odgovor: </w:t>
      </w:r>
      <w:r w:rsidRPr="00DF430C">
        <w:rPr>
          <w:rFonts w:ascii="Arial" w:hAnsi="Arial" w:cs="Arial"/>
        </w:rPr>
        <w:t>Naručilac upućuje na prethodno dato pojašnjenje</w:t>
      </w:r>
      <w:r>
        <w:rPr>
          <w:rFonts w:ascii="Arial" w:hAnsi="Arial" w:cs="Arial"/>
        </w:rPr>
        <w:t xml:space="preserve"> broj </w:t>
      </w:r>
      <w:r w:rsidRPr="00DF430C">
        <w:rPr>
          <w:rFonts w:ascii="Arial" w:hAnsi="Arial" w:cs="Arial"/>
        </w:rPr>
        <w:t>01-426/26-2102/4</w:t>
      </w:r>
      <w:r>
        <w:rPr>
          <w:rFonts w:ascii="Arial" w:hAnsi="Arial" w:cs="Arial"/>
        </w:rPr>
        <w:t xml:space="preserve"> od  16.06.2026.godine.</w:t>
      </w:r>
    </w:p>
    <w:p w14:paraId="01B1F653" w14:textId="77777777" w:rsidR="00DF430C" w:rsidRPr="00DF430C" w:rsidRDefault="00DF430C" w:rsidP="00DF430C">
      <w:pPr>
        <w:jc w:val="both"/>
        <w:rPr>
          <w:rFonts w:ascii="Arial" w:hAnsi="Arial" w:cs="Arial"/>
        </w:rPr>
      </w:pPr>
    </w:p>
    <w:p w14:paraId="4B7AB16E" w14:textId="3473BB2A" w:rsidR="00DF430C" w:rsidRDefault="00DF430C" w:rsidP="00DF430C">
      <w:pPr>
        <w:jc w:val="both"/>
      </w:pPr>
      <w:r>
        <w:rPr>
          <w:rFonts w:ascii="Arial" w:hAnsi="Arial" w:cs="Arial"/>
        </w:rPr>
        <w:lastRenderedPageBreak/>
        <w:t>Pitanje 6: U</w:t>
      </w:r>
      <w:r w:rsidRPr="00DF430C">
        <w:rPr>
          <w:rFonts w:ascii="Arial" w:hAnsi="Arial" w:cs="Arial"/>
        </w:rPr>
        <w:t>kloniti ograničenje maksimalnog kapaciteta i kataloške oznake separatora (poz. 102) i definisati zahtjev funkcionalno (protok, efikasnost, instalacioni okvir), uz potvrdu prihvatljivosti uređaja većeg ukupnog kapaciteta;</w:t>
      </w:r>
      <w:r w:rsidRPr="00DF430C">
        <w:t xml:space="preserve"> </w:t>
      </w:r>
    </w:p>
    <w:p w14:paraId="6FBDB128" w14:textId="7F7BCD2A" w:rsidR="00DF430C" w:rsidRPr="00DF430C" w:rsidRDefault="00DF430C" w:rsidP="00DF430C">
      <w:pPr>
        <w:jc w:val="both"/>
        <w:rPr>
          <w:rFonts w:ascii="Arial" w:hAnsi="Arial" w:cs="Arial"/>
        </w:rPr>
      </w:pPr>
      <w:r w:rsidRPr="00DF430C">
        <w:rPr>
          <w:rFonts w:ascii="Arial" w:hAnsi="Arial" w:cs="Arial"/>
        </w:rPr>
        <w:t>Odgovor: Naručilac upućuje na prethodno dato pojašnjenje broj 01-426/26-2102/4 od  16.06.2026.godine.</w:t>
      </w:r>
    </w:p>
    <w:p w14:paraId="5B424823" w14:textId="4EEA1EE3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7: U</w:t>
      </w:r>
      <w:r w:rsidRPr="00DF430C">
        <w:rPr>
          <w:rFonts w:ascii="Arial" w:hAnsi="Arial" w:cs="Arial"/>
        </w:rPr>
        <w:t>skladiti licencni uslov (Nalaz 3) sa stvarnom potrebom geotehničkog nadzora u izvođačkoj fazi i izostaviti nepovezani zahtjev za licencom za geološka istraživanja i izradu elaborata, odnosno objaviti rezultat analize tržišta po čl. 82 i 85 ako naručilac na uslovu ostaje;</w:t>
      </w:r>
    </w:p>
    <w:p w14:paraId="6EDED499" w14:textId="528373E6" w:rsidR="00DF430C" w:rsidRPr="00DF430C" w:rsidRDefault="00DF430C" w:rsidP="00DF430C">
      <w:pPr>
        <w:jc w:val="both"/>
        <w:rPr>
          <w:rFonts w:ascii="Arial" w:hAnsi="Arial" w:cs="Arial"/>
        </w:rPr>
      </w:pPr>
      <w:r w:rsidRPr="00DF430C">
        <w:rPr>
          <w:rFonts w:ascii="Arial" w:hAnsi="Arial" w:cs="Arial"/>
        </w:rPr>
        <w:t>Odgovor: Naručilac upućuje na prethodno dato pojašnjenje broj 01-426/26-2102/4 od  16.06.2026.godine</w:t>
      </w:r>
      <w:r>
        <w:rPr>
          <w:rFonts w:ascii="Arial" w:hAnsi="Arial" w:cs="Arial"/>
        </w:rPr>
        <w:t xml:space="preserve"> </w:t>
      </w:r>
      <w:r w:rsidRPr="00DF430C">
        <w:rPr>
          <w:rFonts w:ascii="Arial" w:hAnsi="Arial" w:cs="Arial"/>
        </w:rPr>
        <w:t>i dodatno pojašnjava da predmetni uslov nije uveden zbog izvođenja građevinskih radova kao takvih, već zbog potrebe obezbjeđivanja stručnog geotehničkog praćenja, analize i ocjene ponašanja terena tokom izvođenja radova u složenim geološko-geotehničkim uslovima, pri čemu ponuđač navedeni uslov može dokazati samostalno, preko člana zajedničke ponude ili angažovanjem podugovarača, čime nije ograničena konkurencija na tržištu.</w:t>
      </w:r>
    </w:p>
    <w:p w14:paraId="0890B5C0" w14:textId="18022715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8: Z</w:t>
      </w:r>
      <w:r w:rsidRPr="00DF430C">
        <w:rPr>
          <w:rFonts w:ascii="Arial" w:hAnsi="Arial" w:cs="Arial"/>
        </w:rPr>
        <w:t>a poz. 141 dodati „ili ekvivalent“, za poz. 137–139 izostaviti vlasničke oznake tipa, i za sve pozicije iz Tabele 1 objaviti kriterijume ekvivalentnosti;</w:t>
      </w:r>
    </w:p>
    <w:p w14:paraId="3E4CB2DC" w14:textId="581CE966" w:rsidR="00DF430C" w:rsidRPr="00DF430C" w:rsidRDefault="00DF430C" w:rsidP="00DF430C">
      <w:pPr>
        <w:jc w:val="both"/>
        <w:rPr>
          <w:rFonts w:ascii="Arial" w:hAnsi="Arial" w:cs="Arial"/>
        </w:rPr>
      </w:pPr>
      <w:r w:rsidRPr="00DF430C">
        <w:rPr>
          <w:rFonts w:ascii="Arial" w:hAnsi="Arial" w:cs="Arial"/>
        </w:rPr>
        <w:t>Odgovor: Naručilac upućuje na prethodno dato pojašnjenje broj 01-426/26-2102/4 od  16.06.2026.godine.</w:t>
      </w:r>
    </w:p>
    <w:p w14:paraId="1E90C3DC" w14:textId="3066558B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9:U</w:t>
      </w:r>
      <w:r w:rsidRPr="00DF430C">
        <w:rPr>
          <w:rFonts w:ascii="Arial" w:hAnsi="Arial" w:cs="Arial"/>
        </w:rPr>
        <w:t xml:space="preserve"> dokumentaciji eksplicitno objaviti ponder cijene i kvaliteta i formulu bodovanja cijene;</w:t>
      </w:r>
    </w:p>
    <w:p w14:paraId="32B698BA" w14:textId="1AED2551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Odgovor: </w:t>
      </w:r>
      <w:r w:rsidRPr="00DF430C">
        <w:rPr>
          <w:rFonts w:ascii="Arial" w:hAnsi="Arial" w:cs="Arial"/>
        </w:rPr>
        <w:t>Kriterijumi za izbor najpovoljnije ponude, njihovi ponderi i način vrednovanja ponuda definisani su tenderskom dokumentacijom.</w:t>
      </w:r>
    </w:p>
    <w:p w14:paraId="220DEE31" w14:textId="6FCB855E" w:rsidR="00DF430C" w:rsidRPr="00DF430C" w:rsidRDefault="00DF430C" w:rsidP="00DF4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10:  U</w:t>
      </w:r>
      <w:r w:rsidRPr="00DF430C">
        <w:rPr>
          <w:rFonts w:ascii="Arial" w:hAnsi="Arial" w:cs="Arial"/>
        </w:rPr>
        <w:t>činiti potpuno i besplatno dostupnim revidovani glavni projekat, geotehnički elaborat i sve tabelarne dokaznice, dostaviti dokaz o pravnom osnovu deponije (KP 387/1) i ujednačiti pravne reference.</w:t>
      </w:r>
    </w:p>
    <w:p w14:paraId="0582F331" w14:textId="1C359863" w:rsidR="00DF430C" w:rsidRDefault="00DF430C" w:rsidP="00DF430C">
      <w:pPr>
        <w:jc w:val="both"/>
        <w:rPr>
          <w:rFonts w:ascii="Arial" w:hAnsi="Arial" w:cs="Arial"/>
        </w:rPr>
      </w:pPr>
      <w:r w:rsidRPr="00DF430C">
        <w:rPr>
          <w:rFonts w:ascii="Arial" w:hAnsi="Arial" w:cs="Arial"/>
        </w:rPr>
        <w:t>Odgovor:</w:t>
      </w:r>
      <w:r>
        <w:rPr>
          <w:rFonts w:ascii="Arial" w:hAnsi="Arial" w:cs="Arial"/>
        </w:rPr>
        <w:t xml:space="preserve"> </w:t>
      </w:r>
      <w:r w:rsidRPr="00DF430C">
        <w:rPr>
          <w:rFonts w:ascii="Arial" w:hAnsi="Arial" w:cs="Arial"/>
        </w:rPr>
        <w:t>Dokumentacija</w:t>
      </w:r>
      <w:r>
        <w:rPr>
          <w:rFonts w:ascii="Arial" w:hAnsi="Arial" w:cs="Arial"/>
        </w:rPr>
        <w:t xml:space="preserve"> </w:t>
      </w:r>
      <w:r w:rsidRPr="00DF430C">
        <w:rPr>
          <w:rFonts w:ascii="Arial" w:hAnsi="Arial" w:cs="Arial"/>
        </w:rPr>
        <w:t>relevantna za pripremu i podnošenje ponuda dostupna je zainteresovanim privrednim subjektima na način predviđen tenderskom dokumentacijom.</w:t>
      </w:r>
    </w:p>
    <w:p w14:paraId="5E25F203" w14:textId="77777777" w:rsidR="00DF430C" w:rsidRPr="00A752D8" w:rsidRDefault="00DF430C" w:rsidP="00A752D8">
      <w:pPr>
        <w:jc w:val="both"/>
        <w:rPr>
          <w:rFonts w:ascii="Arial" w:hAnsi="Arial" w:cs="Arial"/>
        </w:rPr>
      </w:pPr>
    </w:p>
    <w:p w14:paraId="2D8FCB69" w14:textId="77777777" w:rsidR="00880AC0" w:rsidRPr="00A31CB1" w:rsidRDefault="00880AC0" w:rsidP="00A752D8">
      <w:pPr>
        <w:spacing w:after="0" w:line="240" w:lineRule="auto"/>
        <w:jc w:val="both"/>
        <w:rPr>
          <w:rFonts w:ascii="Arial" w:hAnsi="Arial" w:cs="Arial"/>
          <w:bCs/>
          <w:lang w:val="sr-Latn-ME"/>
        </w:rPr>
      </w:pPr>
    </w:p>
    <w:p w14:paraId="2B90C53A" w14:textId="10926CB6" w:rsidR="00875206" w:rsidRPr="00A31CB1" w:rsidRDefault="00875206" w:rsidP="0034168D">
      <w:pPr>
        <w:tabs>
          <w:tab w:val="left" w:pos="7236"/>
        </w:tabs>
        <w:rPr>
          <w:rFonts w:ascii="Arial" w:hAnsi="Arial" w:cs="Arial"/>
        </w:rPr>
      </w:pPr>
      <w:r w:rsidRPr="00A31CB1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BA6A55" w:rsidRPr="00A31CB1">
        <w:rPr>
          <w:rFonts w:ascii="Arial" w:hAnsi="Arial" w:cs="Arial"/>
        </w:rPr>
        <w:t xml:space="preserve">  </w:t>
      </w:r>
      <w:r w:rsidRPr="00A31CB1">
        <w:rPr>
          <w:rFonts w:ascii="Arial" w:hAnsi="Arial" w:cs="Arial"/>
        </w:rPr>
        <w:t xml:space="preserve"> Predsjednik Komisije</w:t>
      </w:r>
    </w:p>
    <w:p w14:paraId="346CB8E6" w14:textId="22F69243" w:rsidR="000D1568" w:rsidRPr="00A31CB1" w:rsidRDefault="00A31CB1" w:rsidP="00875206">
      <w:pPr>
        <w:tabs>
          <w:tab w:val="left" w:pos="71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="00875206" w:rsidRPr="00A31CB1">
        <w:rPr>
          <w:rFonts w:ascii="Arial" w:hAnsi="Arial" w:cs="Arial"/>
        </w:rPr>
        <w:t xml:space="preserve">  </w:t>
      </w:r>
      <w:r w:rsidR="00880AC0" w:rsidRPr="00A31CB1">
        <w:rPr>
          <w:rFonts w:ascii="Arial" w:hAnsi="Arial" w:cs="Arial"/>
        </w:rPr>
        <w:t>Milica Vukčević</w:t>
      </w:r>
      <w:r w:rsidR="00DF430C">
        <w:rPr>
          <w:rFonts w:ascii="Arial" w:hAnsi="Arial" w:cs="Arial"/>
        </w:rPr>
        <w:t>, s.r.</w:t>
      </w:r>
    </w:p>
    <w:sectPr w:rsidR="000D1568" w:rsidRPr="00A31C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C6CC" w14:textId="77777777" w:rsidR="00E17DEF" w:rsidRDefault="00E17DEF" w:rsidP="009E587D">
      <w:pPr>
        <w:spacing w:after="0" w:line="240" w:lineRule="auto"/>
      </w:pPr>
      <w:r>
        <w:separator/>
      </w:r>
    </w:p>
  </w:endnote>
  <w:endnote w:type="continuationSeparator" w:id="0">
    <w:p w14:paraId="7DC2CAFF" w14:textId="77777777" w:rsidR="00E17DEF" w:rsidRDefault="00E17DEF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E4EB" w14:textId="77777777" w:rsidR="00E17DEF" w:rsidRDefault="00E17DEF" w:rsidP="009E587D">
      <w:pPr>
        <w:spacing w:after="0" w:line="240" w:lineRule="auto"/>
      </w:pPr>
      <w:r>
        <w:separator/>
      </w:r>
    </w:p>
  </w:footnote>
  <w:footnote w:type="continuationSeparator" w:id="0">
    <w:p w14:paraId="2E4B0262" w14:textId="77777777" w:rsidR="00E17DEF" w:rsidRDefault="00E17DEF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1743096">
    <w:abstractNumId w:val="0"/>
  </w:num>
  <w:num w:numId="2" w16cid:durableId="1589997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7674E"/>
    <w:rsid w:val="00076F89"/>
    <w:rsid w:val="0009014B"/>
    <w:rsid w:val="00094865"/>
    <w:rsid w:val="000A1795"/>
    <w:rsid w:val="000D1568"/>
    <w:rsid w:val="00121115"/>
    <w:rsid w:val="00142AE5"/>
    <w:rsid w:val="00175814"/>
    <w:rsid w:val="0019089B"/>
    <w:rsid w:val="00193D53"/>
    <w:rsid w:val="001A67AD"/>
    <w:rsid w:val="001D733C"/>
    <w:rsid w:val="00255C20"/>
    <w:rsid w:val="00284A15"/>
    <w:rsid w:val="002851D5"/>
    <w:rsid w:val="003103EE"/>
    <w:rsid w:val="0033131C"/>
    <w:rsid w:val="0034168D"/>
    <w:rsid w:val="00360A64"/>
    <w:rsid w:val="003957A9"/>
    <w:rsid w:val="003D57A9"/>
    <w:rsid w:val="003D6431"/>
    <w:rsid w:val="004522EA"/>
    <w:rsid w:val="00456742"/>
    <w:rsid w:val="00492C25"/>
    <w:rsid w:val="004A5883"/>
    <w:rsid w:val="004F3CCF"/>
    <w:rsid w:val="005168D7"/>
    <w:rsid w:val="00527843"/>
    <w:rsid w:val="00555FD7"/>
    <w:rsid w:val="00576505"/>
    <w:rsid w:val="005A58C6"/>
    <w:rsid w:val="005C7F45"/>
    <w:rsid w:val="005E57AE"/>
    <w:rsid w:val="005F315A"/>
    <w:rsid w:val="00625975"/>
    <w:rsid w:val="006357AE"/>
    <w:rsid w:val="006414C5"/>
    <w:rsid w:val="00671259"/>
    <w:rsid w:val="00673782"/>
    <w:rsid w:val="006A5841"/>
    <w:rsid w:val="006B12DC"/>
    <w:rsid w:val="006F6456"/>
    <w:rsid w:val="00731510"/>
    <w:rsid w:val="0073163A"/>
    <w:rsid w:val="00734B1D"/>
    <w:rsid w:val="007550DF"/>
    <w:rsid w:val="007564A7"/>
    <w:rsid w:val="00761BA7"/>
    <w:rsid w:val="00766CBB"/>
    <w:rsid w:val="00780FD9"/>
    <w:rsid w:val="007941DD"/>
    <w:rsid w:val="007F111B"/>
    <w:rsid w:val="007F3925"/>
    <w:rsid w:val="008140FD"/>
    <w:rsid w:val="0083614C"/>
    <w:rsid w:val="00846F54"/>
    <w:rsid w:val="0087182D"/>
    <w:rsid w:val="00875206"/>
    <w:rsid w:val="00880AC0"/>
    <w:rsid w:val="00894748"/>
    <w:rsid w:val="00896EFC"/>
    <w:rsid w:val="008D1C85"/>
    <w:rsid w:val="008D58F1"/>
    <w:rsid w:val="008D7808"/>
    <w:rsid w:val="008E08E0"/>
    <w:rsid w:val="008F1F48"/>
    <w:rsid w:val="00907C3D"/>
    <w:rsid w:val="009108EA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60E9F"/>
    <w:rsid w:val="00A752D8"/>
    <w:rsid w:val="00A91A35"/>
    <w:rsid w:val="00AD5419"/>
    <w:rsid w:val="00B13278"/>
    <w:rsid w:val="00B22BC5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D0F1A"/>
    <w:rsid w:val="00BD3DC3"/>
    <w:rsid w:val="00BE2745"/>
    <w:rsid w:val="00C474C3"/>
    <w:rsid w:val="00CA06BE"/>
    <w:rsid w:val="00CC582C"/>
    <w:rsid w:val="00CE50B3"/>
    <w:rsid w:val="00CF3809"/>
    <w:rsid w:val="00D417B2"/>
    <w:rsid w:val="00D420D6"/>
    <w:rsid w:val="00D60B36"/>
    <w:rsid w:val="00DB0D28"/>
    <w:rsid w:val="00DC0209"/>
    <w:rsid w:val="00DE12C7"/>
    <w:rsid w:val="00DF430C"/>
    <w:rsid w:val="00E06E48"/>
    <w:rsid w:val="00E151D9"/>
    <w:rsid w:val="00E17DEF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F0151C"/>
    <w:rsid w:val="00F047EC"/>
    <w:rsid w:val="00F5799E"/>
    <w:rsid w:val="00F877F5"/>
    <w:rsid w:val="00F951AB"/>
    <w:rsid w:val="00FC24E2"/>
    <w:rsid w:val="00FC25DE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4</cp:revision>
  <cp:lastPrinted>2026-06-16T12:40:00Z</cp:lastPrinted>
  <dcterms:created xsi:type="dcterms:W3CDTF">2026-06-22T19:22:00Z</dcterms:created>
  <dcterms:modified xsi:type="dcterms:W3CDTF">2026-06-22T19:22:00Z</dcterms:modified>
</cp:coreProperties>
</file>