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81DC6" w:rsidRPr="00AB2FBE" w:rsidRDefault="00381DC6" w:rsidP="00381DC6">
      <w:pPr>
        <w:spacing w:after="0" w:line="240" w:lineRule="auto"/>
        <w:rPr>
          <w:rFonts w:ascii="Times New Roman" w:hAnsi="Times New Roman" w:cs="Times New Roman"/>
          <w:b/>
          <w:sz w:val="20"/>
          <w:szCs w:val="20"/>
          <w:lang w:val="sr-Latn-ME"/>
        </w:rPr>
      </w:pPr>
      <w:bookmarkStart w:id="0" w:name="_Hlk202517653"/>
      <w:r w:rsidRPr="00AB2FBE">
        <w:rPr>
          <w:rFonts w:ascii="Times New Roman" w:hAnsi="Times New Roman" w:cs="Times New Roman"/>
          <w:b/>
          <w:sz w:val="20"/>
          <w:szCs w:val="20"/>
          <w:lang w:val="sr-Latn-ME"/>
        </w:rPr>
        <w:t>Uprava za izvršenje krivičnih sankcija</w:t>
      </w:r>
    </w:p>
    <w:p w:rsidR="00381DC6" w:rsidRPr="00AB2FBE" w:rsidRDefault="00381DC6" w:rsidP="00381DC6">
      <w:pPr>
        <w:spacing w:after="0" w:line="240" w:lineRule="auto"/>
        <w:rPr>
          <w:rFonts w:ascii="Times New Roman" w:hAnsi="Times New Roman" w:cs="Times New Roman"/>
          <w:b/>
          <w:sz w:val="20"/>
          <w:szCs w:val="20"/>
          <w:lang w:val="sr-Latn-ME"/>
        </w:rPr>
      </w:pPr>
      <w:r w:rsidRPr="00AB2FBE">
        <w:rPr>
          <w:rFonts w:ascii="Times New Roman" w:hAnsi="Times New Roman" w:cs="Times New Roman"/>
          <w:b/>
          <w:sz w:val="20"/>
          <w:szCs w:val="20"/>
          <w:lang w:val="sr-Latn-ME"/>
        </w:rPr>
        <w:t xml:space="preserve">Broj: U-RJN </w:t>
      </w:r>
      <w:r w:rsidRPr="00AB2FBE">
        <w:rPr>
          <w:rFonts w:ascii="Times New Roman" w:hAnsi="Times New Roman" w:cs="Times New Roman"/>
          <w:b/>
          <w:sz w:val="20"/>
          <w:szCs w:val="20"/>
          <w:lang w:val="sr-Latn-ME"/>
        </w:rPr>
        <w:t>36/2026-3</w:t>
      </w:r>
    </w:p>
    <w:p w:rsidR="00381DC6" w:rsidRPr="00AB2FBE" w:rsidRDefault="00381DC6" w:rsidP="00381DC6">
      <w:pPr>
        <w:spacing w:after="0" w:line="240" w:lineRule="auto"/>
        <w:rPr>
          <w:rFonts w:ascii="Times New Roman" w:hAnsi="Times New Roman" w:cs="Times New Roman"/>
          <w:b/>
          <w:sz w:val="20"/>
          <w:szCs w:val="20"/>
          <w:lang w:val="sr-Latn-ME"/>
        </w:rPr>
      </w:pPr>
      <w:r w:rsidRPr="00AB2FBE">
        <w:rPr>
          <w:rFonts w:ascii="Times New Roman" w:hAnsi="Times New Roman" w:cs="Times New Roman"/>
          <w:b/>
          <w:sz w:val="20"/>
          <w:szCs w:val="20"/>
          <w:lang w:val="sr-Latn-ME"/>
        </w:rPr>
        <w:t xml:space="preserve">Datum: </w:t>
      </w:r>
      <w:r w:rsidRPr="00AB2FBE">
        <w:rPr>
          <w:rFonts w:ascii="Times New Roman" w:hAnsi="Times New Roman" w:cs="Times New Roman"/>
          <w:b/>
          <w:sz w:val="20"/>
          <w:szCs w:val="20"/>
          <w:lang w:val="sr-Latn-ME"/>
        </w:rPr>
        <w:t>15.06.2026.</w:t>
      </w:r>
      <w:r w:rsidRPr="00AB2FBE">
        <w:rPr>
          <w:rFonts w:ascii="Times New Roman" w:hAnsi="Times New Roman" w:cs="Times New Roman"/>
          <w:b/>
          <w:sz w:val="20"/>
          <w:szCs w:val="20"/>
          <w:lang w:val="sr-Latn-ME"/>
        </w:rPr>
        <w:t>godine</w:t>
      </w:r>
    </w:p>
    <w:p w:rsidR="00381DC6" w:rsidRPr="00AB2FBE" w:rsidRDefault="00381DC6" w:rsidP="00381DC6">
      <w:pPr>
        <w:rPr>
          <w:rFonts w:ascii="Times New Roman" w:hAnsi="Times New Roman" w:cs="Times New Roman"/>
          <w:sz w:val="20"/>
          <w:szCs w:val="20"/>
          <w:lang w:val="sr-Latn-ME"/>
        </w:rPr>
      </w:pPr>
    </w:p>
    <w:p w:rsidR="00381DC6" w:rsidRPr="00AB2FBE" w:rsidRDefault="00381DC6" w:rsidP="00381DC6">
      <w:pPr>
        <w:spacing w:after="0" w:line="240" w:lineRule="auto"/>
        <w:jc w:val="center"/>
        <w:rPr>
          <w:rFonts w:ascii="Times New Roman" w:hAnsi="Times New Roman" w:cs="Times New Roman"/>
          <w:b/>
          <w:sz w:val="20"/>
          <w:szCs w:val="20"/>
          <w:lang w:val="sr-Latn-ME"/>
        </w:rPr>
      </w:pPr>
      <w:r w:rsidRPr="00AB2FBE">
        <w:rPr>
          <w:rFonts w:ascii="Times New Roman" w:hAnsi="Times New Roman" w:cs="Times New Roman"/>
          <w:b/>
          <w:sz w:val="20"/>
          <w:szCs w:val="20"/>
          <w:lang w:val="sr-Latn-ME"/>
        </w:rPr>
        <w:t>POJAŠNJENJE</w:t>
      </w:r>
    </w:p>
    <w:p w:rsidR="00381DC6" w:rsidRPr="00AB2FBE" w:rsidRDefault="00381DC6" w:rsidP="00381DC6">
      <w:pPr>
        <w:shd w:val="clear" w:color="auto" w:fill="FFFFFF"/>
        <w:jc w:val="center"/>
        <w:rPr>
          <w:rFonts w:ascii="Times New Roman" w:eastAsia="Times New Roman" w:hAnsi="Times New Roman" w:cs="Times New Roman"/>
          <w:b/>
          <w:sz w:val="21"/>
          <w:szCs w:val="21"/>
          <w:lang w:val="en-US"/>
        </w:rPr>
      </w:pPr>
      <w:r w:rsidRPr="00AB2FBE">
        <w:rPr>
          <w:rFonts w:ascii="Times New Roman" w:hAnsi="Times New Roman" w:cs="Times New Roman"/>
          <w:b/>
          <w:sz w:val="20"/>
          <w:szCs w:val="20"/>
          <w:lang w:val="sr-Latn-ME"/>
        </w:rPr>
        <w:t xml:space="preserve">Zahtjeva za dostavljanje ponuda broj </w:t>
      </w:r>
      <w:r w:rsidRPr="00AB2FBE">
        <w:rPr>
          <w:rFonts w:ascii="Times New Roman" w:hAnsi="Times New Roman" w:cs="Times New Roman"/>
          <w:b/>
          <w:sz w:val="20"/>
          <w:szCs w:val="20"/>
          <w:lang w:val="sr-Latn-ME"/>
        </w:rPr>
        <w:t>116913</w:t>
      </w:r>
      <w:r w:rsidRPr="00AB2FBE">
        <w:rPr>
          <w:rFonts w:ascii="Times New Roman" w:hAnsi="Times New Roman" w:cs="Times New Roman"/>
          <w:b/>
          <w:sz w:val="20"/>
          <w:szCs w:val="20"/>
          <w:lang w:val="sr-Latn-ME"/>
        </w:rPr>
        <w:t xml:space="preserve"> za nabaku </w:t>
      </w:r>
      <w:r w:rsidRPr="00AB2FBE">
        <w:rPr>
          <w:rFonts w:ascii="Times New Roman" w:eastAsia="Times New Roman" w:hAnsi="Times New Roman" w:cs="Times New Roman"/>
          <w:b/>
          <w:sz w:val="21"/>
          <w:szCs w:val="21"/>
          <w:lang w:val="en-US"/>
        </w:rPr>
        <w:t>Održavanje i servis agregata, po partijam</w:t>
      </w:r>
      <w:r w:rsidRPr="00AB2FBE">
        <w:rPr>
          <w:rFonts w:ascii="Times New Roman" w:eastAsia="Times New Roman" w:hAnsi="Times New Roman" w:cs="Times New Roman"/>
          <w:b/>
          <w:sz w:val="20"/>
          <w:szCs w:val="20"/>
          <w:lang w:val="en-US"/>
        </w:rPr>
        <w:t xml:space="preserve"> od </w:t>
      </w:r>
      <w:r w:rsidRPr="00AB2FBE">
        <w:rPr>
          <w:rFonts w:ascii="Times New Roman" w:eastAsia="Times New Roman" w:hAnsi="Times New Roman" w:cs="Times New Roman"/>
          <w:b/>
          <w:sz w:val="20"/>
          <w:szCs w:val="20"/>
          <w:lang w:val="en-US"/>
        </w:rPr>
        <w:t>10.06.2026</w:t>
      </w:r>
      <w:r w:rsidRPr="00AB2FBE">
        <w:rPr>
          <w:rFonts w:ascii="Times New Roman" w:eastAsia="Times New Roman" w:hAnsi="Times New Roman" w:cs="Times New Roman"/>
          <w:b/>
          <w:sz w:val="20"/>
          <w:szCs w:val="20"/>
          <w:lang w:val="en-US"/>
        </w:rPr>
        <w:t>.godine</w:t>
      </w:r>
    </w:p>
    <w:p w:rsidR="00381DC6" w:rsidRPr="00AB2FBE" w:rsidRDefault="00381DC6" w:rsidP="00381DC6">
      <w:pPr>
        <w:jc w:val="both"/>
        <w:rPr>
          <w:rFonts w:ascii="Times New Roman" w:hAnsi="Times New Roman" w:cs="Times New Roman"/>
          <w:sz w:val="20"/>
          <w:szCs w:val="20"/>
          <w:lang w:val="sr-Latn-ME"/>
        </w:rPr>
      </w:pPr>
    </w:p>
    <w:p w:rsidR="00381DC6" w:rsidRPr="00AB2FBE" w:rsidRDefault="00381DC6" w:rsidP="00381DC6">
      <w:pPr>
        <w:spacing w:after="0" w:line="240" w:lineRule="auto"/>
        <w:jc w:val="both"/>
        <w:rPr>
          <w:rFonts w:ascii="Times New Roman" w:hAnsi="Times New Roman" w:cs="Times New Roman"/>
          <w:bCs/>
          <w:color w:val="000000"/>
          <w:sz w:val="20"/>
          <w:szCs w:val="20"/>
          <w:lang w:val="en-US"/>
        </w:rPr>
      </w:pPr>
      <w:r w:rsidRPr="00AB2FBE">
        <w:rPr>
          <w:rFonts w:ascii="Times New Roman" w:hAnsi="Times New Roman" w:cs="Times New Roman"/>
          <w:bCs/>
          <w:color w:val="000000"/>
          <w:sz w:val="20"/>
          <w:szCs w:val="20"/>
          <w:lang w:val="en-US"/>
        </w:rPr>
        <w:t xml:space="preserve">Dana </w:t>
      </w:r>
      <w:r w:rsidRPr="00AB2FBE">
        <w:rPr>
          <w:rFonts w:ascii="Times New Roman" w:hAnsi="Times New Roman" w:cs="Times New Roman"/>
          <w:bCs/>
          <w:color w:val="000000"/>
          <w:sz w:val="20"/>
          <w:szCs w:val="20"/>
          <w:lang w:val="en-US"/>
        </w:rPr>
        <w:t>11.</w:t>
      </w:r>
      <w:proofErr w:type="gramStart"/>
      <w:r w:rsidRPr="00AB2FBE">
        <w:rPr>
          <w:rFonts w:ascii="Times New Roman" w:hAnsi="Times New Roman" w:cs="Times New Roman"/>
          <w:bCs/>
          <w:color w:val="000000"/>
          <w:sz w:val="20"/>
          <w:szCs w:val="20"/>
          <w:lang w:val="en-US"/>
        </w:rPr>
        <w:t>06.2026</w:t>
      </w:r>
      <w:r w:rsidRPr="00AB2FBE">
        <w:rPr>
          <w:rFonts w:ascii="Times New Roman" w:hAnsi="Times New Roman" w:cs="Times New Roman"/>
          <w:bCs/>
          <w:color w:val="000000"/>
          <w:sz w:val="20"/>
          <w:szCs w:val="20"/>
          <w:lang w:val="en-US"/>
        </w:rPr>
        <w:t>.godine</w:t>
      </w:r>
      <w:proofErr w:type="gramEnd"/>
      <w:r w:rsidRPr="00AB2FBE">
        <w:rPr>
          <w:rFonts w:ascii="Times New Roman" w:hAnsi="Times New Roman" w:cs="Times New Roman"/>
          <w:bCs/>
          <w:color w:val="000000"/>
          <w:sz w:val="20"/>
          <w:szCs w:val="20"/>
          <w:lang w:val="en-US"/>
        </w:rPr>
        <w:t xml:space="preserve"> od strane zainteresovanog lica stigla su sledeće pitanja:</w:t>
      </w:r>
    </w:p>
    <w:p w:rsidR="00381DC6" w:rsidRPr="00AB2FBE" w:rsidRDefault="00381DC6" w:rsidP="00381DC6">
      <w:pPr>
        <w:spacing w:after="0" w:line="240" w:lineRule="auto"/>
        <w:jc w:val="both"/>
        <w:rPr>
          <w:rFonts w:ascii="Times New Roman" w:hAnsi="Times New Roman" w:cs="Times New Roman"/>
          <w:bCs/>
          <w:color w:val="000000"/>
          <w:sz w:val="20"/>
          <w:szCs w:val="20"/>
          <w:lang w:val="en-US"/>
        </w:rPr>
      </w:pPr>
    </w:p>
    <w:p w:rsidR="00381DC6" w:rsidRPr="00AB2FBE" w:rsidRDefault="00381DC6" w:rsidP="00381DC6">
      <w:pPr>
        <w:spacing w:after="0" w:line="240" w:lineRule="auto"/>
        <w:jc w:val="both"/>
        <w:rPr>
          <w:rFonts w:ascii="Times New Roman" w:hAnsi="Times New Roman" w:cs="Times New Roman"/>
          <w:bCs/>
          <w:color w:val="000000"/>
          <w:sz w:val="20"/>
          <w:szCs w:val="20"/>
          <w:lang w:val="en-US"/>
        </w:rPr>
      </w:pPr>
      <w:r w:rsidRPr="00AB2FBE">
        <w:rPr>
          <w:rFonts w:ascii="Times New Roman" w:hAnsi="Times New Roman" w:cs="Times New Roman"/>
          <w:bCs/>
          <w:color w:val="000000"/>
          <w:sz w:val="20"/>
          <w:szCs w:val="20"/>
          <w:lang w:val="en-US"/>
        </w:rPr>
        <w:t xml:space="preserve">Uvidom u uslove za učešće u postupku, utvrđujemo da su za Partiju I i Partiju II propisani sljedeći dodatni tehnički uslovi i dokazi, koji se ne zahtijevaju za Partiju III ni Partiju IV: a) Dokaz, izdat od strane proizvođača upravljačkog modula za kontrolu rada dizel elektro agregata na ime pravnog lica (ili lica zaposlenog u pravnom licu) o obučenosti za rad na upravljačkom modulu i pripadajućem proizvođačkom softveru; b) Izjava ponuđača da će za nuđene agregate koristiti licencirani softver za konekciju dizel elektro agregata; c) Dokaz, izdat od strane proizvođača opreme ili dizel motora (ili distributera proizvođačke opreme ili dizel motora), da je ponuđač, kao pravno lice, ovlašćen za održavanje, servis i popravku dizel električnih agregata na teritoriji Crne Gore, kao i za prodaju i ugradnju originalnih rezervnih dijelova; d) Licenca ovlašćenog inženjera elektrotehnike, u skladu sa Zakonom o planiranju prostora i izgradnji objekata ("Sl. list CG", br. 064/17, 044/18, 063/18, 011/19, 082/20, 086/22, 004/23); e) Sertifikat ISO 27001, koji izdaju akreditovana sertifikaciona tijela. Navedeni uslovi su kategorizovani kao "Drugi uslovi" i "Stručna i tehnička sposobnost" te važe isključivo za Partiju I i Partiju II, dok su iz obaveze za iste radove u Partiji III i Partiji IV isti uslovi izostavljeni. U vezi sa Partijom I, razumljivo je da agregati Cummins Power Generation C66D5e i C110D5e nalaze u garantnom roku, te da servisiranje opreme pod garancijom podrazumijeva određene zahtjeve koji proističu iz garantnih obaveza prema proizvođaču. Međutim, razlozi za propisivanje identičnih uslova za Partiju II nisu pojašnjeni, </w:t>
      </w:r>
      <w:proofErr w:type="gramStart"/>
      <w:r w:rsidRPr="00AB2FBE">
        <w:rPr>
          <w:rFonts w:ascii="Times New Roman" w:hAnsi="Times New Roman" w:cs="Times New Roman"/>
          <w:bCs/>
          <w:color w:val="000000"/>
          <w:sz w:val="20"/>
          <w:szCs w:val="20"/>
          <w:lang w:val="en-US"/>
        </w:rPr>
        <w:t>a</w:t>
      </w:r>
      <w:proofErr w:type="gramEnd"/>
      <w:r w:rsidRPr="00AB2FBE">
        <w:rPr>
          <w:rFonts w:ascii="Times New Roman" w:hAnsi="Times New Roman" w:cs="Times New Roman"/>
          <w:bCs/>
          <w:color w:val="000000"/>
          <w:sz w:val="20"/>
          <w:szCs w:val="20"/>
          <w:lang w:val="en-US"/>
        </w:rPr>
        <w:t xml:space="preserve"> isti su po prirodi i obimu servisa u suštinski jednakom položaju kao i Partija III i Partija IV. Naručiocu se ukazuje na odredbe člana 8 Zakona o javnim nabavkama, kojim je propisano načelo konkurentnosti i jednakosti, te člana 10 istog Zakona, kojim je propisano načelo nediskriminacije i jednakosti, kao i opšte obaveze naručioca propisane u članu 12 ZJN, prema kojima naručilac ne smije bez opravdanog razloga ograničavati tržišnu utakmicu, niti postavljati uslove koji mogu dovesti do toga da samo jedan ponuđač na tržištu može ispuniti propisane zahtjeve. Naročito je problematičan uslov iz tačke (c) — zahtjev za status ovlašćenog zastupnika/distributera od strane proizvođača, jer u Crnoj Gori postoji izuzetno ograničen broj privrednih subjekata koji posjeduju takvo ovlašćenje za navedene marke i modele agregata. Postavljanje ovog uslova za Partiju II faktički sužava krug potencijalnih ponuđača na jednog, što je suprotno temeljnim načelima javnih nabavki. Imajući u vidu navedeno, postavljamo sljedeće zahtjeve: 1. Molimo Naručioca da pojasni koji su to objektivni i verifikovani razlozi zbog kojih se za Partiju II zahtijevaju isti tehnički uslovi kao za Partiju I (koja se odnosi na opremu u garantnom roku), a koji se ne zahtijevaju za Partije III i IV koje pokrivaju isti obim i vrstu radova; 2. Molimo Naručioca da pojasni na koji način i po kojoj metodologiji je utvrđeno da je status ovlašćenog zastupnika/distributera neophodan uslov za uredno izvršenje ugovora za Partiju II; 3. Molimo Naručioca da, u cilju obezbjeđivanja jednakog tretmana, konkurentnosti postupka i usklađenosti sa odredbama čl. 8, 10 i 12 ZJN, izmijeni tendersku dokumentaciju na način što će ukloniti uslove pod tačkama (a), (b), (c), (d) i (e) za Partiju II, srazmjerno uslovima koji su propisani za Partije III i IV. Pregledom predmeta nabavke konstatovano je da su partije formirane na neujednačen i nedovoljno obrazložen način, te se u tom kontekstu Naručiocu upućuje sljedeće pitanje: Partija III i Partija IV formirana je kao mješavina agregata različitih proizvođača (Cummins, Elcos, Green Power, Caterpillar), dok je Partija II isključivo sastavljena od agregata jednog proizvođača (Cummins Power Generation C55D5e). Ovakav pristup formiranja partija nije konzistentan, jer s jedne strane postoje partije sa mješovitim sastavom agregata, a s druge strane postoji posebna partija sa jednim modelom agregata jednog proizvođača. Stoga molimo Naručioca da pojasni: 1. Koji su kriterijumi korišćeni za grupisanje agregata u partije, te zašto agregati različitih proizvođača nisu razdvojeni u zasebne partije po dosljednom principu, odnosno zašto se isti princip nije primijenio u svim partijama; 2. Da li bi konzistentna podjela po proizvođačima — koja bi svim privrednim subjektima specijalizovanim za određene marke omogućila ravnopravan nastup — dovela do ekonomski efikasnijeg rezultata i da li je ista razmatrana. Analizom procijenjenih vrijednosti partija utvrđene su značajne nesrazmjere koje postavljaju osnov za opravdanu sumnju u ispravnost metodologije utvrđivanja procijenjene vrijednosti, a koje se ogledaju u sljedećem: Partija I i Partija II zajedno, kojima je predmet održavanje ukupno 3 (tri) agregata snaga 55 kVA, 66 kVA i 110 kVA, imaju ukupnu procijenjenu vrijednost od 6.700,03 EUR bez PDV-a. Partija III, koja obuhvata održavanje ukupno 5 (pet) agregata — uključujući 2 (dva) agregata snage 350 kVA (Cummins AC 350), 2 (dva) agregata od 55 kVA i 1 (jedan) agregat od 38 kVA koji se nalazi u Bijelom Polju — ima procijenjenu vrijednost od 6.239,70 EUR bez PDV-a. Navedeno je ekonomski nelogično i dovodi u pitanje objektivnost utvrđene procijenjene vrijednosti, iz </w:t>
      </w:r>
      <w:r w:rsidRPr="00AB2FBE">
        <w:rPr>
          <w:rFonts w:ascii="Times New Roman" w:hAnsi="Times New Roman" w:cs="Times New Roman"/>
          <w:bCs/>
          <w:color w:val="000000"/>
          <w:sz w:val="20"/>
          <w:szCs w:val="20"/>
          <w:lang w:val="en-US"/>
        </w:rPr>
        <w:lastRenderedPageBreak/>
        <w:t>sljedećih razloga: a) Partija III obuhvata veći broj agregata (5 nasuprot 3 u Partijama I i II); b) Partija III uključuje dva agregata snage 350 kVA, koji su po svim parametrima — potrebnoj količini motornog ulja, rashladne tečnosti, filtera, kapacitetu akumulatora i ukupnom broju radnih sati servisera po intervenciji — znatno zahtjevniji od agregata u Partijama I i II (55–110 kVA); c) Agregat Cummins C38D5 koji ulazi u Partiju III, a nalazi se u Bijelom Polju, podrazumijeva nužno uključivanje transportno-manipulativnih troškova u cijenu servisa, što dodatno povećava ukupan trošak u odnosu na Partije I i II, čija se lokacija izvršenja nalazi u Podgorici. Imajući u vidu sve navedeno, procijenjene vrijednosti Partije III u usporedbi sa zbirnom vrijednošću Partija I i II nisu u skladu sa objektivnim tržišnim parametrima, te nije vidljivo kako je Naručilac mogao doći do zaključka da je servis većeg broja agregata veće snage, uz transportne troškove, ekonomski jeftiniji. Stoga, u skladu sa načelom transparentnosti iz člana 4 ZJN, molimo Naručioca da: 1. Dostavi pojašnjenje metodologije korišćene za utvrđivanje procijenjene vrijednosti svake od partija ponaosob, uz navođenje konkretnih parametara koji su uzeti u obzir; 2. Razmotri i po potrebi koriguje procijenjene vrijednosti partija kako bi one odgovarale objektivnim tržišnim cijenama i realnim troškovima izvršenja ugovora. Ovaj zahtjev se podnosi u dobroj vjeri i isključivo u cilju obezbjeđivanja zakonitosti postupka, poštovanja načela javnih nabavki i ravnopravnog položaja svih potencijalnih ponuđača. Smatramo da prihvatanje navedenih zahtjeva leži i u interesu Naručioca, budući da će šira konkurencija rezultirati ekonomski povoljnijim ponudama. S poštovanjem,</w:t>
      </w:r>
    </w:p>
    <w:p w:rsidR="00381DC6" w:rsidRPr="00AB2FBE" w:rsidRDefault="00381DC6" w:rsidP="00381DC6">
      <w:pPr>
        <w:jc w:val="both"/>
        <w:rPr>
          <w:rFonts w:ascii="Times New Roman" w:hAnsi="Times New Roman" w:cs="Times New Roman"/>
          <w:sz w:val="20"/>
          <w:szCs w:val="20"/>
          <w:lang w:val="sr-Latn-ME"/>
        </w:rPr>
      </w:pPr>
    </w:p>
    <w:p w:rsidR="00381DC6" w:rsidRPr="00AB2FBE" w:rsidRDefault="00381DC6" w:rsidP="00381DC6">
      <w:pPr>
        <w:jc w:val="both"/>
        <w:rPr>
          <w:rFonts w:ascii="Times New Roman" w:hAnsi="Times New Roman" w:cs="Times New Roman"/>
          <w:sz w:val="20"/>
          <w:szCs w:val="20"/>
          <w:lang w:val="sr-Latn-ME"/>
        </w:rPr>
      </w:pPr>
      <w:r w:rsidRPr="00AB2FBE">
        <w:rPr>
          <w:rFonts w:ascii="Times New Roman" w:hAnsi="Times New Roman" w:cs="Times New Roman"/>
          <w:sz w:val="20"/>
          <w:szCs w:val="20"/>
          <w:lang w:val="sr-Latn-ME"/>
        </w:rPr>
        <w:t>Na zahtjev zainteresovanog  lica  za izmjenu, naručilac daje sledeće pojašnjenje:</w:t>
      </w:r>
    </w:p>
    <w:p w:rsidR="00381DC6" w:rsidRPr="00AB2FBE" w:rsidRDefault="00381DC6" w:rsidP="00381DC6">
      <w:pPr>
        <w:spacing w:after="0" w:line="300" w:lineRule="atLeast"/>
        <w:jc w:val="both"/>
        <w:rPr>
          <w:rFonts w:ascii="Times New Roman" w:eastAsia="Times New Roman" w:hAnsi="Times New Roman" w:cs="Times New Roman"/>
          <w:b/>
          <w:sz w:val="20"/>
          <w:szCs w:val="20"/>
        </w:rPr>
      </w:pPr>
    </w:p>
    <w:p w:rsidR="00AB2FBE" w:rsidRPr="00AB2FBE" w:rsidRDefault="00AB2FBE" w:rsidP="00AB2FBE">
      <w:pPr>
        <w:spacing w:before="100" w:beforeAutospacing="1" w:after="100" w:afterAutospacing="1"/>
        <w:jc w:val="both"/>
        <w:rPr>
          <w:rFonts w:ascii="Times New Roman" w:hAnsi="Times New Roman" w:cs="Times New Roman"/>
          <w:b/>
          <w:bCs/>
          <w:lang w:val="en-US"/>
        </w:rPr>
      </w:pPr>
      <w:r w:rsidRPr="00AB2FBE">
        <w:rPr>
          <w:rFonts w:ascii="Times New Roman" w:hAnsi="Times New Roman" w:cs="Times New Roman"/>
        </w:rPr>
        <w:t xml:space="preserve">U odnosu na zahtjev za pojašnjenje razloga za propisivanje dodatnih </w:t>
      </w:r>
      <w:r w:rsidRPr="00AB2FBE">
        <w:rPr>
          <w:rFonts w:ascii="Times New Roman" w:hAnsi="Times New Roman" w:cs="Times New Roman"/>
          <w:b/>
          <w:bCs/>
        </w:rPr>
        <w:t>uslova za Partiju II, Naručilac pojašnjava da su isti određeni na osnovu značaja i kritičnosti sistema koji se napajaju predmetnim agregatima, a ne na osnovu proizvođača ili modela agregata.</w:t>
      </w:r>
    </w:p>
    <w:p w:rsidR="00AB2FBE" w:rsidRPr="00AB2FBE" w:rsidRDefault="00AB2FBE" w:rsidP="00AB2FBE">
      <w:pPr>
        <w:spacing w:before="100" w:beforeAutospacing="1" w:after="100" w:afterAutospacing="1"/>
        <w:jc w:val="both"/>
        <w:rPr>
          <w:rFonts w:ascii="Times New Roman" w:hAnsi="Times New Roman" w:cs="Times New Roman"/>
        </w:rPr>
      </w:pPr>
      <w:r w:rsidRPr="00AB2FBE">
        <w:rPr>
          <w:rFonts w:ascii="Times New Roman" w:hAnsi="Times New Roman" w:cs="Times New Roman"/>
        </w:rPr>
        <w:t xml:space="preserve">Agregati obuhvaćeni Partijom II nalaze se u neposrednoj funkcionalnoj vezi sa DATA CENTROM i sistemima bezbjednosti koji funkcionišu u režimu rada 24 časa dnevno, 7 dana u sedmici. Njihova osnovna namjena je obezbjeđenje kontinuiteta napajanja infrastrukture od posebnog značaja za funkcionisanje </w:t>
      </w:r>
      <w:r w:rsidRPr="00AB2FBE">
        <w:rPr>
          <w:rFonts w:ascii="Times New Roman" w:hAnsi="Times New Roman" w:cs="Times New Roman"/>
          <w:b/>
          <w:bCs/>
        </w:rPr>
        <w:t>Uprave za izvršenje krivičnih sankcija, uključujući informaciono-komunikacione sisteme, serversku infrastrukturu, sisteme tehničke zaštite, sisteme video nadzora, sisteme kontrole pristupa, komunikacione veze i druge bezbjednosne podsisteme.</w:t>
      </w:r>
    </w:p>
    <w:p w:rsidR="00AB2FBE" w:rsidRPr="00AB2FBE" w:rsidRDefault="00AB2FBE" w:rsidP="00AB2FBE">
      <w:pPr>
        <w:spacing w:before="100" w:beforeAutospacing="1" w:after="100" w:afterAutospacing="1"/>
        <w:jc w:val="both"/>
        <w:rPr>
          <w:rFonts w:ascii="Times New Roman" w:hAnsi="Times New Roman" w:cs="Times New Roman"/>
        </w:rPr>
      </w:pPr>
      <w:r w:rsidRPr="00AB2FBE">
        <w:rPr>
          <w:rFonts w:ascii="Times New Roman" w:hAnsi="Times New Roman" w:cs="Times New Roman"/>
        </w:rPr>
        <w:t>Za razliku od agregata iz drugih partija, kod kojih eventualni zastoj ili odložena intervencija ne proizvode neposredne posljedice po funkcionisanje kritične infrastrukture, kod agregata iz Partije II svaka greška u održavanju, dijagnostici, konfiguraciji ili otklanjanju kvara može dovesti do prekida rada sistema čija raspoloživost mora biti obezbijeđena u kontinuitetu.</w:t>
      </w:r>
    </w:p>
    <w:p w:rsidR="00AB2FBE" w:rsidRPr="00AB2FBE" w:rsidRDefault="00AB2FBE" w:rsidP="00AB2FBE">
      <w:pPr>
        <w:spacing w:before="100" w:beforeAutospacing="1" w:after="100" w:afterAutospacing="1"/>
        <w:jc w:val="both"/>
        <w:rPr>
          <w:rFonts w:ascii="Times New Roman" w:hAnsi="Times New Roman" w:cs="Times New Roman"/>
        </w:rPr>
      </w:pPr>
      <w:r w:rsidRPr="00AB2FBE">
        <w:rPr>
          <w:rFonts w:ascii="Times New Roman" w:hAnsi="Times New Roman" w:cs="Times New Roman"/>
        </w:rPr>
        <w:t>Iz navedenog razloga Naručilac je zahtijevao da ponuđač raspolaže dokazima o osposobljenosti za rad na upravljačkim modulima agregata i pripadajućem proizvođačkom softveru. Savremeni upravljački sistemi dizel elektro agregata omogućavaju konfiguraciju zaštita, parametara automatskog pokretanja, komunikacionih protokola i drugih funkcija koje su od suštinskog značaja za pouzdan rad sistema rezervnog napajanja. Neadekvatna intervencija na navedenim sistemima može uzrokovati neuspješno automatsko pokretanje agregata, nepravilno preuzimanje opterećenja ili aktiviranje zaštita koje mogu dovesti do prekida napajanja kritične infrastrukture.</w:t>
      </w:r>
    </w:p>
    <w:p w:rsidR="00AB2FBE" w:rsidRPr="00AB2FBE" w:rsidRDefault="00AB2FBE" w:rsidP="00AB2FBE">
      <w:pPr>
        <w:spacing w:before="100" w:beforeAutospacing="1" w:after="100" w:afterAutospacing="1"/>
        <w:jc w:val="both"/>
        <w:rPr>
          <w:rFonts w:ascii="Times New Roman" w:hAnsi="Times New Roman" w:cs="Times New Roman"/>
        </w:rPr>
      </w:pPr>
      <w:r w:rsidRPr="00AB2FBE">
        <w:rPr>
          <w:rFonts w:ascii="Times New Roman" w:hAnsi="Times New Roman" w:cs="Times New Roman"/>
        </w:rPr>
        <w:t>Zahtjev za korišćenjem licenciranog proizvođačkog softvera postavljen je radi obezbjeđenja tehnički ispravne dijagnostike, pristupa svim funkcijama upravljačkog sistema, evidentiranja servisnih aktivnosti i zaštite integriteta fabričkih podešavanja. Naručilac nije mogao prihvatiti mogućnost korišćenja neovlašćenih ili neprovjerenih softverskih rješenja na opremi koja ima direktan uticaj na raspoloživost DATA CENTRA i sistema bezbjednosti.</w:t>
      </w:r>
    </w:p>
    <w:p w:rsidR="00AB2FBE" w:rsidRPr="00AB2FBE" w:rsidRDefault="00AB2FBE" w:rsidP="00AB2FBE">
      <w:pPr>
        <w:spacing w:before="100" w:beforeAutospacing="1" w:after="100" w:afterAutospacing="1"/>
        <w:jc w:val="both"/>
        <w:rPr>
          <w:rFonts w:ascii="Times New Roman" w:hAnsi="Times New Roman" w:cs="Times New Roman"/>
        </w:rPr>
      </w:pPr>
      <w:r w:rsidRPr="00AB2FBE">
        <w:rPr>
          <w:rFonts w:ascii="Times New Roman" w:hAnsi="Times New Roman" w:cs="Times New Roman"/>
        </w:rPr>
        <w:t xml:space="preserve">Zahtjev za dostavljanje dokaza o ovlašćenju proizvođača ili njegovog ovlašćenog distributera određen je radi obezbjeđenja pristupa originalnoj tehničkoj dokumentaciji, fabričkoj podršci, originalnim </w:t>
      </w:r>
      <w:r w:rsidRPr="00AB2FBE">
        <w:rPr>
          <w:rFonts w:ascii="Times New Roman" w:hAnsi="Times New Roman" w:cs="Times New Roman"/>
        </w:rPr>
        <w:lastRenderedPageBreak/>
        <w:t>rezervnim dijelovima i procedurama održavanja koje preporučuje proizvođač. Kod infrastrukture od kritičnog značaja Naručilac je dužan da rizik od neadekvatnog održavanja svede na najmanju moguću mjeru.</w:t>
      </w:r>
    </w:p>
    <w:p w:rsidR="00AB2FBE" w:rsidRPr="00AB2FBE" w:rsidRDefault="00AB2FBE" w:rsidP="00AB2FBE">
      <w:pPr>
        <w:spacing w:before="100" w:beforeAutospacing="1" w:after="100" w:afterAutospacing="1"/>
        <w:jc w:val="both"/>
        <w:rPr>
          <w:rFonts w:ascii="Times New Roman" w:hAnsi="Times New Roman" w:cs="Times New Roman"/>
        </w:rPr>
      </w:pPr>
      <w:r w:rsidRPr="00AB2FBE">
        <w:rPr>
          <w:rFonts w:ascii="Times New Roman" w:hAnsi="Times New Roman" w:cs="Times New Roman"/>
        </w:rPr>
        <w:t>Zahtjev za licenciranim inženjerom elektrotehnike postavljen je zbog potrebe stručnog nadzora nad aktivnostima koje mogu imati uticaj na pouzdanost elektroenergetskog sistema, dok je zahtjev za sertifikatom ISO 27001 povezan sa činjenicom da agregati iz Partije II predstavljaju sastavni dio infrastrukture koja obezbjeđuje kontinuitet rada informacionih sistema i sistema bezbjednosti. Obezbjeđenje kontinuiteta napajanja predstavlja jedan od osnovnih preduslova za očuvanje dostupnosti i pouzdanosti informacionih sistema.</w:t>
      </w:r>
    </w:p>
    <w:p w:rsidR="00AB2FBE" w:rsidRPr="00AB2FBE" w:rsidRDefault="00AB2FBE" w:rsidP="00AB2FBE">
      <w:pPr>
        <w:spacing w:before="100" w:beforeAutospacing="1" w:after="100" w:afterAutospacing="1"/>
        <w:jc w:val="both"/>
        <w:rPr>
          <w:rFonts w:ascii="Times New Roman" w:hAnsi="Times New Roman" w:cs="Times New Roman"/>
          <w:b/>
          <w:bCs/>
          <w:sz w:val="24"/>
          <w:szCs w:val="24"/>
        </w:rPr>
      </w:pPr>
      <w:r w:rsidRPr="00AB2FBE">
        <w:rPr>
          <w:rFonts w:ascii="Times New Roman" w:hAnsi="Times New Roman" w:cs="Times New Roman"/>
          <w:b/>
          <w:bCs/>
          <w:sz w:val="24"/>
          <w:szCs w:val="24"/>
        </w:rPr>
        <w:t>Naručilac smatra da su navedeni uslovi neposredno povezani sa predmetom nabavke, srazmjerni nivou rizika i značaju infrastrukture koja je predmet održavanja, te da ne predstavljaju neopravdano ograničenje konkurencije, već opravdanu mjeru zaštite sistema od posebnog bezbjednosnog i operativnog značaja.</w:t>
      </w:r>
    </w:p>
    <w:p w:rsidR="0053675E" w:rsidRDefault="0053675E" w:rsidP="0053675E">
      <w:pPr>
        <w:pStyle w:val="isselectedend"/>
        <w:jc w:val="both"/>
      </w:pPr>
      <w:r>
        <w:t>Takođe, potrebno je imati u vidu da se agregati obuhvaćeni Partijom III i Partijom IV nalaze u eksploataciji duži vremenski period i da je za iste predviđeno prvenstveno redovno, odnosno osnovno održavanje. Iz tog razloga, procijenjena vrijednost navedenih partija određena je u skladu sa stvarnim potrebama Naručioca i obimom usluga koje se očekuju tokom trajanja ugovora.</w:t>
      </w:r>
      <w:bookmarkStart w:id="1" w:name="_GoBack"/>
      <w:bookmarkEnd w:id="1"/>
    </w:p>
    <w:p w:rsidR="0053675E" w:rsidRDefault="0053675E" w:rsidP="0053675E">
      <w:pPr>
        <w:pStyle w:val="NormalWeb"/>
        <w:jc w:val="both"/>
      </w:pPr>
      <w:r>
        <w:t>Shodno navedenom, Naručilac smatra da su procijenjene vrijednosti partija utvrđene na objektivan način, na osnovu raspoloživih tržišnih podataka i procijenjenog obima potrebnih usluga održavanja.</w:t>
      </w:r>
    </w:p>
    <w:p w:rsidR="0053675E" w:rsidRDefault="0053675E" w:rsidP="00381DC6">
      <w:pPr>
        <w:spacing w:after="0" w:line="240" w:lineRule="auto"/>
        <w:jc w:val="right"/>
        <w:rPr>
          <w:rFonts w:ascii="Times New Roman" w:hAnsi="Times New Roman" w:cs="Times New Roman"/>
          <w:color w:val="000000"/>
          <w:sz w:val="20"/>
          <w:szCs w:val="20"/>
          <w:lang w:val="sr-Latn-ME"/>
        </w:rPr>
      </w:pPr>
    </w:p>
    <w:p w:rsidR="0053675E" w:rsidRDefault="0053675E" w:rsidP="00381DC6">
      <w:pPr>
        <w:spacing w:after="0" w:line="240" w:lineRule="auto"/>
        <w:jc w:val="right"/>
        <w:rPr>
          <w:rFonts w:ascii="Times New Roman" w:hAnsi="Times New Roman" w:cs="Times New Roman"/>
          <w:color w:val="000000"/>
          <w:sz w:val="20"/>
          <w:szCs w:val="20"/>
          <w:lang w:val="sr-Latn-ME"/>
        </w:rPr>
      </w:pPr>
    </w:p>
    <w:p w:rsidR="00381DC6" w:rsidRPr="00AB2FBE" w:rsidRDefault="00381DC6" w:rsidP="00381DC6">
      <w:pPr>
        <w:spacing w:after="0" w:line="240" w:lineRule="auto"/>
        <w:jc w:val="right"/>
        <w:rPr>
          <w:rFonts w:ascii="Times New Roman" w:hAnsi="Times New Roman" w:cs="Times New Roman"/>
          <w:color w:val="000000"/>
          <w:sz w:val="20"/>
          <w:szCs w:val="20"/>
          <w:lang w:val="sr-Latn-ME"/>
        </w:rPr>
      </w:pPr>
      <w:r w:rsidRPr="00AB2FBE">
        <w:rPr>
          <w:rFonts w:ascii="Times New Roman" w:hAnsi="Times New Roman" w:cs="Times New Roman"/>
          <w:color w:val="000000"/>
          <w:sz w:val="20"/>
          <w:szCs w:val="20"/>
          <w:lang w:val="sr-Latn-ME"/>
        </w:rPr>
        <w:t xml:space="preserve">Predsjednik komisije za sprovođenje </w:t>
      </w:r>
    </w:p>
    <w:p w:rsidR="00381DC6" w:rsidRPr="00AB2FBE" w:rsidRDefault="00381DC6" w:rsidP="00381DC6">
      <w:pPr>
        <w:spacing w:after="0" w:line="240" w:lineRule="auto"/>
        <w:jc w:val="right"/>
        <w:rPr>
          <w:rFonts w:ascii="Times New Roman" w:hAnsi="Times New Roman" w:cs="Times New Roman"/>
          <w:color w:val="000000"/>
          <w:sz w:val="20"/>
          <w:szCs w:val="20"/>
          <w:lang w:val="sr-Latn-ME"/>
        </w:rPr>
      </w:pPr>
      <w:r w:rsidRPr="00AB2FBE">
        <w:rPr>
          <w:rFonts w:ascii="Times New Roman" w:hAnsi="Times New Roman" w:cs="Times New Roman"/>
          <w:color w:val="000000"/>
          <w:sz w:val="20"/>
          <w:szCs w:val="20"/>
          <w:lang w:val="sr-Latn-ME"/>
        </w:rPr>
        <w:t>jednostavne nabavke</w:t>
      </w:r>
    </w:p>
    <w:p w:rsidR="00381DC6" w:rsidRPr="00AB2FBE" w:rsidRDefault="00381DC6" w:rsidP="00381DC6">
      <w:pPr>
        <w:spacing w:after="0" w:line="240" w:lineRule="auto"/>
        <w:ind w:firstLine="1134"/>
        <w:jc w:val="right"/>
        <w:rPr>
          <w:rFonts w:ascii="Times New Roman" w:hAnsi="Times New Roman" w:cs="Times New Roman"/>
          <w:color w:val="000000"/>
          <w:sz w:val="20"/>
          <w:szCs w:val="20"/>
        </w:rPr>
      </w:pPr>
      <w:r w:rsidRPr="00AB2FBE">
        <w:rPr>
          <w:rFonts w:ascii="Times New Roman" w:hAnsi="Times New Roman" w:cs="Times New Roman"/>
          <w:color w:val="000000"/>
          <w:sz w:val="20"/>
          <w:szCs w:val="20"/>
          <w:lang w:val="sr-Latn-ME"/>
        </w:rPr>
        <w:t xml:space="preserve"> </w:t>
      </w:r>
      <w:r w:rsidRPr="00AB2FBE">
        <w:rPr>
          <w:rFonts w:ascii="Times New Roman" w:hAnsi="Times New Roman" w:cs="Times New Roman"/>
          <w:color w:val="000000"/>
          <w:sz w:val="20"/>
          <w:szCs w:val="20"/>
          <w:lang w:val="sr-Latn-ME"/>
        </w:rPr>
        <w:tab/>
      </w:r>
      <w:r w:rsidRPr="00AB2FBE">
        <w:rPr>
          <w:rFonts w:ascii="Times New Roman" w:hAnsi="Times New Roman" w:cs="Times New Roman"/>
          <w:color w:val="000000"/>
          <w:sz w:val="20"/>
          <w:szCs w:val="20"/>
          <w:lang w:val="sr-Latn-ME"/>
        </w:rPr>
        <w:tab/>
      </w:r>
      <w:r w:rsidRPr="00AB2FBE">
        <w:rPr>
          <w:rFonts w:ascii="Times New Roman" w:hAnsi="Times New Roman" w:cs="Times New Roman"/>
          <w:color w:val="000000"/>
          <w:sz w:val="20"/>
          <w:szCs w:val="20"/>
          <w:lang w:val="sr-Latn-ME"/>
        </w:rPr>
        <w:tab/>
      </w:r>
      <w:r w:rsidRPr="00AB2FBE">
        <w:rPr>
          <w:rFonts w:ascii="Times New Roman" w:hAnsi="Times New Roman" w:cs="Times New Roman"/>
          <w:color w:val="000000"/>
          <w:sz w:val="20"/>
          <w:szCs w:val="20"/>
          <w:lang w:val="sr-Latn-ME"/>
        </w:rPr>
        <w:tab/>
      </w:r>
      <w:r w:rsidRPr="00AB2FBE">
        <w:rPr>
          <w:rFonts w:ascii="Times New Roman" w:hAnsi="Times New Roman" w:cs="Times New Roman"/>
          <w:color w:val="000000"/>
          <w:sz w:val="20"/>
          <w:szCs w:val="20"/>
          <w:lang w:val="sr-Latn-ME"/>
        </w:rPr>
        <w:tab/>
      </w:r>
      <w:r w:rsidRPr="00AB2FBE">
        <w:rPr>
          <w:rFonts w:ascii="Times New Roman" w:hAnsi="Times New Roman" w:cs="Times New Roman"/>
          <w:color w:val="000000"/>
          <w:sz w:val="20"/>
          <w:szCs w:val="20"/>
          <w:lang w:val="sr-Latn-ME"/>
        </w:rPr>
        <w:tab/>
      </w:r>
      <w:r w:rsidRPr="00AB2FBE">
        <w:rPr>
          <w:rFonts w:ascii="Times New Roman" w:hAnsi="Times New Roman" w:cs="Times New Roman"/>
          <w:color w:val="000000"/>
          <w:sz w:val="20"/>
          <w:szCs w:val="20"/>
          <w:lang w:val="sr-Latn-ME"/>
        </w:rPr>
        <w:tab/>
      </w:r>
      <w:r w:rsidR="00AB2FBE" w:rsidRPr="00AB2FBE">
        <w:rPr>
          <w:rFonts w:ascii="Times New Roman" w:hAnsi="Times New Roman" w:cs="Times New Roman"/>
          <w:color w:val="000000"/>
          <w:sz w:val="20"/>
          <w:szCs w:val="20"/>
          <w:lang w:val="sr-Latn-ME"/>
        </w:rPr>
        <w:t>Đorđe Uskoković</w:t>
      </w:r>
    </w:p>
    <w:p w:rsidR="00381DC6" w:rsidRPr="00AB2FBE" w:rsidRDefault="00381DC6" w:rsidP="00381DC6">
      <w:pPr>
        <w:spacing w:after="0" w:line="240" w:lineRule="auto"/>
        <w:ind w:firstLine="1134"/>
        <w:jc w:val="right"/>
        <w:rPr>
          <w:rFonts w:ascii="Times New Roman" w:hAnsi="Times New Roman" w:cs="Times New Roman"/>
          <w:color w:val="000000"/>
          <w:sz w:val="20"/>
          <w:szCs w:val="20"/>
          <w:lang w:val="sr-Latn-ME"/>
        </w:rPr>
      </w:pPr>
      <w:r w:rsidRPr="00AB2FBE">
        <w:rPr>
          <w:rFonts w:ascii="Times New Roman" w:hAnsi="Times New Roman" w:cs="Times New Roman"/>
          <w:color w:val="000000"/>
          <w:sz w:val="20"/>
          <w:szCs w:val="20"/>
          <w:lang w:val="sr-Latn-ME"/>
        </w:rPr>
        <w:t>s.r.</w:t>
      </w:r>
    </w:p>
    <w:p w:rsidR="00381DC6" w:rsidRPr="00AB2FBE" w:rsidRDefault="00381DC6" w:rsidP="00381DC6">
      <w:pPr>
        <w:spacing w:after="0" w:line="240" w:lineRule="auto"/>
        <w:ind w:left="4956" w:firstLine="708"/>
        <w:jc w:val="both"/>
        <w:rPr>
          <w:rFonts w:ascii="Times New Roman" w:hAnsi="Times New Roman" w:cs="Times New Roman"/>
          <w:i/>
          <w:iCs/>
          <w:color w:val="000000"/>
          <w:sz w:val="20"/>
          <w:szCs w:val="20"/>
          <w:lang w:val="sr-Latn-ME"/>
        </w:rPr>
      </w:pPr>
      <w:r w:rsidRPr="00AB2FBE">
        <w:rPr>
          <w:rFonts w:ascii="Times New Roman" w:hAnsi="Times New Roman" w:cs="Times New Roman"/>
          <w:i/>
          <w:iCs/>
          <w:color w:val="000000"/>
          <w:sz w:val="20"/>
          <w:szCs w:val="20"/>
          <w:lang w:val="sr-Latn-ME"/>
        </w:rPr>
        <w:t xml:space="preserve">                   </w:t>
      </w:r>
      <w:bookmarkEnd w:id="0"/>
    </w:p>
    <w:p w:rsidR="00381DC6" w:rsidRPr="00AB2FBE" w:rsidRDefault="00381DC6" w:rsidP="00381DC6">
      <w:pPr>
        <w:rPr>
          <w:rFonts w:ascii="Times New Roman" w:hAnsi="Times New Roman" w:cs="Times New Roman"/>
          <w:sz w:val="20"/>
          <w:szCs w:val="20"/>
        </w:rPr>
      </w:pPr>
    </w:p>
    <w:p w:rsidR="00381DC6" w:rsidRPr="00AB2FBE" w:rsidRDefault="00381DC6" w:rsidP="00381DC6">
      <w:pPr>
        <w:rPr>
          <w:rFonts w:ascii="Times New Roman" w:hAnsi="Times New Roman" w:cs="Times New Roman"/>
          <w:sz w:val="20"/>
          <w:szCs w:val="20"/>
        </w:rPr>
      </w:pPr>
    </w:p>
    <w:p w:rsidR="00381DC6" w:rsidRPr="00AB2FBE" w:rsidRDefault="00381DC6" w:rsidP="00381DC6">
      <w:pPr>
        <w:rPr>
          <w:rFonts w:ascii="Times New Roman" w:hAnsi="Times New Roman" w:cs="Times New Roman"/>
        </w:rPr>
      </w:pPr>
    </w:p>
    <w:p w:rsidR="00381DC6" w:rsidRPr="00AB2FBE" w:rsidRDefault="00381DC6">
      <w:pPr>
        <w:rPr>
          <w:rFonts w:ascii="Times New Roman" w:hAnsi="Times New Roman" w:cs="Times New Roman"/>
        </w:rPr>
      </w:pPr>
    </w:p>
    <w:p w:rsidR="00AB2FBE" w:rsidRPr="00AB2FBE" w:rsidRDefault="00AB2FBE">
      <w:pPr>
        <w:rPr>
          <w:rFonts w:ascii="Times New Roman" w:hAnsi="Times New Roman" w:cs="Times New Roman"/>
        </w:rPr>
      </w:pPr>
    </w:p>
    <w:sectPr w:rsidR="00AB2FBE" w:rsidRPr="00AB2FB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DC6"/>
    <w:rsid w:val="00381DC6"/>
    <w:rsid w:val="0053675E"/>
    <w:rsid w:val="00AB2F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E562B"/>
  <w15:chartTrackingRefBased/>
  <w15:docId w15:val="{DA962BB3-1E1F-4FB6-90A1-088CCF689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81DC6"/>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sselectedend">
    <w:name w:val="isselectedend"/>
    <w:basedOn w:val="Normal"/>
    <w:rsid w:val="0053675E"/>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rmalWeb">
    <w:name w:val="Normal (Web)"/>
    <w:basedOn w:val="Normal"/>
    <w:uiPriority w:val="99"/>
    <w:semiHidden/>
    <w:unhideWhenUsed/>
    <w:rsid w:val="0053675E"/>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0447671">
      <w:bodyDiv w:val="1"/>
      <w:marLeft w:val="0"/>
      <w:marRight w:val="0"/>
      <w:marTop w:val="0"/>
      <w:marBottom w:val="0"/>
      <w:divBdr>
        <w:top w:val="none" w:sz="0" w:space="0" w:color="auto"/>
        <w:left w:val="none" w:sz="0" w:space="0" w:color="auto"/>
        <w:bottom w:val="none" w:sz="0" w:space="0" w:color="auto"/>
        <w:right w:val="none" w:sz="0" w:space="0" w:color="auto"/>
      </w:divBdr>
    </w:div>
    <w:div w:id="1119379350">
      <w:bodyDiv w:val="1"/>
      <w:marLeft w:val="0"/>
      <w:marRight w:val="0"/>
      <w:marTop w:val="0"/>
      <w:marBottom w:val="0"/>
      <w:divBdr>
        <w:top w:val="none" w:sz="0" w:space="0" w:color="auto"/>
        <w:left w:val="none" w:sz="0" w:space="0" w:color="auto"/>
        <w:bottom w:val="none" w:sz="0" w:space="0" w:color="auto"/>
        <w:right w:val="none" w:sz="0" w:space="0" w:color="auto"/>
      </w:divBdr>
      <w:divsChild>
        <w:div w:id="128867783">
          <w:marLeft w:val="0"/>
          <w:marRight w:val="0"/>
          <w:marTop w:val="0"/>
          <w:marBottom w:val="150"/>
          <w:divBdr>
            <w:top w:val="none" w:sz="0" w:space="0" w:color="auto"/>
            <w:left w:val="none" w:sz="0" w:space="0" w:color="auto"/>
            <w:bottom w:val="none" w:sz="0" w:space="0" w:color="auto"/>
            <w:right w:val="none" w:sz="0" w:space="0" w:color="auto"/>
          </w:divBdr>
        </w:div>
      </w:divsChild>
    </w:div>
    <w:div w:id="1202473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3</Pages>
  <Words>1734</Words>
  <Characters>9886</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 Perovic</dc:creator>
  <cp:keywords/>
  <dc:description/>
  <cp:lastModifiedBy>Tina Perovic</cp:lastModifiedBy>
  <cp:revision>1</cp:revision>
  <dcterms:created xsi:type="dcterms:W3CDTF">2026-06-15T09:41:00Z</dcterms:created>
  <dcterms:modified xsi:type="dcterms:W3CDTF">2026-06-15T10:08:00Z</dcterms:modified>
</cp:coreProperties>
</file>