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E68" w:rsidRPr="000E1EC6" w:rsidRDefault="00887E68" w:rsidP="00887E68">
      <w:pPr>
        <w:pStyle w:val="NoSpacing"/>
      </w:pPr>
      <w:r w:rsidRPr="000E1EC6">
        <w:rPr>
          <w:noProof/>
        </w:rPr>
        <w:drawing>
          <wp:inline distT="0" distB="0" distL="0" distR="0">
            <wp:extent cx="588010" cy="436880"/>
            <wp:effectExtent l="19050" t="0" r="2540" b="0"/>
            <wp:docPr id="4" name="Picture 1" descr="Description: Description: Description: Description: Description: Description: Description: Description: G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Description: Description: Description: GRB.jpg"/>
                    <pic:cNvPicPr>
                      <a:picLocks noChangeAspect="1" noChangeArrowheads="1"/>
                    </pic:cNvPicPr>
                  </pic:nvPicPr>
                  <pic:blipFill>
                    <a:blip r:embed="rId6"/>
                    <a:srcRect/>
                    <a:stretch>
                      <a:fillRect/>
                    </a:stretch>
                  </pic:blipFill>
                  <pic:spPr bwMode="auto">
                    <a:xfrm>
                      <a:off x="0" y="0"/>
                      <a:ext cx="588010" cy="436880"/>
                    </a:xfrm>
                    <a:prstGeom prst="rect">
                      <a:avLst/>
                    </a:prstGeom>
                    <a:noFill/>
                    <a:ln w="9525">
                      <a:noFill/>
                      <a:miter lim="800000"/>
                      <a:headEnd/>
                      <a:tailEnd/>
                    </a:ln>
                  </pic:spPr>
                </pic:pic>
              </a:graphicData>
            </a:graphic>
          </wp:inline>
        </w:drawing>
      </w:r>
    </w:p>
    <w:p w:rsidR="00887E68" w:rsidRPr="00073A5A" w:rsidRDefault="00887E68" w:rsidP="00887E68">
      <w:pPr>
        <w:pStyle w:val="NoSpacing"/>
        <w:rPr>
          <w:rFonts w:ascii="Arial" w:hAnsi="Arial" w:cs="Arial"/>
          <w:b/>
          <w:sz w:val="20"/>
          <w:szCs w:val="20"/>
        </w:rPr>
      </w:pPr>
      <w:r w:rsidRPr="00073A5A">
        <w:rPr>
          <w:rFonts w:ascii="Arial" w:hAnsi="Arial" w:cs="Arial"/>
          <w:b/>
          <w:sz w:val="20"/>
          <w:szCs w:val="20"/>
        </w:rPr>
        <w:t>Opština Žabljak</w:t>
      </w:r>
    </w:p>
    <w:p w:rsidR="00887E68" w:rsidRPr="00073A5A" w:rsidRDefault="00887E68" w:rsidP="00887E68">
      <w:pPr>
        <w:pStyle w:val="NoSpacing"/>
        <w:rPr>
          <w:rFonts w:ascii="Arial" w:hAnsi="Arial" w:cs="Arial"/>
          <w:b/>
          <w:sz w:val="20"/>
          <w:szCs w:val="20"/>
        </w:rPr>
      </w:pPr>
      <w:r w:rsidRPr="00073A5A">
        <w:rPr>
          <w:rFonts w:ascii="Arial" w:hAnsi="Arial" w:cs="Arial"/>
          <w:b/>
          <w:sz w:val="20"/>
          <w:szCs w:val="20"/>
        </w:rPr>
        <w:t>Komisija za sprovođenje postupka javne nabavke</w:t>
      </w:r>
    </w:p>
    <w:p w:rsidR="00887E68" w:rsidRPr="00073A5A" w:rsidRDefault="00971069" w:rsidP="00887E68">
      <w:pPr>
        <w:pStyle w:val="NoSpacing"/>
        <w:rPr>
          <w:rFonts w:ascii="Arial" w:hAnsi="Arial" w:cs="Arial"/>
          <w:b/>
          <w:sz w:val="20"/>
          <w:szCs w:val="20"/>
        </w:rPr>
      </w:pPr>
      <w:r>
        <w:rPr>
          <w:rFonts w:ascii="Arial" w:hAnsi="Arial" w:cs="Arial"/>
          <w:b/>
          <w:sz w:val="20"/>
          <w:szCs w:val="20"/>
        </w:rPr>
        <w:t>Broj : 01-018/26-138</w:t>
      </w:r>
    </w:p>
    <w:p w:rsidR="00887E68" w:rsidRPr="00073A5A" w:rsidRDefault="00E82C10" w:rsidP="00887E68">
      <w:pPr>
        <w:pStyle w:val="NoSpacing"/>
        <w:rPr>
          <w:rFonts w:ascii="Arial" w:hAnsi="Arial" w:cs="Arial"/>
          <w:b/>
          <w:sz w:val="20"/>
          <w:szCs w:val="20"/>
        </w:rPr>
      </w:pPr>
      <w:r>
        <w:rPr>
          <w:rFonts w:ascii="Arial" w:hAnsi="Arial" w:cs="Arial"/>
          <w:b/>
          <w:sz w:val="20"/>
          <w:szCs w:val="20"/>
        </w:rPr>
        <w:t>Datum, 26</w:t>
      </w:r>
      <w:r w:rsidR="00887E68" w:rsidRPr="00073A5A">
        <w:rPr>
          <w:rFonts w:ascii="Arial" w:hAnsi="Arial" w:cs="Arial"/>
          <w:b/>
          <w:sz w:val="20"/>
          <w:szCs w:val="20"/>
        </w:rPr>
        <w:t>.05.2026.godine</w:t>
      </w:r>
    </w:p>
    <w:p w:rsidR="00AA674D" w:rsidRPr="00DF1030" w:rsidRDefault="00AA674D" w:rsidP="00887E68">
      <w:pPr>
        <w:pStyle w:val="NoSpacing"/>
        <w:rPr>
          <w:rFonts w:ascii="Arial" w:hAnsi="Arial" w:cs="Arial"/>
          <w:b/>
        </w:rPr>
      </w:pPr>
    </w:p>
    <w:p w:rsidR="00AA674D" w:rsidRPr="00DF1030" w:rsidRDefault="00AA674D" w:rsidP="00AA674D">
      <w:pPr>
        <w:pStyle w:val="NoSpacing"/>
        <w:jc w:val="center"/>
        <w:rPr>
          <w:rFonts w:ascii="Arial" w:hAnsi="Arial" w:cs="Arial"/>
          <w:b/>
        </w:rPr>
      </w:pPr>
      <w:r w:rsidRPr="00DF1030">
        <w:rPr>
          <w:rFonts w:ascii="Arial" w:hAnsi="Arial" w:cs="Arial"/>
          <w:b/>
        </w:rPr>
        <w:t>Obavještenje za predlog za izmjenu tenderske dokumentacije</w:t>
      </w:r>
    </w:p>
    <w:p w:rsidR="00AA674D" w:rsidRPr="00073A5A" w:rsidRDefault="00AA674D" w:rsidP="00FB4999">
      <w:pPr>
        <w:spacing w:before="200" w:after="200"/>
        <w:jc w:val="both"/>
        <w:rPr>
          <w:color w:val="323744"/>
          <w:sz w:val="20"/>
          <w:szCs w:val="20"/>
        </w:rPr>
      </w:pPr>
      <w:r w:rsidRPr="00073A5A">
        <w:rPr>
          <w:bCs/>
          <w:color w:val="000000"/>
          <w:sz w:val="20"/>
          <w:szCs w:val="20"/>
        </w:rPr>
        <w:t>Komisiji za sprovođenje postupka javne nabavke po tenderskoj dokumentaciji broj</w:t>
      </w:r>
      <w:r w:rsidRPr="00073A5A">
        <w:rPr>
          <w:b/>
          <w:bCs/>
          <w:color w:val="000000"/>
          <w:sz w:val="20"/>
          <w:szCs w:val="20"/>
        </w:rPr>
        <w:t xml:space="preserve"> </w:t>
      </w:r>
      <w:r w:rsidRPr="00073A5A">
        <w:rPr>
          <w:sz w:val="20"/>
          <w:szCs w:val="20"/>
        </w:rPr>
        <w:t xml:space="preserve">01-018/26-112 </w:t>
      </w:r>
      <w:proofErr w:type="gramStart"/>
      <w:r w:rsidRPr="00073A5A">
        <w:rPr>
          <w:sz w:val="20"/>
          <w:szCs w:val="20"/>
        </w:rPr>
        <w:t>od</w:t>
      </w:r>
      <w:proofErr w:type="gramEnd"/>
      <w:r w:rsidRPr="00073A5A">
        <w:rPr>
          <w:sz w:val="20"/>
          <w:szCs w:val="20"/>
        </w:rPr>
        <w:t xml:space="preserve"> 11.05.2026. </w:t>
      </w:r>
      <w:proofErr w:type="gramStart"/>
      <w:r w:rsidRPr="00073A5A">
        <w:rPr>
          <w:sz w:val="20"/>
          <w:szCs w:val="20"/>
        </w:rPr>
        <w:t>godine</w:t>
      </w:r>
      <w:proofErr w:type="gramEnd"/>
      <w:r w:rsidRPr="00073A5A">
        <w:rPr>
          <w:sz w:val="20"/>
          <w:szCs w:val="20"/>
        </w:rPr>
        <w:t xml:space="preserve"> Javna rasvjeta u ul. </w:t>
      </w:r>
      <w:proofErr w:type="gramStart"/>
      <w:r w:rsidRPr="00073A5A">
        <w:rPr>
          <w:sz w:val="20"/>
          <w:szCs w:val="20"/>
        </w:rPr>
        <w:t>Vuka Karadžića i 21.</w:t>
      </w:r>
      <w:proofErr w:type="gramEnd"/>
      <w:r w:rsidRPr="00073A5A">
        <w:rPr>
          <w:sz w:val="20"/>
          <w:szCs w:val="20"/>
        </w:rPr>
        <w:t xml:space="preserve"> </w:t>
      </w:r>
      <w:proofErr w:type="gramStart"/>
      <w:r w:rsidRPr="00073A5A">
        <w:rPr>
          <w:sz w:val="20"/>
          <w:szCs w:val="20"/>
        </w:rPr>
        <w:t>maja</w:t>
      </w:r>
      <w:proofErr w:type="gramEnd"/>
      <w:r w:rsidRPr="00073A5A">
        <w:rPr>
          <w:sz w:val="20"/>
          <w:szCs w:val="20"/>
        </w:rPr>
        <w:t xml:space="preserve"> – rekonstrukcija šifra postupka 112544 dostavljen je predlog za izmjenu tenderske dokumentacije putem CEJN-a dana </w:t>
      </w:r>
      <w:r w:rsidR="002746D2" w:rsidRPr="00073A5A">
        <w:rPr>
          <w:color w:val="323744"/>
          <w:sz w:val="20"/>
          <w:szCs w:val="20"/>
        </w:rPr>
        <w:t xml:space="preserve">24.5.2026.godine u </w:t>
      </w:r>
      <w:r w:rsidRPr="00073A5A">
        <w:rPr>
          <w:color w:val="323744"/>
          <w:sz w:val="20"/>
          <w:szCs w:val="20"/>
        </w:rPr>
        <w:t>6:49 sati zaveden kod Naručioca dana  25.05.2026.godine pod brojem 01-018/26-137.</w:t>
      </w:r>
    </w:p>
    <w:p w:rsidR="00887E68" w:rsidRPr="00DF1030" w:rsidRDefault="00AA674D" w:rsidP="00DF1030">
      <w:pPr>
        <w:spacing w:before="200" w:after="200"/>
        <w:jc w:val="both"/>
        <w:rPr>
          <w:b/>
          <w:bCs/>
          <w:color w:val="000000"/>
          <w:sz w:val="20"/>
          <w:szCs w:val="20"/>
        </w:rPr>
      </w:pPr>
      <w:r w:rsidRPr="00073A5A">
        <w:rPr>
          <w:color w:val="323744"/>
          <w:sz w:val="20"/>
          <w:szCs w:val="20"/>
        </w:rPr>
        <w:t xml:space="preserve">Predlog za izmjenu tenderske dokumentacije je podnijet u skladu </w:t>
      </w:r>
      <w:proofErr w:type="gramStart"/>
      <w:r w:rsidRPr="00073A5A">
        <w:rPr>
          <w:color w:val="323744"/>
          <w:sz w:val="20"/>
          <w:szCs w:val="20"/>
        </w:rPr>
        <w:t>sa</w:t>
      </w:r>
      <w:proofErr w:type="gramEnd"/>
      <w:r w:rsidRPr="00073A5A">
        <w:rPr>
          <w:color w:val="323744"/>
          <w:sz w:val="20"/>
          <w:szCs w:val="20"/>
        </w:rPr>
        <w:t xml:space="preserve"> člano</w:t>
      </w:r>
      <w:r w:rsidR="002746D2" w:rsidRPr="00073A5A">
        <w:rPr>
          <w:color w:val="323744"/>
          <w:sz w:val="20"/>
          <w:szCs w:val="20"/>
        </w:rPr>
        <w:t xml:space="preserve">m 94 Zakona o javnim nabavkama i </w:t>
      </w:r>
      <w:r w:rsidRPr="00073A5A">
        <w:rPr>
          <w:color w:val="323744"/>
          <w:sz w:val="20"/>
          <w:szCs w:val="20"/>
        </w:rPr>
        <w:t xml:space="preserve">glasi: </w:t>
      </w:r>
    </w:p>
    <w:tbl>
      <w:tblPr>
        <w:tblW w:w="900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3000"/>
        <w:gridCol w:w="6000"/>
      </w:tblGrid>
      <w:tr w:rsidR="00887E68" w:rsidRPr="00073A5A" w:rsidTr="00D82F93">
        <w:tc>
          <w:tcPr>
            <w:tcW w:w="3000" w:type="dxa"/>
            <w:tcBorders>
              <w:top w:val="single" w:sz="4" w:space="0" w:color="999999"/>
              <w:left w:val="single" w:sz="4" w:space="0" w:color="999999"/>
              <w:bottom w:val="single" w:sz="4" w:space="0" w:color="999999"/>
              <w:right w:val="single" w:sz="4" w:space="0" w:color="999999"/>
            </w:tcBorders>
            <w:shd w:val="clear" w:color="auto" w:fill="D5E8F0"/>
            <w:tcMar>
              <w:top w:w="100" w:type="dxa"/>
              <w:left w:w="120" w:type="dxa"/>
              <w:bottom w:w="100" w:type="dxa"/>
              <w:right w:w="120" w:type="dxa"/>
            </w:tcMar>
            <w:vAlign w:val="center"/>
          </w:tcPr>
          <w:p w:rsidR="00887E68" w:rsidRPr="00073A5A" w:rsidRDefault="00887E68" w:rsidP="00D82F93">
            <w:pPr>
              <w:rPr>
                <w:sz w:val="20"/>
                <w:szCs w:val="20"/>
              </w:rPr>
            </w:pPr>
            <w:r w:rsidRPr="00073A5A">
              <w:rPr>
                <w:b/>
                <w:bCs/>
                <w:sz w:val="20"/>
                <w:szCs w:val="20"/>
              </w:rPr>
              <w:t>Predmet nabavke:</w:t>
            </w:r>
          </w:p>
        </w:tc>
        <w:tc>
          <w:tcPr>
            <w:tcW w:w="60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073A5A">
            <w:pPr>
              <w:jc w:val="both"/>
              <w:rPr>
                <w:sz w:val="20"/>
                <w:szCs w:val="20"/>
              </w:rPr>
            </w:pPr>
            <w:r w:rsidRPr="00073A5A">
              <w:rPr>
                <w:sz w:val="20"/>
                <w:szCs w:val="20"/>
              </w:rPr>
              <w:t>Javna rasvjeta u ul. Vuka Karadžića i 21. maja – rekonstrukcija</w:t>
            </w:r>
          </w:p>
        </w:tc>
      </w:tr>
      <w:tr w:rsidR="00887E68" w:rsidRPr="00073A5A" w:rsidTr="00D82F93">
        <w:tc>
          <w:tcPr>
            <w:tcW w:w="3000" w:type="dxa"/>
            <w:tcBorders>
              <w:top w:val="single" w:sz="4" w:space="0" w:color="999999"/>
              <w:left w:val="single" w:sz="4" w:space="0" w:color="999999"/>
              <w:bottom w:val="single" w:sz="4" w:space="0" w:color="999999"/>
              <w:right w:val="single" w:sz="4" w:space="0" w:color="999999"/>
            </w:tcBorders>
            <w:shd w:val="clear" w:color="auto" w:fill="D5E8F0"/>
            <w:tcMar>
              <w:top w:w="100" w:type="dxa"/>
              <w:left w:w="120" w:type="dxa"/>
              <w:bottom w:w="100" w:type="dxa"/>
              <w:right w:w="120" w:type="dxa"/>
            </w:tcMar>
            <w:vAlign w:val="center"/>
          </w:tcPr>
          <w:p w:rsidR="00887E68" w:rsidRPr="00073A5A" w:rsidRDefault="00887E68" w:rsidP="00D82F93">
            <w:pPr>
              <w:rPr>
                <w:sz w:val="20"/>
                <w:szCs w:val="20"/>
              </w:rPr>
            </w:pPr>
            <w:r w:rsidRPr="00073A5A">
              <w:rPr>
                <w:b/>
                <w:bCs/>
                <w:sz w:val="20"/>
                <w:szCs w:val="20"/>
              </w:rPr>
              <w:t>Naručilac:</w:t>
            </w:r>
          </w:p>
        </w:tc>
        <w:tc>
          <w:tcPr>
            <w:tcW w:w="60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073A5A">
            <w:pPr>
              <w:jc w:val="both"/>
              <w:rPr>
                <w:sz w:val="20"/>
                <w:szCs w:val="20"/>
              </w:rPr>
            </w:pPr>
            <w:r w:rsidRPr="00073A5A">
              <w:rPr>
                <w:sz w:val="20"/>
                <w:szCs w:val="20"/>
              </w:rPr>
              <w:t>Opština Žabljak</w:t>
            </w:r>
          </w:p>
        </w:tc>
      </w:tr>
      <w:tr w:rsidR="00887E68" w:rsidRPr="00073A5A" w:rsidTr="00D82F93">
        <w:tc>
          <w:tcPr>
            <w:tcW w:w="3000" w:type="dxa"/>
            <w:tcBorders>
              <w:top w:val="single" w:sz="4" w:space="0" w:color="999999"/>
              <w:left w:val="single" w:sz="4" w:space="0" w:color="999999"/>
              <w:bottom w:val="single" w:sz="4" w:space="0" w:color="999999"/>
              <w:right w:val="single" w:sz="4" w:space="0" w:color="999999"/>
            </w:tcBorders>
            <w:shd w:val="clear" w:color="auto" w:fill="D5E8F0"/>
            <w:tcMar>
              <w:top w:w="100" w:type="dxa"/>
              <w:left w:w="120" w:type="dxa"/>
              <w:bottom w:w="100" w:type="dxa"/>
              <w:right w:w="120" w:type="dxa"/>
            </w:tcMar>
            <w:vAlign w:val="center"/>
          </w:tcPr>
          <w:p w:rsidR="00887E68" w:rsidRPr="00073A5A" w:rsidRDefault="00887E68" w:rsidP="00D82F93">
            <w:pPr>
              <w:rPr>
                <w:sz w:val="20"/>
                <w:szCs w:val="20"/>
              </w:rPr>
            </w:pPr>
            <w:r w:rsidRPr="00073A5A">
              <w:rPr>
                <w:b/>
                <w:bCs/>
                <w:sz w:val="20"/>
                <w:szCs w:val="20"/>
              </w:rPr>
              <w:t>Šifra postupka:</w:t>
            </w:r>
          </w:p>
        </w:tc>
        <w:tc>
          <w:tcPr>
            <w:tcW w:w="60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rPr>
                <w:sz w:val="20"/>
                <w:szCs w:val="20"/>
              </w:rPr>
            </w:pPr>
            <w:r w:rsidRPr="00073A5A">
              <w:rPr>
                <w:sz w:val="20"/>
                <w:szCs w:val="20"/>
              </w:rPr>
              <w:t>112544</w:t>
            </w:r>
          </w:p>
        </w:tc>
      </w:tr>
      <w:tr w:rsidR="00887E68" w:rsidRPr="00073A5A" w:rsidTr="00D82F93">
        <w:tc>
          <w:tcPr>
            <w:tcW w:w="3000" w:type="dxa"/>
            <w:tcBorders>
              <w:top w:val="single" w:sz="4" w:space="0" w:color="999999"/>
              <w:left w:val="single" w:sz="4" w:space="0" w:color="999999"/>
              <w:bottom w:val="single" w:sz="4" w:space="0" w:color="999999"/>
              <w:right w:val="single" w:sz="4" w:space="0" w:color="999999"/>
            </w:tcBorders>
            <w:shd w:val="clear" w:color="auto" w:fill="D5E8F0"/>
            <w:tcMar>
              <w:top w:w="100" w:type="dxa"/>
              <w:left w:w="120" w:type="dxa"/>
              <w:bottom w:w="100" w:type="dxa"/>
              <w:right w:w="120" w:type="dxa"/>
            </w:tcMar>
            <w:vAlign w:val="center"/>
          </w:tcPr>
          <w:p w:rsidR="00887E68" w:rsidRPr="00073A5A" w:rsidRDefault="00887E68" w:rsidP="00D82F93">
            <w:pPr>
              <w:rPr>
                <w:sz w:val="20"/>
                <w:szCs w:val="20"/>
              </w:rPr>
            </w:pPr>
            <w:r w:rsidRPr="00073A5A">
              <w:rPr>
                <w:b/>
                <w:bCs/>
                <w:sz w:val="20"/>
                <w:szCs w:val="20"/>
              </w:rPr>
              <w:t>Broj tenderske dokumentacije:</w:t>
            </w:r>
          </w:p>
        </w:tc>
        <w:tc>
          <w:tcPr>
            <w:tcW w:w="60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073A5A">
            <w:pPr>
              <w:jc w:val="both"/>
              <w:rPr>
                <w:sz w:val="20"/>
                <w:szCs w:val="20"/>
              </w:rPr>
            </w:pPr>
            <w:r w:rsidRPr="00073A5A">
              <w:rPr>
                <w:sz w:val="20"/>
                <w:szCs w:val="20"/>
              </w:rPr>
              <w:t>01-018/26-112 od 11.05.2026. godine</w:t>
            </w:r>
          </w:p>
        </w:tc>
      </w:tr>
      <w:tr w:rsidR="00887E68" w:rsidRPr="00073A5A" w:rsidTr="00D82F93">
        <w:tc>
          <w:tcPr>
            <w:tcW w:w="3000" w:type="dxa"/>
            <w:tcBorders>
              <w:top w:val="single" w:sz="4" w:space="0" w:color="999999"/>
              <w:left w:val="single" w:sz="4" w:space="0" w:color="999999"/>
              <w:bottom w:val="single" w:sz="4" w:space="0" w:color="999999"/>
              <w:right w:val="single" w:sz="4" w:space="0" w:color="999999"/>
            </w:tcBorders>
            <w:shd w:val="clear" w:color="auto" w:fill="D5E8F0"/>
            <w:tcMar>
              <w:top w:w="100" w:type="dxa"/>
              <w:left w:w="120" w:type="dxa"/>
              <w:bottom w:w="100" w:type="dxa"/>
              <w:right w:w="120" w:type="dxa"/>
            </w:tcMar>
            <w:vAlign w:val="center"/>
          </w:tcPr>
          <w:p w:rsidR="00887E68" w:rsidRPr="00073A5A" w:rsidRDefault="00887E68" w:rsidP="00D82F93">
            <w:pPr>
              <w:rPr>
                <w:sz w:val="20"/>
                <w:szCs w:val="20"/>
              </w:rPr>
            </w:pPr>
            <w:r w:rsidRPr="00073A5A">
              <w:rPr>
                <w:b/>
                <w:bCs/>
                <w:sz w:val="20"/>
                <w:szCs w:val="20"/>
              </w:rPr>
              <w:t>Broj pojašnjenja naručioca:</w:t>
            </w:r>
          </w:p>
        </w:tc>
        <w:tc>
          <w:tcPr>
            <w:tcW w:w="60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073A5A">
            <w:pPr>
              <w:jc w:val="both"/>
              <w:rPr>
                <w:sz w:val="20"/>
                <w:szCs w:val="20"/>
              </w:rPr>
            </w:pPr>
            <w:r w:rsidRPr="00073A5A">
              <w:rPr>
                <w:sz w:val="20"/>
                <w:szCs w:val="20"/>
              </w:rPr>
              <w:t>01-018/26-134 od 20.05.2026. godine</w:t>
            </w:r>
          </w:p>
        </w:tc>
      </w:tr>
      <w:tr w:rsidR="00887E68" w:rsidRPr="00073A5A" w:rsidTr="00D82F93">
        <w:tc>
          <w:tcPr>
            <w:tcW w:w="3000" w:type="dxa"/>
            <w:tcBorders>
              <w:top w:val="single" w:sz="4" w:space="0" w:color="999999"/>
              <w:left w:val="single" w:sz="4" w:space="0" w:color="999999"/>
              <w:bottom w:val="single" w:sz="4" w:space="0" w:color="999999"/>
              <w:right w:val="single" w:sz="4" w:space="0" w:color="999999"/>
            </w:tcBorders>
            <w:shd w:val="clear" w:color="auto" w:fill="D5E8F0"/>
            <w:tcMar>
              <w:top w:w="100" w:type="dxa"/>
              <w:left w:w="120" w:type="dxa"/>
              <w:bottom w:w="100" w:type="dxa"/>
              <w:right w:w="120" w:type="dxa"/>
            </w:tcMar>
            <w:vAlign w:val="center"/>
          </w:tcPr>
          <w:p w:rsidR="00887E68" w:rsidRPr="00073A5A" w:rsidRDefault="00887E68" w:rsidP="00D82F93">
            <w:pPr>
              <w:rPr>
                <w:sz w:val="20"/>
                <w:szCs w:val="20"/>
              </w:rPr>
            </w:pPr>
            <w:r w:rsidRPr="00073A5A">
              <w:rPr>
                <w:b/>
                <w:bCs/>
                <w:sz w:val="20"/>
                <w:szCs w:val="20"/>
              </w:rPr>
              <w:t>Podnosilac predloga:</w:t>
            </w:r>
          </w:p>
        </w:tc>
        <w:tc>
          <w:tcPr>
            <w:tcW w:w="60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073A5A">
            <w:pPr>
              <w:jc w:val="both"/>
              <w:rPr>
                <w:sz w:val="20"/>
                <w:szCs w:val="20"/>
              </w:rPr>
            </w:pPr>
            <w:r w:rsidRPr="00073A5A">
              <w:rPr>
                <w:sz w:val="20"/>
                <w:szCs w:val="20"/>
              </w:rPr>
              <w:t>(zainteresovano lice)</w:t>
            </w:r>
          </w:p>
        </w:tc>
      </w:tr>
    </w:tbl>
    <w:p w:rsidR="00887E68" w:rsidRPr="00073A5A" w:rsidRDefault="00887E68" w:rsidP="00887E68">
      <w:pPr>
        <w:spacing w:before="320" w:after="160"/>
        <w:rPr>
          <w:sz w:val="20"/>
          <w:szCs w:val="20"/>
        </w:rPr>
      </w:pPr>
      <w:r w:rsidRPr="00073A5A">
        <w:rPr>
          <w:b/>
          <w:bCs/>
          <w:color w:val="1F4E79"/>
          <w:sz w:val="20"/>
          <w:szCs w:val="20"/>
        </w:rPr>
        <w:t>I. Uvodne napomene i procesna pozadina</w:t>
      </w:r>
    </w:p>
    <w:p w:rsidR="00887E68" w:rsidRPr="00073A5A" w:rsidRDefault="00FB4999" w:rsidP="00887E68">
      <w:pPr>
        <w:spacing w:before="80" w:after="80" w:line="300" w:lineRule="auto"/>
        <w:jc w:val="both"/>
        <w:rPr>
          <w:sz w:val="20"/>
          <w:szCs w:val="20"/>
        </w:rPr>
      </w:pPr>
      <w:r w:rsidRPr="00073A5A">
        <w:rPr>
          <w:color w:val="000000"/>
          <w:sz w:val="20"/>
          <w:szCs w:val="20"/>
        </w:rPr>
        <w:t>Z</w:t>
      </w:r>
      <w:r w:rsidR="00887E68" w:rsidRPr="00073A5A">
        <w:rPr>
          <w:color w:val="000000"/>
          <w:sz w:val="20"/>
          <w:szCs w:val="20"/>
        </w:rPr>
        <w:t xml:space="preserve">ainteresovano lice u smislu člana 3 stav 1 tačka 25 Zakona o javnim nabavkama („Službeni list CG", br. 74/2019, 3/2023, 11/2023 - ispravka i 84/2024 — u daljem tekstu: „ZJN" ili „Zakon"), u predviđenom zakonskom roku, podnosi ovaj Predlog za izmjenu tenderske dokumentacije, </w:t>
      </w:r>
      <w:proofErr w:type="gramStart"/>
      <w:r w:rsidR="00887E68" w:rsidRPr="00073A5A">
        <w:rPr>
          <w:color w:val="000000"/>
          <w:sz w:val="20"/>
          <w:szCs w:val="20"/>
        </w:rPr>
        <w:t>na</w:t>
      </w:r>
      <w:proofErr w:type="gramEnd"/>
      <w:r w:rsidR="00887E68" w:rsidRPr="00073A5A">
        <w:rPr>
          <w:color w:val="000000"/>
          <w:sz w:val="20"/>
          <w:szCs w:val="20"/>
        </w:rPr>
        <w:t xml:space="preserve"> osnovu člana 94 ZJN.</w:t>
      </w:r>
    </w:p>
    <w:p w:rsidR="00887E68" w:rsidRPr="00073A5A" w:rsidRDefault="00887E68" w:rsidP="00887E68">
      <w:pPr>
        <w:spacing w:before="80" w:after="80" w:line="300" w:lineRule="auto"/>
        <w:jc w:val="both"/>
        <w:rPr>
          <w:sz w:val="20"/>
          <w:szCs w:val="20"/>
        </w:rPr>
      </w:pPr>
      <w:proofErr w:type="gramStart"/>
      <w:r w:rsidRPr="00073A5A">
        <w:rPr>
          <w:color w:val="000000"/>
          <w:sz w:val="20"/>
          <w:szCs w:val="20"/>
        </w:rPr>
        <w:t>Predmetna nabavka — rekonstrukcija javne rasvjete u ulicama Vuka Karadžića i 21.</w:t>
      </w:r>
      <w:proofErr w:type="gramEnd"/>
      <w:r w:rsidRPr="00073A5A">
        <w:rPr>
          <w:color w:val="000000"/>
          <w:sz w:val="20"/>
          <w:szCs w:val="20"/>
        </w:rPr>
        <w:t xml:space="preserve"> </w:t>
      </w:r>
      <w:proofErr w:type="gramStart"/>
      <w:r w:rsidRPr="00073A5A">
        <w:rPr>
          <w:color w:val="000000"/>
          <w:sz w:val="20"/>
          <w:szCs w:val="20"/>
        </w:rPr>
        <w:t>maja</w:t>
      </w:r>
      <w:proofErr w:type="gramEnd"/>
      <w:r w:rsidRPr="00073A5A">
        <w:rPr>
          <w:color w:val="000000"/>
          <w:sz w:val="20"/>
          <w:szCs w:val="20"/>
        </w:rPr>
        <w:t xml:space="preserve"> — sprovodi se u otvorenom postupku javne nabavke, šifra 112544. </w:t>
      </w:r>
      <w:proofErr w:type="gramStart"/>
      <w:r w:rsidRPr="00073A5A">
        <w:rPr>
          <w:color w:val="000000"/>
          <w:sz w:val="20"/>
          <w:szCs w:val="20"/>
        </w:rPr>
        <w:t>Tenderska dokumentacija objavljena je 11.05.2026.</w:t>
      </w:r>
      <w:proofErr w:type="gramEnd"/>
      <w:r w:rsidRPr="00073A5A">
        <w:rPr>
          <w:color w:val="000000"/>
          <w:sz w:val="20"/>
          <w:szCs w:val="20"/>
        </w:rPr>
        <w:t xml:space="preserve"> </w:t>
      </w:r>
      <w:proofErr w:type="gramStart"/>
      <w:r w:rsidRPr="00073A5A">
        <w:rPr>
          <w:color w:val="000000"/>
          <w:sz w:val="20"/>
          <w:szCs w:val="20"/>
        </w:rPr>
        <w:t>godine</w:t>
      </w:r>
      <w:proofErr w:type="gramEnd"/>
      <w:r w:rsidRPr="00073A5A">
        <w:rPr>
          <w:color w:val="000000"/>
          <w:sz w:val="20"/>
          <w:szCs w:val="20"/>
        </w:rPr>
        <w:t xml:space="preserve"> pod brojem 01-018/26-112.</w:t>
      </w:r>
    </w:p>
    <w:p w:rsidR="00887E68" w:rsidRPr="00073A5A" w:rsidRDefault="00887E68" w:rsidP="00887E68">
      <w:pPr>
        <w:spacing w:before="80" w:after="80" w:line="300" w:lineRule="auto"/>
        <w:jc w:val="both"/>
        <w:rPr>
          <w:sz w:val="20"/>
          <w:szCs w:val="20"/>
        </w:rPr>
      </w:pPr>
      <w:r w:rsidRPr="00073A5A">
        <w:rPr>
          <w:color w:val="000000"/>
          <w:sz w:val="20"/>
          <w:szCs w:val="20"/>
        </w:rPr>
        <w:t xml:space="preserve">Dana 18.05.2026. </w:t>
      </w:r>
      <w:proofErr w:type="gramStart"/>
      <w:r w:rsidRPr="00073A5A">
        <w:rPr>
          <w:color w:val="000000"/>
          <w:sz w:val="20"/>
          <w:szCs w:val="20"/>
        </w:rPr>
        <w:t>godine</w:t>
      </w:r>
      <w:proofErr w:type="gramEnd"/>
      <w:r w:rsidRPr="00073A5A">
        <w:rPr>
          <w:color w:val="000000"/>
          <w:sz w:val="20"/>
          <w:szCs w:val="20"/>
        </w:rPr>
        <w:t>, dva zainteresovana lica podnijela su zahtjeve za pojašnjenje tenderske dokumentacije (broj 01-018/26-121 i 01-018/26-122), u kojima su detaljno ukazali na nepravilnosti u tehničkoj specifikaciji svjetiljki, konzolnog nosača i stuba, neusaglašenost količinskih podataka, kao i odsustvo definisanih kriterijuma ekvivalentnosti.</w:t>
      </w:r>
    </w:p>
    <w:p w:rsidR="00887E68" w:rsidRPr="00073A5A" w:rsidRDefault="00887E68" w:rsidP="00887E68">
      <w:pPr>
        <w:spacing w:before="80" w:after="80" w:line="300" w:lineRule="auto"/>
        <w:jc w:val="both"/>
        <w:rPr>
          <w:sz w:val="20"/>
          <w:szCs w:val="20"/>
        </w:rPr>
      </w:pPr>
      <w:r w:rsidRPr="00073A5A">
        <w:rPr>
          <w:color w:val="000000"/>
          <w:sz w:val="20"/>
          <w:szCs w:val="20"/>
        </w:rPr>
        <w:t xml:space="preserve">Naručilac je </w:t>
      </w:r>
      <w:proofErr w:type="gramStart"/>
      <w:r w:rsidRPr="00073A5A">
        <w:rPr>
          <w:color w:val="000000"/>
          <w:sz w:val="20"/>
          <w:szCs w:val="20"/>
        </w:rPr>
        <w:t>dana</w:t>
      </w:r>
      <w:proofErr w:type="gramEnd"/>
      <w:r w:rsidRPr="00073A5A">
        <w:rPr>
          <w:color w:val="000000"/>
          <w:sz w:val="20"/>
          <w:szCs w:val="20"/>
        </w:rPr>
        <w:t xml:space="preserve"> 20.05.2026. </w:t>
      </w:r>
      <w:proofErr w:type="gramStart"/>
      <w:r w:rsidRPr="00073A5A">
        <w:rPr>
          <w:color w:val="000000"/>
          <w:sz w:val="20"/>
          <w:szCs w:val="20"/>
        </w:rPr>
        <w:t>godine</w:t>
      </w:r>
      <w:proofErr w:type="gramEnd"/>
      <w:r w:rsidRPr="00073A5A">
        <w:rPr>
          <w:color w:val="000000"/>
          <w:sz w:val="20"/>
          <w:szCs w:val="20"/>
        </w:rPr>
        <w:t xml:space="preserve">, aktom broj 01-018/26-134, dostavio odgovor na navedene zahtjeve. </w:t>
      </w:r>
      <w:proofErr w:type="gramStart"/>
      <w:r w:rsidRPr="00073A5A">
        <w:rPr>
          <w:color w:val="000000"/>
          <w:sz w:val="20"/>
          <w:szCs w:val="20"/>
        </w:rPr>
        <w:t>Međutim, analiza odgovora pokazuje da naručilac suštinski nije otklonio nepravilnosti, nego ih je, naprotiv, vlastitim formulacijama eksplicitno potvrdio i u određenim segmentima dodatno produbio.</w:t>
      </w:r>
      <w:proofErr w:type="gramEnd"/>
      <w:r w:rsidRPr="00073A5A">
        <w:rPr>
          <w:color w:val="000000"/>
          <w:sz w:val="20"/>
          <w:szCs w:val="20"/>
        </w:rPr>
        <w:t xml:space="preserve"> </w:t>
      </w:r>
      <w:proofErr w:type="gramStart"/>
      <w:r w:rsidRPr="00073A5A">
        <w:rPr>
          <w:color w:val="000000"/>
          <w:sz w:val="20"/>
          <w:szCs w:val="20"/>
        </w:rPr>
        <w:t>Pojedini odgovori sadrže izričite konstatacije koje, u kontekstu članova 7, 10, 12, 41, 82, 85 i 88 ZJN, predstavljaju samostalne osnove za izmjenu tenderske dokumentacije.</w:t>
      </w:r>
      <w:proofErr w:type="gramEnd"/>
    </w:p>
    <w:p w:rsidR="00887E68" w:rsidRPr="00073A5A" w:rsidRDefault="00887E68" w:rsidP="00887E68">
      <w:pPr>
        <w:spacing w:before="80" w:after="80" w:line="300" w:lineRule="auto"/>
        <w:jc w:val="both"/>
        <w:rPr>
          <w:sz w:val="20"/>
          <w:szCs w:val="20"/>
        </w:rPr>
      </w:pPr>
      <w:proofErr w:type="gramStart"/>
      <w:r w:rsidRPr="00073A5A">
        <w:rPr>
          <w:color w:val="000000"/>
          <w:sz w:val="20"/>
          <w:szCs w:val="20"/>
        </w:rPr>
        <w:t>Stoga ovaj Predlog za izmjenu nije ponavljanje ranijih zahtjeva za pojašnjenje, već njihovo logičko nadograđivanje — koristeći upravo odgovore naručioca kao osnovni dokazni materijal o postojanju diskriminacije i drugih povreda Zakona.</w:t>
      </w:r>
      <w:proofErr w:type="gramEnd"/>
    </w:p>
    <w:p w:rsidR="00887E68" w:rsidRPr="00073A5A" w:rsidRDefault="00887E68" w:rsidP="00887E68">
      <w:pPr>
        <w:spacing w:before="80" w:after="80" w:line="300" w:lineRule="auto"/>
        <w:jc w:val="both"/>
        <w:rPr>
          <w:sz w:val="20"/>
          <w:szCs w:val="20"/>
        </w:rPr>
      </w:pPr>
      <w:r w:rsidRPr="00073A5A">
        <w:rPr>
          <w:iCs/>
          <w:color w:val="000000"/>
          <w:sz w:val="20"/>
          <w:szCs w:val="20"/>
        </w:rPr>
        <w:lastRenderedPageBreak/>
        <w:t xml:space="preserve">U skladu </w:t>
      </w:r>
      <w:proofErr w:type="gramStart"/>
      <w:r w:rsidRPr="00073A5A">
        <w:rPr>
          <w:iCs/>
          <w:color w:val="000000"/>
          <w:sz w:val="20"/>
          <w:szCs w:val="20"/>
        </w:rPr>
        <w:t>sa</w:t>
      </w:r>
      <w:proofErr w:type="gramEnd"/>
      <w:r w:rsidRPr="00073A5A">
        <w:rPr>
          <w:iCs/>
          <w:color w:val="000000"/>
          <w:sz w:val="20"/>
          <w:szCs w:val="20"/>
        </w:rPr>
        <w:t xml:space="preserve"> članom 94 stav 5 ZJN, podnosilac predloga ne predlaže konkretne izmjene specifikacije, već obrazlaže razloge zbog kojih je potrebno otkloniti nepravilnosti u tenderskoj dokumentaciji. </w:t>
      </w:r>
      <w:proofErr w:type="gramStart"/>
      <w:r w:rsidRPr="00073A5A">
        <w:rPr>
          <w:iCs/>
          <w:color w:val="000000"/>
          <w:sz w:val="20"/>
          <w:szCs w:val="20"/>
        </w:rPr>
        <w:t>Određivanje načina otklanjanja nepravilnosti je u nadležnosti naručioca, uz obavezu poštovanja načela iz članova 5–13 ZJN.</w:t>
      </w:r>
      <w:proofErr w:type="gramEnd"/>
    </w:p>
    <w:p w:rsidR="00887E68" w:rsidRPr="00073A5A" w:rsidRDefault="00887E68" w:rsidP="00887E68">
      <w:pPr>
        <w:spacing w:before="320" w:after="160"/>
        <w:rPr>
          <w:sz w:val="20"/>
          <w:szCs w:val="20"/>
        </w:rPr>
      </w:pPr>
      <w:r w:rsidRPr="00073A5A">
        <w:rPr>
          <w:b/>
          <w:bCs/>
          <w:color w:val="1F4E79"/>
          <w:sz w:val="20"/>
          <w:szCs w:val="20"/>
        </w:rPr>
        <w:t>II. Suštinske nepravilnosti utvrđene nakon pojašnjenja naručioca</w:t>
      </w:r>
    </w:p>
    <w:p w:rsidR="00887E68" w:rsidRPr="00073A5A" w:rsidRDefault="00887E68" w:rsidP="00887E68">
      <w:pPr>
        <w:spacing w:before="80" w:after="80" w:line="300" w:lineRule="auto"/>
        <w:jc w:val="both"/>
        <w:rPr>
          <w:sz w:val="20"/>
          <w:szCs w:val="20"/>
        </w:rPr>
      </w:pPr>
      <w:proofErr w:type="gramStart"/>
      <w:r w:rsidRPr="00073A5A">
        <w:rPr>
          <w:color w:val="000000"/>
          <w:sz w:val="20"/>
          <w:szCs w:val="20"/>
        </w:rPr>
        <w:t>U narednim poglavljima izloženi su osnovi za izmjenu tenderske dokumentacije, prezentovani po stepenu neposrednosti povrede Zakona.</w:t>
      </w:r>
      <w:proofErr w:type="gramEnd"/>
      <w:r w:rsidRPr="00073A5A">
        <w:rPr>
          <w:color w:val="000000"/>
          <w:sz w:val="20"/>
          <w:szCs w:val="20"/>
        </w:rPr>
        <w:t xml:space="preserve"> </w:t>
      </w:r>
      <w:proofErr w:type="gramStart"/>
      <w:r w:rsidRPr="00073A5A">
        <w:rPr>
          <w:color w:val="000000"/>
          <w:sz w:val="20"/>
          <w:szCs w:val="20"/>
        </w:rPr>
        <w:t>Svaki nalaz je potkrijepljen citatom odgovora naručioca i odgovarajućim članom ZJN.</w:t>
      </w:r>
      <w:proofErr w:type="gramEnd"/>
    </w:p>
    <w:p w:rsidR="00887E68" w:rsidRPr="00073A5A" w:rsidRDefault="00887E68" w:rsidP="00887E68">
      <w:pPr>
        <w:spacing w:before="320" w:after="160"/>
        <w:rPr>
          <w:sz w:val="20"/>
          <w:szCs w:val="20"/>
        </w:rPr>
      </w:pPr>
      <w:r w:rsidRPr="00073A5A">
        <w:rPr>
          <w:b/>
          <w:bCs/>
          <w:color w:val="1F4E79"/>
          <w:sz w:val="20"/>
          <w:szCs w:val="20"/>
        </w:rPr>
        <w:t>2.1. „Alternativna rješenja nijesu dozvoljena" — direktna povreda člana 88 ZJN</w:t>
      </w:r>
    </w:p>
    <w:p w:rsidR="00887E68" w:rsidRPr="00073A5A" w:rsidRDefault="00887E68" w:rsidP="00887E68">
      <w:pPr>
        <w:spacing w:before="80" w:after="80" w:line="300" w:lineRule="auto"/>
        <w:jc w:val="both"/>
        <w:rPr>
          <w:sz w:val="20"/>
          <w:szCs w:val="20"/>
        </w:rPr>
      </w:pPr>
      <w:r w:rsidRPr="00073A5A">
        <w:rPr>
          <w:color w:val="000000"/>
          <w:sz w:val="20"/>
          <w:szCs w:val="20"/>
        </w:rPr>
        <w:t xml:space="preserve">U odgovoru </w:t>
      </w:r>
      <w:proofErr w:type="gramStart"/>
      <w:r w:rsidRPr="00073A5A">
        <w:rPr>
          <w:color w:val="000000"/>
          <w:sz w:val="20"/>
          <w:szCs w:val="20"/>
        </w:rPr>
        <w:t>na</w:t>
      </w:r>
      <w:proofErr w:type="gramEnd"/>
      <w:r w:rsidRPr="00073A5A">
        <w:rPr>
          <w:color w:val="000000"/>
          <w:sz w:val="20"/>
          <w:szCs w:val="20"/>
        </w:rPr>
        <w:t xml:space="preserve"> pitanje br. 3, naručilac doslovno navodi: </w:t>
      </w:r>
      <w:r w:rsidRPr="00073A5A">
        <w:rPr>
          <w:b/>
          <w:bCs/>
          <w:iCs/>
          <w:color w:val="000000"/>
          <w:sz w:val="20"/>
          <w:szCs w:val="20"/>
        </w:rPr>
        <w:t>„Alternativna rješenja nijesu dozvoljena."</w:t>
      </w:r>
      <w:r w:rsidRPr="00073A5A">
        <w:rPr>
          <w:color w:val="000000"/>
          <w:sz w:val="20"/>
          <w:szCs w:val="20"/>
        </w:rPr>
        <w:t xml:space="preserve"> Ova konstatacija, </w:t>
      </w:r>
      <w:proofErr w:type="gramStart"/>
      <w:r w:rsidRPr="00073A5A">
        <w:rPr>
          <w:color w:val="000000"/>
          <w:sz w:val="20"/>
          <w:szCs w:val="20"/>
        </w:rPr>
        <w:t>sama</w:t>
      </w:r>
      <w:proofErr w:type="gramEnd"/>
      <w:r w:rsidRPr="00073A5A">
        <w:rPr>
          <w:color w:val="000000"/>
          <w:sz w:val="20"/>
          <w:szCs w:val="20"/>
        </w:rPr>
        <w:t xml:space="preserve"> po sebi, predstavlja zatvaranje tržišta i direktnu povredu člana 88 ZJN i pratećih odredaba evropske pravne tekovine.</w:t>
      </w:r>
    </w:p>
    <w:p w:rsidR="00887E68" w:rsidRPr="00073A5A" w:rsidRDefault="00887E68" w:rsidP="00887E68">
      <w:pPr>
        <w:spacing w:before="80" w:after="80" w:line="300" w:lineRule="auto"/>
        <w:jc w:val="both"/>
        <w:rPr>
          <w:sz w:val="20"/>
          <w:szCs w:val="20"/>
        </w:rPr>
      </w:pPr>
      <w:r w:rsidRPr="00073A5A">
        <w:rPr>
          <w:color w:val="000000"/>
          <w:sz w:val="20"/>
          <w:szCs w:val="20"/>
        </w:rPr>
        <w:t xml:space="preserve">Član 88 stav 2 ZJN izričito propisuje da naručilac, kada upućuje </w:t>
      </w:r>
      <w:proofErr w:type="gramStart"/>
      <w:r w:rsidRPr="00073A5A">
        <w:rPr>
          <w:color w:val="000000"/>
          <w:sz w:val="20"/>
          <w:szCs w:val="20"/>
        </w:rPr>
        <w:t>na</w:t>
      </w:r>
      <w:proofErr w:type="gramEnd"/>
      <w:r w:rsidRPr="00073A5A">
        <w:rPr>
          <w:color w:val="000000"/>
          <w:sz w:val="20"/>
          <w:szCs w:val="20"/>
        </w:rPr>
        <w:t xml:space="preserve"> konkretan tip, izvor, proces, žig, model ili sličan element koji bi za posljedicu imao pogodovanje pojedinim privrednim subjektima ili njihovo eliminisanje, mora takvo upućivanje pratiti riječima „ili ekvivalentno". Stav 3 istog člana propisuje da ponuđač ima pravo da ponudi ekvivalentno rješenje, a stav 4 obavezuje naručioca da definiše kriterijume </w:t>
      </w:r>
      <w:proofErr w:type="gramStart"/>
      <w:r w:rsidRPr="00073A5A">
        <w:rPr>
          <w:color w:val="000000"/>
          <w:sz w:val="20"/>
          <w:szCs w:val="20"/>
        </w:rPr>
        <w:t>na</w:t>
      </w:r>
      <w:proofErr w:type="gramEnd"/>
      <w:r w:rsidRPr="00073A5A">
        <w:rPr>
          <w:color w:val="000000"/>
          <w:sz w:val="20"/>
          <w:szCs w:val="20"/>
        </w:rPr>
        <w:t xml:space="preserve"> osnovu kojih će se procjenjivati ekvivalentnost.</w:t>
      </w:r>
    </w:p>
    <w:p w:rsidR="00887E68" w:rsidRPr="00073A5A" w:rsidRDefault="00887E68" w:rsidP="00887E68">
      <w:pPr>
        <w:spacing w:before="80" w:after="80" w:line="300" w:lineRule="auto"/>
        <w:jc w:val="both"/>
        <w:rPr>
          <w:sz w:val="20"/>
          <w:szCs w:val="20"/>
        </w:rPr>
      </w:pPr>
      <w:r w:rsidRPr="00073A5A">
        <w:rPr>
          <w:color w:val="000000"/>
          <w:sz w:val="20"/>
          <w:szCs w:val="20"/>
        </w:rPr>
        <w:t xml:space="preserve">Eksplicitna zabrana alternativnih rješenja </w:t>
      </w:r>
      <w:proofErr w:type="gramStart"/>
      <w:r w:rsidRPr="00073A5A">
        <w:rPr>
          <w:color w:val="000000"/>
          <w:sz w:val="20"/>
          <w:szCs w:val="20"/>
        </w:rPr>
        <w:t>od</w:t>
      </w:r>
      <w:proofErr w:type="gramEnd"/>
      <w:r w:rsidRPr="00073A5A">
        <w:rPr>
          <w:color w:val="000000"/>
          <w:sz w:val="20"/>
          <w:szCs w:val="20"/>
        </w:rPr>
        <w:t xml:space="preserve"> strane naručioca čini ove odredbe ZJN nepoštovanim u njihovoj suštini. Naime, ako alternativna rješenja nijesu dozvoljena, onda je i formalno navođenje sintagme „ili ekvivalent" </w:t>
      </w:r>
      <w:proofErr w:type="gramStart"/>
      <w:r w:rsidRPr="00073A5A">
        <w:rPr>
          <w:color w:val="000000"/>
          <w:sz w:val="20"/>
          <w:szCs w:val="20"/>
        </w:rPr>
        <w:t>na</w:t>
      </w:r>
      <w:proofErr w:type="gramEnd"/>
      <w:r w:rsidRPr="00073A5A">
        <w:rPr>
          <w:color w:val="000000"/>
          <w:sz w:val="20"/>
          <w:szCs w:val="20"/>
        </w:rPr>
        <w:t xml:space="preserve"> pozicijama 20 i 21 tenderske dokumentacije lišeno svake pravne i ekonomske sadržine.</w:t>
      </w:r>
    </w:p>
    <w:p w:rsidR="00887E68" w:rsidRPr="00073A5A" w:rsidRDefault="00887E68" w:rsidP="00887E68">
      <w:pPr>
        <w:spacing w:before="80" w:after="80" w:line="300" w:lineRule="auto"/>
        <w:jc w:val="both"/>
        <w:rPr>
          <w:sz w:val="20"/>
          <w:szCs w:val="20"/>
        </w:rPr>
      </w:pPr>
      <w:r w:rsidRPr="00073A5A">
        <w:rPr>
          <w:color w:val="000000"/>
          <w:sz w:val="20"/>
          <w:szCs w:val="20"/>
        </w:rPr>
        <w:t xml:space="preserve">Pored toga, zabranom alternativnih rješenja naručilac je povrijedio i član 42 Direktive 2014/24/EU Evropskog parlamenta i Savjeta o javnim nabavkama, kao i opšte načelo nediskriminacije iz člana 18 iste Direktive — </w:t>
      </w:r>
      <w:proofErr w:type="gramStart"/>
      <w:r w:rsidRPr="00073A5A">
        <w:rPr>
          <w:color w:val="000000"/>
          <w:sz w:val="20"/>
          <w:szCs w:val="20"/>
        </w:rPr>
        <w:t>sa</w:t>
      </w:r>
      <w:proofErr w:type="gramEnd"/>
      <w:r w:rsidRPr="00073A5A">
        <w:rPr>
          <w:color w:val="000000"/>
          <w:sz w:val="20"/>
          <w:szCs w:val="20"/>
        </w:rPr>
        <w:t xml:space="preserve"> kojima je ZJN harmonizovan u okviru Poglavlja 5 pregovora o pristupanju Crne Gore Evropskoj uniji.</w:t>
      </w:r>
    </w:p>
    <w:p w:rsidR="00887E68" w:rsidRPr="00073A5A" w:rsidRDefault="00887E68" w:rsidP="00887E68">
      <w:pPr>
        <w:spacing w:before="80" w:after="80" w:line="300" w:lineRule="auto"/>
        <w:jc w:val="both"/>
        <w:rPr>
          <w:sz w:val="20"/>
          <w:szCs w:val="20"/>
        </w:rPr>
      </w:pPr>
      <w:r w:rsidRPr="00073A5A">
        <w:rPr>
          <w:b/>
          <w:bCs/>
          <w:color w:val="000000"/>
          <w:sz w:val="20"/>
          <w:szCs w:val="20"/>
        </w:rPr>
        <w:t xml:space="preserve">Zaključak: </w:t>
      </w:r>
      <w:r w:rsidRPr="00073A5A">
        <w:rPr>
          <w:color w:val="000000"/>
          <w:sz w:val="20"/>
          <w:szCs w:val="20"/>
        </w:rPr>
        <w:t xml:space="preserve">konstatacija naručioca da „alternativna rješenja nijesu dozvoljena" je samostalan osnov za izmjenu tenderske dokumentacije i mora biti otklonjena u cjelosti. Bez ovog otklanjanja, postupak javne nabavke kao cjelina je u suprotnosti </w:t>
      </w:r>
      <w:proofErr w:type="gramStart"/>
      <w:r w:rsidRPr="00073A5A">
        <w:rPr>
          <w:color w:val="000000"/>
          <w:sz w:val="20"/>
          <w:szCs w:val="20"/>
        </w:rPr>
        <w:t>sa</w:t>
      </w:r>
      <w:proofErr w:type="gramEnd"/>
      <w:r w:rsidRPr="00073A5A">
        <w:rPr>
          <w:color w:val="000000"/>
          <w:sz w:val="20"/>
          <w:szCs w:val="20"/>
        </w:rPr>
        <w:t xml:space="preserve"> članom 88 ZJN i članom 42 Direktive 2014/24/EU.</w:t>
      </w:r>
    </w:p>
    <w:p w:rsidR="00887E68" w:rsidRPr="00073A5A" w:rsidRDefault="00887E68" w:rsidP="00887E68">
      <w:pPr>
        <w:spacing w:before="320" w:after="160"/>
        <w:rPr>
          <w:sz w:val="20"/>
          <w:szCs w:val="20"/>
        </w:rPr>
      </w:pPr>
      <w:r w:rsidRPr="00073A5A">
        <w:rPr>
          <w:b/>
          <w:bCs/>
          <w:color w:val="1F4E79"/>
          <w:sz w:val="20"/>
          <w:szCs w:val="20"/>
        </w:rPr>
        <w:t>2.2. Odsustvo kriterijuma ekvivalentnosti — povreda člana 88 stav 4 ZJN</w:t>
      </w:r>
    </w:p>
    <w:p w:rsidR="00FA378A" w:rsidRPr="00073A5A" w:rsidRDefault="00887E68" w:rsidP="00DF1030">
      <w:pPr>
        <w:jc w:val="both"/>
        <w:rPr>
          <w:b/>
          <w:bCs/>
          <w:iCs/>
          <w:color w:val="000000"/>
          <w:sz w:val="20"/>
          <w:szCs w:val="20"/>
        </w:rPr>
      </w:pPr>
      <w:r w:rsidRPr="00073A5A">
        <w:rPr>
          <w:color w:val="000000"/>
          <w:sz w:val="20"/>
          <w:szCs w:val="20"/>
        </w:rPr>
        <w:t xml:space="preserve">U odgovoru </w:t>
      </w:r>
      <w:proofErr w:type="gramStart"/>
      <w:r w:rsidRPr="00073A5A">
        <w:rPr>
          <w:color w:val="000000"/>
          <w:sz w:val="20"/>
          <w:szCs w:val="20"/>
        </w:rPr>
        <w:t>na</w:t>
      </w:r>
      <w:proofErr w:type="gramEnd"/>
      <w:r w:rsidRPr="00073A5A">
        <w:rPr>
          <w:color w:val="000000"/>
          <w:sz w:val="20"/>
          <w:szCs w:val="20"/>
        </w:rPr>
        <w:t xml:space="preserve"> pitanje br. 2, na pitanje o tačnim kriterijumima ekvivalentnosti, naručilac navodi: </w:t>
      </w:r>
      <w:r w:rsidRPr="00073A5A">
        <w:rPr>
          <w:b/>
          <w:bCs/>
          <w:iCs/>
          <w:color w:val="000000"/>
          <w:sz w:val="20"/>
          <w:szCs w:val="20"/>
        </w:rPr>
        <w:t>„Termin 'slično' – je dovoljno precizan termin, da ukazuje da svjetiljka koju ponuđač nudi nije ista kao opisana, te mora da ponudi i valjane dokaze i objašnjenja</w:t>
      </w:r>
    </w:p>
    <w:p w:rsidR="00887E68" w:rsidRPr="00073A5A" w:rsidRDefault="00887E68" w:rsidP="00887E68">
      <w:pPr>
        <w:spacing w:before="80" w:after="80" w:line="300" w:lineRule="auto"/>
        <w:jc w:val="both"/>
        <w:rPr>
          <w:sz w:val="20"/>
          <w:szCs w:val="20"/>
        </w:rPr>
      </w:pPr>
      <w:proofErr w:type="gramStart"/>
      <w:r w:rsidRPr="00073A5A">
        <w:rPr>
          <w:b/>
          <w:bCs/>
          <w:iCs/>
          <w:color w:val="000000"/>
          <w:sz w:val="20"/>
          <w:szCs w:val="20"/>
        </w:rPr>
        <w:t>da</w:t>
      </w:r>
      <w:proofErr w:type="gramEnd"/>
      <w:r w:rsidRPr="00073A5A">
        <w:rPr>
          <w:b/>
          <w:bCs/>
          <w:iCs/>
          <w:color w:val="000000"/>
          <w:sz w:val="20"/>
          <w:szCs w:val="20"/>
        </w:rPr>
        <w:t xml:space="preserve"> će ponuđena svjetiljka služiti svrsi (funkcionalno, dizajnom i formom) kao i ona koja je opisana."</w:t>
      </w:r>
    </w:p>
    <w:p w:rsidR="00887E68" w:rsidRPr="00073A5A" w:rsidRDefault="00887E68" w:rsidP="00887E68">
      <w:pPr>
        <w:spacing w:before="80" w:after="80" w:line="300" w:lineRule="auto"/>
        <w:ind w:left="360"/>
        <w:jc w:val="both"/>
        <w:rPr>
          <w:sz w:val="20"/>
          <w:szCs w:val="20"/>
        </w:rPr>
      </w:pPr>
      <w:proofErr w:type="gramStart"/>
      <w:r w:rsidRPr="00073A5A">
        <w:rPr>
          <w:color w:val="000000"/>
          <w:sz w:val="20"/>
          <w:szCs w:val="20"/>
        </w:rPr>
        <w:t>Ovaj odgovor predstavlja eksplicitno priznanje da kriterijumi ekvivalentnosti nijesu definisani.</w:t>
      </w:r>
      <w:proofErr w:type="gramEnd"/>
      <w:r w:rsidRPr="00073A5A">
        <w:rPr>
          <w:color w:val="000000"/>
          <w:sz w:val="20"/>
          <w:szCs w:val="20"/>
        </w:rPr>
        <w:t xml:space="preserve"> Naručilac nije naveo: (a) konkretne fotometrijske parametre čija je ekvivalentnost relevantna (luminozitet, efikasnost, distribucija svjetlosti u odnosu na klase EN 13201); (b) konkretne mehaničke parametre (IP zaštita, IK rejting, klasa korozije prema ISO 9223); (c) konkretne električne parametre (faktor snage, harmonijska izobličenja, kompatibilnost upravljanja); (d) konkretnu metodologiju za dokazivanje ekvivalentnosti (laboratorijski izvještaji, deklaracije o usklađenosti, izvještaji prema EN 13032).</w:t>
      </w:r>
    </w:p>
    <w:p w:rsidR="00887E68" w:rsidRPr="00073A5A" w:rsidRDefault="00887E68" w:rsidP="00887E68">
      <w:pPr>
        <w:spacing w:before="80" w:after="80" w:line="300" w:lineRule="auto"/>
        <w:jc w:val="both"/>
        <w:rPr>
          <w:sz w:val="20"/>
          <w:szCs w:val="20"/>
        </w:rPr>
      </w:pPr>
      <w:r w:rsidRPr="00073A5A">
        <w:rPr>
          <w:color w:val="000000"/>
          <w:sz w:val="20"/>
          <w:szCs w:val="20"/>
        </w:rPr>
        <w:t xml:space="preserve">Umjesto navedenog, naručilac kao kriterijum navodi pojmove „dizajn i forma" — što su estetski pojmovi koji u smislu člana 88 ZJN ne mogu predstavljati funkcionalni zahtjev, jer su po prirodi vezani </w:t>
      </w:r>
      <w:r w:rsidRPr="00073A5A">
        <w:rPr>
          <w:color w:val="000000"/>
          <w:sz w:val="20"/>
          <w:szCs w:val="20"/>
        </w:rPr>
        <w:lastRenderedPageBreak/>
        <w:t xml:space="preserve">za konkretan industrijski dizajn jednog proizvođača. </w:t>
      </w:r>
      <w:proofErr w:type="gramStart"/>
      <w:r w:rsidRPr="00073A5A">
        <w:rPr>
          <w:color w:val="000000"/>
          <w:sz w:val="20"/>
          <w:szCs w:val="20"/>
        </w:rPr>
        <w:t>Zahtijevati ekvivalentnost po „dizajnu i formi" je logički ekvivalentno zahtijevanju da svjetiljka bude vizuelno identična iGuzzini Cortina modelu — što suštinski isključuje sve ostale proizvođače čak i kada bi njihove fotometrijske performanse bile bolje.</w:t>
      </w:r>
      <w:proofErr w:type="gramEnd"/>
    </w:p>
    <w:p w:rsidR="00887E68" w:rsidRPr="00073A5A" w:rsidRDefault="00887E68" w:rsidP="00887E68">
      <w:pPr>
        <w:spacing w:before="80" w:after="80" w:line="300" w:lineRule="auto"/>
        <w:jc w:val="both"/>
        <w:rPr>
          <w:sz w:val="20"/>
          <w:szCs w:val="20"/>
        </w:rPr>
      </w:pPr>
      <w:proofErr w:type="gramStart"/>
      <w:r w:rsidRPr="00073A5A">
        <w:rPr>
          <w:color w:val="000000"/>
          <w:sz w:val="20"/>
          <w:szCs w:val="20"/>
        </w:rPr>
        <w:t>Član 88 stav 4 ZJN izričito zahtijeva da naručilac, kada koristi naznaku „ili ekvivalent", definiše kriterijume za procjenu ekvivalentnosti.</w:t>
      </w:r>
      <w:proofErr w:type="gramEnd"/>
      <w:r w:rsidRPr="00073A5A">
        <w:rPr>
          <w:color w:val="000000"/>
          <w:sz w:val="20"/>
          <w:szCs w:val="20"/>
        </w:rPr>
        <w:t xml:space="preserve"> Pojam „slično" — uz daljnji zahtjev za ekvivalentnošću po „dizajnu i formi" — ne ispunjava ovaj zakonski uslov.</w:t>
      </w:r>
    </w:p>
    <w:p w:rsidR="00887E68" w:rsidRPr="00073A5A" w:rsidRDefault="00887E68" w:rsidP="00887E68">
      <w:pPr>
        <w:spacing w:before="80" w:after="80" w:line="300" w:lineRule="auto"/>
        <w:jc w:val="both"/>
        <w:rPr>
          <w:sz w:val="20"/>
          <w:szCs w:val="20"/>
        </w:rPr>
      </w:pPr>
      <w:r w:rsidRPr="00073A5A">
        <w:rPr>
          <w:b/>
          <w:bCs/>
          <w:color w:val="000000"/>
          <w:sz w:val="20"/>
          <w:szCs w:val="20"/>
        </w:rPr>
        <w:t xml:space="preserve">Dodatna nepravilnost: </w:t>
      </w:r>
      <w:r w:rsidRPr="00073A5A">
        <w:rPr>
          <w:color w:val="000000"/>
          <w:sz w:val="20"/>
          <w:szCs w:val="20"/>
        </w:rPr>
        <w:t xml:space="preserve">naručilac u odgovoru navodi i da „Projektant zadržava pravo da... što preciznije opiše predmet javne nabavke..." i da „Projektant ima pravo da... u korist Investitora... preciznije opiše predmet...". Ovakvim formulacijama, naručilac procjenu ekvivalentnosti faktički prepušta projektantu — istom licu koje je: (i) sastavilo tehničku specifikaciju koja kopira datasheet jednog proizvođača i (ii) projektovalo custom stub i konzolu </w:t>
      </w:r>
      <w:proofErr w:type="gramStart"/>
      <w:r w:rsidRPr="00073A5A">
        <w:rPr>
          <w:color w:val="000000"/>
          <w:sz w:val="20"/>
          <w:szCs w:val="20"/>
        </w:rPr>
        <w:t>sa</w:t>
      </w:r>
      <w:proofErr w:type="gramEnd"/>
      <w:r w:rsidRPr="00073A5A">
        <w:rPr>
          <w:color w:val="000000"/>
          <w:sz w:val="20"/>
          <w:szCs w:val="20"/>
        </w:rPr>
        <w:t xml:space="preserve"> grbom Opštine Žabljak. </w:t>
      </w:r>
      <w:proofErr w:type="gramStart"/>
      <w:r w:rsidRPr="00073A5A">
        <w:rPr>
          <w:color w:val="000000"/>
          <w:sz w:val="20"/>
          <w:szCs w:val="20"/>
        </w:rPr>
        <w:t>Ovo predstavlja problem sukoba interesa po članu 41 ZJN (vidjeti tačku 2.5 ovog Predloga).</w:t>
      </w:r>
      <w:proofErr w:type="gramEnd"/>
    </w:p>
    <w:p w:rsidR="00887E68" w:rsidRPr="00073A5A" w:rsidRDefault="00887E68" w:rsidP="00887E68">
      <w:pPr>
        <w:spacing w:before="320" w:after="160"/>
        <w:rPr>
          <w:sz w:val="20"/>
          <w:szCs w:val="20"/>
        </w:rPr>
      </w:pPr>
      <w:r w:rsidRPr="00073A5A">
        <w:rPr>
          <w:b/>
          <w:bCs/>
          <w:color w:val="1F4E79"/>
          <w:sz w:val="20"/>
          <w:szCs w:val="20"/>
        </w:rPr>
        <w:t xml:space="preserve">2.3. </w:t>
      </w:r>
      <w:proofErr w:type="gramStart"/>
      <w:r w:rsidRPr="00073A5A">
        <w:rPr>
          <w:b/>
          <w:bCs/>
          <w:color w:val="1F4E79"/>
          <w:sz w:val="20"/>
          <w:szCs w:val="20"/>
        </w:rPr>
        <w:t>iGuzzini</w:t>
      </w:r>
      <w:proofErr w:type="gramEnd"/>
      <w:r w:rsidRPr="00073A5A">
        <w:rPr>
          <w:b/>
          <w:bCs/>
          <w:color w:val="1F4E79"/>
          <w:sz w:val="20"/>
          <w:szCs w:val="20"/>
        </w:rPr>
        <w:t xml:space="preserve"> „otisak prsta" — neodgovoreni parametri specifikacije</w:t>
      </w:r>
    </w:p>
    <w:p w:rsidR="00887E68" w:rsidRPr="00073A5A" w:rsidRDefault="00887E68" w:rsidP="00887E68">
      <w:pPr>
        <w:spacing w:before="80" w:after="80" w:line="300" w:lineRule="auto"/>
        <w:jc w:val="both"/>
        <w:rPr>
          <w:sz w:val="20"/>
          <w:szCs w:val="20"/>
        </w:rPr>
      </w:pPr>
      <w:r w:rsidRPr="00073A5A">
        <w:rPr>
          <w:color w:val="000000"/>
          <w:sz w:val="20"/>
          <w:szCs w:val="20"/>
        </w:rPr>
        <w:t xml:space="preserve">U odgovoru </w:t>
      </w:r>
      <w:proofErr w:type="gramStart"/>
      <w:r w:rsidRPr="00073A5A">
        <w:rPr>
          <w:color w:val="000000"/>
          <w:sz w:val="20"/>
          <w:szCs w:val="20"/>
        </w:rPr>
        <w:t>na</w:t>
      </w:r>
      <w:proofErr w:type="gramEnd"/>
      <w:r w:rsidRPr="00073A5A">
        <w:rPr>
          <w:color w:val="000000"/>
          <w:sz w:val="20"/>
          <w:szCs w:val="20"/>
        </w:rPr>
        <w:t xml:space="preserve"> pitanje br. 1, naručilac navodi da je projektant svjetiljku definisao „na osnovu svjetlotehničkih parametara dobijenih proračunom osvjetljaja ali i odabirom dizajna koji se na osnovu tehničkih karakteristika, dimenziono, formom i funkcionalnošću uklapa sa nosačem i stubom".</w:t>
      </w:r>
    </w:p>
    <w:p w:rsidR="00887E68" w:rsidRPr="00073A5A" w:rsidRDefault="00887E68" w:rsidP="00887E68">
      <w:pPr>
        <w:spacing w:before="80" w:after="80" w:line="300" w:lineRule="auto"/>
        <w:jc w:val="both"/>
        <w:rPr>
          <w:sz w:val="20"/>
          <w:szCs w:val="20"/>
        </w:rPr>
      </w:pPr>
      <w:r w:rsidRPr="00073A5A">
        <w:rPr>
          <w:color w:val="000000"/>
          <w:sz w:val="20"/>
          <w:szCs w:val="20"/>
        </w:rPr>
        <w:t>Ova rečenica sadrži dva ključna priznanja koja zahtijevaju izmjenu tenderske dokumentacije:</w:t>
      </w:r>
    </w:p>
    <w:p w:rsidR="00887E68" w:rsidRPr="00073A5A" w:rsidRDefault="00887E68" w:rsidP="00887E68">
      <w:pPr>
        <w:pStyle w:val="ListParagraph"/>
        <w:numPr>
          <w:ilvl w:val="0"/>
          <w:numId w:val="1"/>
        </w:numPr>
        <w:spacing w:before="40" w:after="40" w:line="300" w:lineRule="auto"/>
        <w:jc w:val="both"/>
        <w:rPr>
          <w:sz w:val="20"/>
          <w:szCs w:val="20"/>
        </w:rPr>
      </w:pPr>
      <w:r w:rsidRPr="00073A5A">
        <w:rPr>
          <w:b/>
          <w:bCs/>
          <w:sz w:val="20"/>
          <w:szCs w:val="20"/>
        </w:rPr>
        <w:t xml:space="preserve">Prvo priznanje — </w:t>
      </w:r>
      <w:r w:rsidRPr="00073A5A">
        <w:rPr>
          <w:sz w:val="20"/>
          <w:szCs w:val="20"/>
        </w:rPr>
        <w:t xml:space="preserve">odabir „dizajna" je naveden kao nezavisni razlog uz svjetlotehnički proračun. Ovo znači da specifikacija nije isključivo zasnovana </w:t>
      </w:r>
      <w:proofErr w:type="gramStart"/>
      <w:r w:rsidRPr="00073A5A">
        <w:rPr>
          <w:sz w:val="20"/>
          <w:szCs w:val="20"/>
        </w:rPr>
        <w:t>na</w:t>
      </w:r>
      <w:proofErr w:type="gramEnd"/>
      <w:r w:rsidRPr="00073A5A">
        <w:rPr>
          <w:sz w:val="20"/>
          <w:szCs w:val="20"/>
        </w:rPr>
        <w:t xml:space="preserve"> funkcionalnim potrebama (svjetlotehničkim parametrima), nego i na unaprijed izabranom dizajnu jednog konkretnog proizvoda. U smislu člana 88 ZJN, „odabir dizajna" prije izlaska na tender nije dopušten razlog za usvajanje brand-specifične specifikacije.</w:t>
      </w:r>
    </w:p>
    <w:p w:rsidR="00887E68" w:rsidRPr="00073A5A" w:rsidRDefault="00887E68" w:rsidP="00887E68">
      <w:pPr>
        <w:pStyle w:val="ListParagraph"/>
        <w:numPr>
          <w:ilvl w:val="0"/>
          <w:numId w:val="1"/>
        </w:numPr>
        <w:spacing w:before="40" w:after="40" w:line="300" w:lineRule="auto"/>
        <w:jc w:val="both"/>
        <w:rPr>
          <w:sz w:val="20"/>
          <w:szCs w:val="20"/>
        </w:rPr>
      </w:pPr>
      <w:r w:rsidRPr="00073A5A">
        <w:rPr>
          <w:b/>
          <w:bCs/>
          <w:sz w:val="20"/>
          <w:szCs w:val="20"/>
        </w:rPr>
        <w:t xml:space="preserve">Drugo priznanje — </w:t>
      </w:r>
      <w:r w:rsidRPr="00073A5A">
        <w:rPr>
          <w:sz w:val="20"/>
          <w:szCs w:val="20"/>
        </w:rPr>
        <w:t xml:space="preserve">specifikacija svjetiljke je definisana tako da se „uklapa </w:t>
      </w:r>
      <w:proofErr w:type="gramStart"/>
      <w:r w:rsidRPr="00073A5A">
        <w:rPr>
          <w:sz w:val="20"/>
          <w:szCs w:val="20"/>
        </w:rPr>
        <w:t>sa</w:t>
      </w:r>
      <w:proofErr w:type="gramEnd"/>
      <w:r w:rsidRPr="00073A5A">
        <w:rPr>
          <w:sz w:val="20"/>
          <w:szCs w:val="20"/>
        </w:rPr>
        <w:t xml:space="preserve"> nosačem i stubom" koji su custom-projektovani. Time je potvrđeno da postoji zatvoreni sistem (svjetiljka + nosač + stub) projektovan unaprijed kao jedinstvena cjelina, što čini predmet nabavke faktički nedostupan svim ponuđačima koji ne mogu istovremeno isporučiti sve tri komponente prema vrlo specifičnim, </w:t>
      </w:r>
      <w:proofErr w:type="gramStart"/>
      <w:r w:rsidRPr="00073A5A">
        <w:rPr>
          <w:sz w:val="20"/>
          <w:szCs w:val="20"/>
        </w:rPr>
        <w:t>custom</w:t>
      </w:r>
      <w:proofErr w:type="gramEnd"/>
      <w:r w:rsidRPr="00073A5A">
        <w:rPr>
          <w:sz w:val="20"/>
          <w:szCs w:val="20"/>
        </w:rPr>
        <w:t xml:space="preserve"> dimenzijama.</w:t>
      </w:r>
    </w:p>
    <w:p w:rsidR="00887E68" w:rsidRPr="00073A5A" w:rsidRDefault="00887E68" w:rsidP="00887E68">
      <w:pPr>
        <w:spacing w:before="80" w:after="80" w:line="300" w:lineRule="auto"/>
        <w:jc w:val="both"/>
        <w:rPr>
          <w:sz w:val="20"/>
          <w:szCs w:val="20"/>
        </w:rPr>
      </w:pPr>
      <w:r w:rsidRPr="00073A5A">
        <w:rPr>
          <w:color w:val="000000"/>
          <w:sz w:val="20"/>
          <w:szCs w:val="20"/>
        </w:rPr>
        <w:t xml:space="preserve">Pored ovih priznanja, naručilac nije odgovorio </w:t>
      </w:r>
      <w:proofErr w:type="gramStart"/>
      <w:r w:rsidRPr="00073A5A">
        <w:rPr>
          <w:color w:val="000000"/>
          <w:sz w:val="20"/>
          <w:szCs w:val="20"/>
        </w:rPr>
        <w:t>na</w:t>
      </w:r>
      <w:proofErr w:type="gramEnd"/>
      <w:r w:rsidRPr="00073A5A">
        <w:rPr>
          <w:color w:val="000000"/>
          <w:sz w:val="20"/>
          <w:szCs w:val="20"/>
        </w:rPr>
        <w:t xml:space="preserve"> sljedeća konkretna pitanja iz pojašnjenja:</w:t>
      </w:r>
    </w:p>
    <w:p w:rsidR="00887E68" w:rsidRPr="00073A5A" w:rsidRDefault="00887E68" w:rsidP="00887E68">
      <w:pPr>
        <w:pStyle w:val="ListParagraph"/>
        <w:numPr>
          <w:ilvl w:val="0"/>
          <w:numId w:val="1"/>
        </w:numPr>
        <w:spacing w:before="40" w:after="40" w:line="300" w:lineRule="auto"/>
        <w:jc w:val="both"/>
        <w:rPr>
          <w:sz w:val="20"/>
          <w:szCs w:val="20"/>
        </w:rPr>
      </w:pPr>
      <w:r w:rsidRPr="00073A5A">
        <w:rPr>
          <w:sz w:val="20"/>
          <w:szCs w:val="20"/>
        </w:rPr>
        <w:t>Razlozi za zahtijevanje tačno prečnika zasjenjivača 515 mm i visine 76 mm (a ne, primjera radi, opsega 500–530 mm i 70–80 mm), čime se otvara prostor za zasjenjivače drugih proizvođača sa drugačijim ali optički ekvivalentnim dimenzijama;</w:t>
      </w:r>
    </w:p>
    <w:p w:rsidR="00887E68" w:rsidRPr="00073A5A" w:rsidRDefault="00887E68" w:rsidP="00887E68">
      <w:pPr>
        <w:pStyle w:val="ListParagraph"/>
        <w:numPr>
          <w:ilvl w:val="0"/>
          <w:numId w:val="1"/>
        </w:numPr>
        <w:spacing w:before="40" w:after="40" w:line="300" w:lineRule="auto"/>
        <w:jc w:val="both"/>
        <w:rPr>
          <w:sz w:val="20"/>
          <w:szCs w:val="20"/>
        </w:rPr>
      </w:pPr>
      <w:r w:rsidRPr="00073A5A">
        <w:rPr>
          <w:sz w:val="20"/>
          <w:szCs w:val="20"/>
        </w:rPr>
        <w:t>Razlozi za zahtijevanje nezaokruženih snaga od tačno 24,5 W i 36,4 W (koje odgovaraju kataloškim vrijednostima iGuzzini Cortina modela), umjesto funkcionalnih zahtjeva tipa „minimum 3.500 lm pri maksimalnoj snazi 30 W";</w:t>
      </w:r>
    </w:p>
    <w:p w:rsidR="00887E68" w:rsidRPr="00073A5A" w:rsidRDefault="00887E68" w:rsidP="00887E68">
      <w:pPr>
        <w:pStyle w:val="ListParagraph"/>
        <w:numPr>
          <w:ilvl w:val="0"/>
          <w:numId w:val="1"/>
        </w:numPr>
        <w:spacing w:before="40" w:after="40" w:line="300" w:lineRule="auto"/>
        <w:jc w:val="both"/>
        <w:rPr>
          <w:sz w:val="20"/>
          <w:szCs w:val="20"/>
        </w:rPr>
      </w:pPr>
      <w:r w:rsidRPr="00073A5A">
        <w:rPr>
          <w:sz w:val="20"/>
          <w:szCs w:val="20"/>
        </w:rPr>
        <w:t>Razlozi za zahtijevanje konkretnog procesa površinske zaštite („odmašćivanje, fluorocirkonacija a zaštitni površinski film i zaptivanje sa nano-strukturiranim silanskim slojem") — koji predstavlja doslovno preuzeti opis patentiranog procesa iGuzzini, a ne industrijski standard;</w:t>
      </w:r>
    </w:p>
    <w:p w:rsidR="00887E68" w:rsidRPr="00073A5A" w:rsidRDefault="00887E68" w:rsidP="00887E68">
      <w:pPr>
        <w:pStyle w:val="ListParagraph"/>
        <w:numPr>
          <w:ilvl w:val="0"/>
          <w:numId w:val="1"/>
        </w:numPr>
        <w:spacing w:before="40" w:after="40" w:line="300" w:lineRule="auto"/>
        <w:jc w:val="both"/>
        <w:rPr>
          <w:sz w:val="20"/>
          <w:szCs w:val="20"/>
        </w:rPr>
      </w:pPr>
      <w:r w:rsidRPr="00073A5A">
        <w:rPr>
          <w:sz w:val="20"/>
          <w:szCs w:val="20"/>
        </w:rPr>
        <w:t>Razlozi nedostavljanja svjetlotehničkog proračuna prema EN 13201 (</w:t>
      </w:r>
      <w:proofErr w:type="gramStart"/>
      <w:r w:rsidRPr="00073A5A">
        <w:rPr>
          <w:sz w:val="20"/>
          <w:szCs w:val="20"/>
        </w:rPr>
        <w:t>npr</w:t>
      </w:r>
      <w:proofErr w:type="gramEnd"/>
      <w:r w:rsidRPr="00073A5A">
        <w:rPr>
          <w:sz w:val="20"/>
          <w:szCs w:val="20"/>
        </w:rPr>
        <w:t xml:space="preserve">. DIALux/Relux izvještaj </w:t>
      </w:r>
      <w:proofErr w:type="gramStart"/>
      <w:r w:rsidRPr="00073A5A">
        <w:rPr>
          <w:sz w:val="20"/>
          <w:szCs w:val="20"/>
        </w:rPr>
        <w:t>sa</w:t>
      </w:r>
      <w:proofErr w:type="gramEnd"/>
      <w:r w:rsidRPr="00073A5A">
        <w:rPr>
          <w:sz w:val="20"/>
          <w:szCs w:val="20"/>
        </w:rPr>
        <w:t xml:space="preserve"> navedenom rasvjetnom klasom, koeficijentom održavanja, IES/LDT datotekama korišćenim u simulaciji), čime ostaje nedokazana tvrdnja da je specifikacija proizašla iz funkcionalnih a ne brand-specifičnih razloga.</w:t>
      </w:r>
    </w:p>
    <w:p w:rsidR="00887E68" w:rsidRPr="00073A5A" w:rsidRDefault="00887E68" w:rsidP="00887E68">
      <w:pPr>
        <w:spacing w:before="80" w:after="80" w:line="300" w:lineRule="auto"/>
        <w:jc w:val="both"/>
        <w:rPr>
          <w:sz w:val="20"/>
          <w:szCs w:val="20"/>
        </w:rPr>
      </w:pPr>
      <w:r w:rsidRPr="00073A5A">
        <w:rPr>
          <w:color w:val="000000"/>
          <w:sz w:val="20"/>
          <w:szCs w:val="20"/>
        </w:rPr>
        <w:t xml:space="preserve">Forenzička verifikacija (izvor: zvanične tehničke datoteke proizvođača iGuzzini, dostupne na www.iguzzini.com, kao i EUIPO baze patenata) potvrđuje sljedeće: formulacija „degreasing, </w:t>
      </w:r>
      <w:r w:rsidRPr="00073A5A">
        <w:rPr>
          <w:color w:val="000000"/>
          <w:sz w:val="20"/>
          <w:szCs w:val="20"/>
        </w:rPr>
        <w:lastRenderedPageBreak/>
        <w:t>fluorozirconation (a protective surface film) and sealing (with a nano-structured silane layer)" pojavljuje se identično, riječ-za-riječ, u tehničkim datasheet-ovima više modela iGuzzini svjetiljki (Cortina, E309, E324, N446, BL96, S434, UC60), što čini ovu formulaciju brand fingerprint u tehničkom i forenzičkom smislu.</w:t>
      </w:r>
    </w:p>
    <w:p w:rsidR="00887E68" w:rsidRPr="00073A5A" w:rsidRDefault="00887E68" w:rsidP="00887E68">
      <w:pPr>
        <w:spacing w:before="80" w:after="80" w:line="300" w:lineRule="auto"/>
        <w:jc w:val="both"/>
        <w:rPr>
          <w:sz w:val="20"/>
          <w:szCs w:val="20"/>
        </w:rPr>
      </w:pPr>
      <w:r w:rsidRPr="00073A5A">
        <w:rPr>
          <w:color w:val="000000"/>
          <w:sz w:val="20"/>
          <w:szCs w:val="20"/>
        </w:rPr>
        <w:t>Tržišno upoređenje pokazuje da konkurentni proizvođači koriste fundamentalno različite procese površinske zaštite:</w:t>
      </w:r>
    </w:p>
    <w:tbl>
      <w:tblPr>
        <w:tblW w:w="900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2400"/>
        <w:gridCol w:w="4200"/>
        <w:gridCol w:w="2400"/>
      </w:tblGrid>
      <w:tr w:rsidR="00887E68" w:rsidRPr="00073A5A" w:rsidTr="00D82F93">
        <w:trPr>
          <w:tblHeader/>
        </w:trPr>
        <w:tc>
          <w:tcPr>
            <w:tcW w:w="2400" w:type="dxa"/>
            <w:tcBorders>
              <w:top w:val="single" w:sz="4" w:space="0" w:color="999999"/>
              <w:left w:val="single" w:sz="4" w:space="0" w:color="999999"/>
              <w:bottom w:val="single" w:sz="4" w:space="0" w:color="999999"/>
              <w:right w:val="single" w:sz="4" w:space="0" w:color="999999"/>
            </w:tcBorders>
            <w:shd w:val="clear" w:color="auto" w:fill="D5E8F0"/>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b/>
                <w:bCs/>
                <w:sz w:val="20"/>
                <w:szCs w:val="20"/>
              </w:rPr>
              <w:t>Proizvođač</w:t>
            </w:r>
          </w:p>
        </w:tc>
        <w:tc>
          <w:tcPr>
            <w:tcW w:w="4200" w:type="dxa"/>
            <w:tcBorders>
              <w:top w:val="single" w:sz="4" w:space="0" w:color="999999"/>
              <w:left w:val="single" w:sz="4" w:space="0" w:color="999999"/>
              <w:bottom w:val="single" w:sz="4" w:space="0" w:color="999999"/>
              <w:right w:val="single" w:sz="4" w:space="0" w:color="999999"/>
            </w:tcBorders>
            <w:shd w:val="clear" w:color="auto" w:fill="D5E8F0"/>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b/>
                <w:bCs/>
                <w:sz w:val="20"/>
                <w:szCs w:val="20"/>
              </w:rPr>
              <w:t>Standardni proces površinske zaštite</w:t>
            </w:r>
          </w:p>
        </w:tc>
        <w:tc>
          <w:tcPr>
            <w:tcW w:w="2400" w:type="dxa"/>
            <w:tcBorders>
              <w:top w:val="single" w:sz="4" w:space="0" w:color="999999"/>
              <w:left w:val="single" w:sz="4" w:space="0" w:color="999999"/>
              <w:bottom w:val="single" w:sz="4" w:space="0" w:color="999999"/>
              <w:right w:val="single" w:sz="4" w:space="0" w:color="999999"/>
            </w:tcBorders>
            <w:shd w:val="clear" w:color="auto" w:fill="D5E8F0"/>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b/>
                <w:bCs/>
                <w:sz w:val="20"/>
                <w:szCs w:val="20"/>
              </w:rPr>
              <w:t>Usklađenost sa specifikacijom?</w:t>
            </w:r>
          </w:p>
        </w:tc>
      </w:tr>
      <w:tr w:rsidR="00887E68" w:rsidRPr="00073A5A" w:rsidTr="00D82F93">
        <w:tc>
          <w:tcPr>
            <w:tcW w:w="24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rPr>
                <w:sz w:val="20"/>
                <w:szCs w:val="20"/>
              </w:rPr>
            </w:pPr>
            <w:r w:rsidRPr="00073A5A">
              <w:rPr>
                <w:b/>
                <w:bCs/>
                <w:sz w:val="20"/>
                <w:szCs w:val="20"/>
              </w:rPr>
              <w:t>iGuzzini (IT)</w:t>
            </w:r>
          </w:p>
        </w:tc>
        <w:tc>
          <w:tcPr>
            <w:tcW w:w="4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rPr>
                <w:sz w:val="20"/>
                <w:szCs w:val="20"/>
              </w:rPr>
            </w:pPr>
            <w:r w:rsidRPr="00073A5A">
              <w:rPr>
                <w:sz w:val="20"/>
                <w:szCs w:val="20"/>
              </w:rPr>
              <w:t>Fluorocirkonacija + nano-silanski sloj + akrilna boja 150°C</w:t>
            </w:r>
          </w:p>
        </w:tc>
        <w:tc>
          <w:tcPr>
            <w:tcW w:w="24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b/>
                <w:bCs/>
                <w:sz w:val="20"/>
                <w:szCs w:val="20"/>
              </w:rPr>
              <w:t>Da (referentni)</w:t>
            </w:r>
          </w:p>
        </w:tc>
      </w:tr>
      <w:tr w:rsidR="00887E68" w:rsidRPr="00073A5A" w:rsidTr="00D82F93">
        <w:tc>
          <w:tcPr>
            <w:tcW w:w="24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rPr>
                <w:sz w:val="20"/>
                <w:szCs w:val="20"/>
              </w:rPr>
            </w:pPr>
            <w:r w:rsidRPr="00073A5A">
              <w:rPr>
                <w:b/>
                <w:bCs/>
                <w:sz w:val="20"/>
                <w:szCs w:val="20"/>
              </w:rPr>
              <w:t>Schréder (BE)</w:t>
            </w:r>
          </w:p>
        </w:tc>
        <w:tc>
          <w:tcPr>
            <w:tcW w:w="4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rPr>
                <w:sz w:val="20"/>
                <w:szCs w:val="20"/>
              </w:rPr>
            </w:pPr>
            <w:r w:rsidRPr="00073A5A">
              <w:rPr>
                <w:sz w:val="20"/>
                <w:szCs w:val="20"/>
              </w:rPr>
              <w:t>Polyester powder coating (AKZO 900) + opciona anodizacija (ISO 9223 C5-CX)</w:t>
            </w:r>
          </w:p>
        </w:tc>
        <w:tc>
          <w:tcPr>
            <w:tcW w:w="24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sz w:val="20"/>
                <w:szCs w:val="20"/>
              </w:rPr>
              <w:t>Ne</w:t>
            </w:r>
          </w:p>
        </w:tc>
      </w:tr>
      <w:tr w:rsidR="00887E68" w:rsidRPr="00073A5A" w:rsidTr="00D82F93">
        <w:tc>
          <w:tcPr>
            <w:tcW w:w="24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rPr>
                <w:sz w:val="20"/>
                <w:szCs w:val="20"/>
              </w:rPr>
            </w:pPr>
            <w:r w:rsidRPr="00073A5A">
              <w:rPr>
                <w:b/>
                <w:bCs/>
                <w:sz w:val="20"/>
                <w:szCs w:val="20"/>
              </w:rPr>
              <w:t>Philips / Signify (NL)</w:t>
            </w:r>
          </w:p>
        </w:tc>
        <w:tc>
          <w:tcPr>
            <w:tcW w:w="4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rPr>
                <w:sz w:val="20"/>
                <w:szCs w:val="20"/>
              </w:rPr>
            </w:pPr>
            <w:r w:rsidRPr="00073A5A">
              <w:rPr>
                <w:sz w:val="20"/>
                <w:szCs w:val="20"/>
              </w:rPr>
              <w:t>Anodizacija aluminijuma + prah lak</w:t>
            </w:r>
          </w:p>
        </w:tc>
        <w:tc>
          <w:tcPr>
            <w:tcW w:w="24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sz w:val="20"/>
                <w:szCs w:val="20"/>
              </w:rPr>
              <w:t>Ne</w:t>
            </w:r>
          </w:p>
        </w:tc>
      </w:tr>
      <w:tr w:rsidR="00887E68" w:rsidRPr="00073A5A" w:rsidTr="00D82F93">
        <w:tc>
          <w:tcPr>
            <w:tcW w:w="24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rPr>
                <w:sz w:val="20"/>
                <w:szCs w:val="20"/>
              </w:rPr>
            </w:pPr>
            <w:r w:rsidRPr="00073A5A">
              <w:rPr>
                <w:b/>
                <w:bCs/>
                <w:sz w:val="20"/>
                <w:szCs w:val="20"/>
              </w:rPr>
              <w:t>Thorn / Zumtobel (AT)</w:t>
            </w:r>
          </w:p>
        </w:tc>
        <w:tc>
          <w:tcPr>
            <w:tcW w:w="4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rPr>
                <w:sz w:val="20"/>
                <w:szCs w:val="20"/>
              </w:rPr>
            </w:pPr>
            <w:r w:rsidRPr="00073A5A">
              <w:rPr>
                <w:sz w:val="20"/>
                <w:szCs w:val="20"/>
              </w:rPr>
              <w:t>Elektrostatičko prah farbanje, IP66</w:t>
            </w:r>
          </w:p>
        </w:tc>
        <w:tc>
          <w:tcPr>
            <w:tcW w:w="24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sz w:val="20"/>
                <w:szCs w:val="20"/>
              </w:rPr>
              <w:t>Ne</w:t>
            </w:r>
          </w:p>
        </w:tc>
      </w:tr>
      <w:tr w:rsidR="00887E68" w:rsidRPr="00073A5A" w:rsidTr="00D82F93">
        <w:tc>
          <w:tcPr>
            <w:tcW w:w="24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rPr>
                <w:sz w:val="20"/>
                <w:szCs w:val="20"/>
              </w:rPr>
            </w:pPr>
            <w:r w:rsidRPr="00073A5A">
              <w:rPr>
                <w:b/>
                <w:bCs/>
                <w:sz w:val="20"/>
                <w:szCs w:val="20"/>
              </w:rPr>
              <w:t>Trilux (DE)</w:t>
            </w:r>
          </w:p>
        </w:tc>
        <w:tc>
          <w:tcPr>
            <w:tcW w:w="4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rPr>
                <w:sz w:val="20"/>
                <w:szCs w:val="20"/>
              </w:rPr>
            </w:pPr>
            <w:r w:rsidRPr="00073A5A">
              <w:rPr>
                <w:sz w:val="20"/>
                <w:szCs w:val="20"/>
              </w:rPr>
              <w:t>Hromatizacija + epoksi prah premaz</w:t>
            </w:r>
          </w:p>
        </w:tc>
        <w:tc>
          <w:tcPr>
            <w:tcW w:w="24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sz w:val="20"/>
                <w:szCs w:val="20"/>
              </w:rPr>
              <w:t>Ne</w:t>
            </w:r>
          </w:p>
        </w:tc>
      </w:tr>
      <w:tr w:rsidR="00887E68" w:rsidRPr="00073A5A" w:rsidTr="00D82F93">
        <w:tc>
          <w:tcPr>
            <w:tcW w:w="24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rPr>
                <w:sz w:val="20"/>
                <w:szCs w:val="20"/>
              </w:rPr>
            </w:pPr>
            <w:r w:rsidRPr="00073A5A">
              <w:rPr>
                <w:b/>
                <w:bCs/>
                <w:sz w:val="20"/>
                <w:szCs w:val="20"/>
              </w:rPr>
              <w:t>Gewiss (IT)</w:t>
            </w:r>
          </w:p>
        </w:tc>
        <w:tc>
          <w:tcPr>
            <w:tcW w:w="4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rPr>
                <w:sz w:val="20"/>
                <w:szCs w:val="20"/>
              </w:rPr>
            </w:pPr>
            <w:r w:rsidRPr="00073A5A">
              <w:rPr>
                <w:sz w:val="20"/>
                <w:szCs w:val="20"/>
              </w:rPr>
              <w:t>Epoxi prah premaz na aluminijum</w:t>
            </w:r>
          </w:p>
        </w:tc>
        <w:tc>
          <w:tcPr>
            <w:tcW w:w="24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sz w:val="20"/>
                <w:szCs w:val="20"/>
              </w:rPr>
              <w:t>Ne</w:t>
            </w:r>
          </w:p>
        </w:tc>
      </w:tr>
    </w:tbl>
    <w:p w:rsidR="00887E68" w:rsidRPr="00073A5A" w:rsidRDefault="00887E68" w:rsidP="00887E68">
      <w:pPr>
        <w:spacing w:before="200" w:after="80" w:line="300" w:lineRule="auto"/>
        <w:jc w:val="both"/>
        <w:rPr>
          <w:sz w:val="20"/>
          <w:szCs w:val="20"/>
        </w:rPr>
      </w:pPr>
      <w:r w:rsidRPr="00073A5A">
        <w:rPr>
          <w:color w:val="000000"/>
          <w:sz w:val="20"/>
          <w:szCs w:val="20"/>
        </w:rPr>
        <w:t xml:space="preserve">Funkcionalni — a ne brand-specifični — zahtjev za površinsku zaštitu morao bi se izraziti rezultatom: </w:t>
      </w:r>
      <w:proofErr w:type="gramStart"/>
      <w:r w:rsidRPr="00073A5A">
        <w:rPr>
          <w:color w:val="000000"/>
          <w:sz w:val="20"/>
          <w:szCs w:val="20"/>
        </w:rPr>
        <w:t>npr</w:t>
      </w:r>
      <w:proofErr w:type="gramEnd"/>
      <w:r w:rsidRPr="00073A5A">
        <w:rPr>
          <w:color w:val="000000"/>
          <w:sz w:val="20"/>
          <w:szCs w:val="20"/>
        </w:rPr>
        <w:t xml:space="preserve">. </w:t>
      </w:r>
      <w:proofErr w:type="gramStart"/>
      <w:r w:rsidRPr="00073A5A">
        <w:rPr>
          <w:color w:val="000000"/>
          <w:sz w:val="20"/>
          <w:szCs w:val="20"/>
        </w:rPr>
        <w:t>otpornost</w:t>
      </w:r>
      <w:proofErr w:type="gramEnd"/>
      <w:r w:rsidRPr="00073A5A">
        <w:rPr>
          <w:color w:val="000000"/>
          <w:sz w:val="20"/>
          <w:szCs w:val="20"/>
        </w:rPr>
        <w:t xml:space="preserve"> prema testu solnom maglom (ISO 9227) najmanje 1.000 sati bez pojave korozije, klasa korozivnosti C4 ili viša prema ISO 9223, sa odgovarajućim laboratorijskim izvještajem. Svaki </w:t>
      </w:r>
      <w:proofErr w:type="gramStart"/>
      <w:r w:rsidRPr="00073A5A">
        <w:rPr>
          <w:color w:val="000000"/>
          <w:sz w:val="20"/>
          <w:szCs w:val="20"/>
        </w:rPr>
        <w:t>od</w:t>
      </w:r>
      <w:proofErr w:type="gramEnd"/>
      <w:r w:rsidRPr="00073A5A">
        <w:rPr>
          <w:color w:val="000000"/>
          <w:sz w:val="20"/>
          <w:szCs w:val="20"/>
        </w:rPr>
        <w:t xml:space="preserve"> šest navedenih proizvođača takav rezultat može postići — ali samo iGuzzini koristi konkretan proces opisan u specifikaciji.</w:t>
      </w:r>
    </w:p>
    <w:p w:rsidR="00887E68" w:rsidRPr="00073A5A" w:rsidRDefault="00DF1030" w:rsidP="00887E68">
      <w:pPr>
        <w:spacing w:before="320" w:after="160"/>
        <w:rPr>
          <w:sz w:val="20"/>
          <w:szCs w:val="20"/>
        </w:rPr>
      </w:pPr>
      <w:r>
        <w:rPr>
          <w:b/>
          <w:bCs/>
          <w:color w:val="1F4E79"/>
          <w:sz w:val="20"/>
          <w:szCs w:val="20"/>
        </w:rPr>
        <w:t>2</w:t>
      </w:r>
      <w:r w:rsidR="00887E68" w:rsidRPr="00073A5A">
        <w:rPr>
          <w:b/>
          <w:bCs/>
          <w:color w:val="1F4E79"/>
          <w:sz w:val="20"/>
          <w:szCs w:val="20"/>
        </w:rPr>
        <w:t>.4. „Žabljak želi i zaslužuje" — eksplicitno priznanje antikonkurentske namjere</w:t>
      </w:r>
    </w:p>
    <w:p w:rsidR="00887E68" w:rsidRPr="00073A5A" w:rsidRDefault="00887E68" w:rsidP="00887E68">
      <w:pPr>
        <w:spacing w:before="80" w:after="80" w:line="300" w:lineRule="auto"/>
        <w:jc w:val="both"/>
        <w:rPr>
          <w:sz w:val="20"/>
          <w:szCs w:val="20"/>
        </w:rPr>
      </w:pPr>
      <w:r w:rsidRPr="00073A5A">
        <w:rPr>
          <w:color w:val="000000"/>
          <w:sz w:val="20"/>
          <w:szCs w:val="20"/>
        </w:rPr>
        <w:t xml:space="preserve">U odgovoru </w:t>
      </w:r>
      <w:proofErr w:type="gramStart"/>
      <w:r w:rsidRPr="00073A5A">
        <w:rPr>
          <w:color w:val="000000"/>
          <w:sz w:val="20"/>
          <w:szCs w:val="20"/>
        </w:rPr>
        <w:t>na</w:t>
      </w:r>
      <w:proofErr w:type="gramEnd"/>
      <w:r w:rsidRPr="00073A5A">
        <w:rPr>
          <w:color w:val="000000"/>
          <w:sz w:val="20"/>
          <w:szCs w:val="20"/>
        </w:rPr>
        <w:t xml:space="preserve"> pitanje br. 4 (kumulativni efekat), naručilac navodi: </w:t>
      </w:r>
      <w:r w:rsidRPr="00073A5A">
        <w:rPr>
          <w:b/>
          <w:bCs/>
          <w:iCs/>
          <w:color w:val="000000"/>
          <w:sz w:val="20"/>
          <w:szCs w:val="20"/>
        </w:rPr>
        <w:t>„opština Žabljak želi i zaslužuje da ima jedinstveni element kao prepoznatljiv dio urbanog mobilijara sa svim karakteristikama koje su neophodne za njeno funkcionisanje."</w:t>
      </w:r>
    </w:p>
    <w:p w:rsidR="00887E68" w:rsidRPr="00073A5A" w:rsidRDefault="00887E68" w:rsidP="00887E68">
      <w:pPr>
        <w:spacing w:before="80" w:after="80" w:line="300" w:lineRule="auto"/>
        <w:jc w:val="both"/>
        <w:rPr>
          <w:sz w:val="20"/>
          <w:szCs w:val="20"/>
        </w:rPr>
      </w:pPr>
      <w:r w:rsidRPr="00073A5A">
        <w:rPr>
          <w:color w:val="000000"/>
          <w:sz w:val="20"/>
          <w:szCs w:val="20"/>
        </w:rPr>
        <w:t xml:space="preserve">Ova rečenica, </w:t>
      </w:r>
      <w:proofErr w:type="gramStart"/>
      <w:r w:rsidRPr="00073A5A">
        <w:rPr>
          <w:color w:val="000000"/>
          <w:sz w:val="20"/>
          <w:szCs w:val="20"/>
        </w:rPr>
        <w:t>sa</w:t>
      </w:r>
      <w:proofErr w:type="gramEnd"/>
      <w:r w:rsidRPr="00073A5A">
        <w:rPr>
          <w:color w:val="000000"/>
          <w:sz w:val="20"/>
          <w:szCs w:val="20"/>
        </w:rPr>
        <w:t xml:space="preserve"> stanovišta prava javnih nabavki, predstavlja kvalifikatorno priznanje. Naručilac eksplicitno izjavljuje da cilj specifikacije nije zadovoljavanje funkcionalne potrebe (osvjetljavanje saobraćajnice </w:t>
      </w:r>
      <w:proofErr w:type="gramStart"/>
      <w:r w:rsidRPr="00073A5A">
        <w:rPr>
          <w:color w:val="000000"/>
          <w:sz w:val="20"/>
          <w:szCs w:val="20"/>
        </w:rPr>
        <w:t>na</w:t>
      </w:r>
      <w:proofErr w:type="gramEnd"/>
      <w:r w:rsidRPr="00073A5A">
        <w:rPr>
          <w:color w:val="000000"/>
          <w:sz w:val="20"/>
          <w:szCs w:val="20"/>
        </w:rPr>
        <w:t xml:space="preserve"> zakonom propisanim nivoima), nego ostvarivanje „jedinstvenosti" — odnosno, po definiciji, ekskluzivnosti koja isključuje konkurenciju.</w:t>
      </w:r>
    </w:p>
    <w:p w:rsidR="00887E68" w:rsidRPr="00073A5A" w:rsidRDefault="00887E68" w:rsidP="00887E68">
      <w:pPr>
        <w:spacing w:before="80" w:after="80" w:line="300" w:lineRule="auto"/>
        <w:jc w:val="both"/>
        <w:rPr>
          <w:sz w:val="20"/>
          <w:szCs w:val="20"/>
        </w:rPr>
      </w:pPr>
      <w:r w:rsidRPr="00073A5A">
        <w:rPr>
          <w:color w:val="000000"/>
          <w:sz w:val="20"/>
          <w:szCs w:val="20"/>
        </w:rPr>
        <w:t xml:space="preserve">Ovo je u direktnoj suprotnosti </w:t>
      </w:r>
      <w:proofErr w:type="gramStart"/>
      <w:r w:rsidRPr="00073A5A">
        <w:rPr>
          <w:color w:val="000000"/>
          <w:sz w:val="20"/>
          <w:szCs w:val="20"/>
        </w:rPr>
        <w:t>sa</w:t>
      </w:r>
      <w:proofErr w:type="gramEnd"/>
      <w:r w:rsidRPr="00073A5A">
        <w:rPr>
          <w:color w:val="000000"/>
          <w:sz w:val="20"/>
          <w:szCs w:val="20"/>
        </w:rPr>
        <w:t xml:space="preserve"> sljedećim načelima i odredbama ZJN:</w:t>
      </w:r>
    </w:p>
    <w:p w:rsidR="00887E68" w:rsidRPr="00073A5A" w:rsidRDefault="00887E68" w:rsidP="00887E68">
      <w:pPr>
        <w:pStyle w:val="ListParagraph"/>
        <w:numPr>
          <w:ilvl w:val="0"/>
          <w:numId w:val="1"/>
        </w:numPr>
        <w:spacing w:before="40" w:after="40" w:line="300" w:lineRule="auto"/>
        <w:jc w:val="both"/>
        <w:rPr>
          <w:sz w:val="20"/>
          <w:szCs w:val="20"/>
        </w:rPr>
      </w:pPr>
      <w:r w:rsidRPr="00073A5A">
        <w:rPr>
          <w:sz w:val="20"/>
          <w:szCs w:val="20"/>
        </w:rPr>
        <w:t>Član 5 ZJN — načelo ekonomičnosti i efikasnosti: „jedinstvenost" po pravilu povećava troškove (custom proizvodnja umjesto industrijalizovane serijske isporuke), čime se troši javni novac iznad funkcionalno opravdanog iznosa;</w:t>
      </w:r>
    </w:p>
    <w:p w:rsidR="00887E68" w:rsidRPr="00073A5A" w:rsidRDefault="00887E68" w:rsidP="00887E68">
      <w:pPr>
        <w:pStyle w:val="ListParagraph"/>
        <w:numPr>
          <w:ilvl w:val="0"/>
          <w:numId w:val="1"/>
        </w:numPr>
        <w:spacing w:before="40" w:after="40" w:line="300" w:lineRule="auto"/>
        <w:jc w:val="both"/>
        <w:rPr>
          <w:sz w:val="20"/>
          <w:szCs w:val="20"/>
        </w:rPr>
      </w:pPr>
      <w:r w:rsidRPr="00073A5A">
        <w:rPr>
          <w:sz w:val="20"/>
          <w:szCs w:val="20"/>
        </w:rPr>
        <w:t>Član 7 ZJN — načelo obezbjeđenja konkurencije: zahtjev za „jedinstvenošću" je definicijski antikonkurentski, jer reducira broj ponuđača sposobnih za izvršenje predmeta nabavke;</w:t>
      </w:r>
    </w:p>
    <w:p w:rsidR="00887E68" w:rsidRPr="00073A5A" w:rsidRDefault="00887E68" w:rsidP="00887E68">
      <w:pPr>
        <w:pStyle w:val="ListParagraph"/>
        <w:numPr>
          <w:ilvl w:val="0"/>
          <w:numId w:val="1"/>
        </w:numPr>
        <w:spacing w:before="40" w:after="40" w:line="300" w:lineRule="auto"/>
        <w:jc w:val="both"/>
        <w:rPr>
          <w:sz w:val="20"/>
          <w:szCs w:val="20"/>
        </w:rPr>
      </w:pPr>
      <w:r w:rsidRPr="00073A5A">
        <w:rPr>
          <w:sz w:val="20"/>
          <w:szCs w:val="20"/>
        </w:rPr>
        <w:t>Član 10 ZJN — načelo jednakosti i zabrane diskriminacije: dodjeljivanje atributa „jedinstvenosti" jednom dizajnu po definiciji diskriminiše sve ostale proizvode koji bi mogli funkcionalno odgovoriti potrebi naručioca;</w:t>
      </w:r>
    </w:p>
    <w:p w:rsidR="00887E68" w:rsidRPr="00073A5A" w:rsidRDefault="00887E68" w:rsidP="00887E68">
      <w:pPr>
        <w:pStyle w:val="ListParagraph"/>
        <w:numPr>
          <w:ilvl w:val="0"/>
          <w:numId w:val="1"/>
        </w:numPr>
        <w:spacing w:before="40" w:after="40" w:line="300" w:lineRule="auto"/>
        <w:jc w:val="both"/>
        <w:rPr>
          <w:sz w:val="20"/>
          <w:szCs w:val="20"/>
        </w:rPr>
      </w:pPr>
      <w:r w:rsidRPr="00073A5A">
        <w:rPr>
          <w:sz w:val="20"/>
          <w:szCs w:val="20"/>
        </w:rPr>
        <w:t>Član 12 ZJN — načelo srazmjernosti: estetsko-simbolička aspiracija („želi i zaslužuje") nije srazmjerno opravdanje za isključenje konkurencije u javnoj nabavci infrastrukturne prirode.</w:t>
      </w:r>
    </w:p>
    <w:p w:rsidR="00887E68" w:rsidRPr="00073A5A" w:rsidRDefault="00887E68" w:rsidP="00887E68">
      <w:pPr>
        <w:spacing w:before="80" w:after="80" w:line="300" w:lineRule="auto"/>
        <w:jc w:val="both"/>
        <w:rPr>
          <w:sz w:val="20"/>
          <w:szCs w:val="20"/>
        </w:rPr>
      </w:pPr>
      <w:r w:rsidRPr="00073A5A">
        <w:rPr>
          <w:color w:val="000000"/>
          <w:sz w:val="20"/>
          <w:szCs w:val="20"/>
        </w:rPr>
        <w:lastRenderedPageBreak/>
        <w:t xml:space="preserve">Naručilac u istom odgovoru navodi: „Ni u jednom članu zakona o javnim nabavkama ne stoji da predmet nabavke mora biti industrijalizovani serijski proizvod". Ovo je tačno — </w:t>
      </w:r>
      <w:proofErr w:type="gramStart"/>
      <w:r w:rsidRPr="00073A5A">
        <w:rPr>
          <w:color w:val="000000"/>
          <w:sz w:val="20"/>
          <w:szCs w:val="20"/>
        </w:rPr>
        <w:t>ali</w:t>
      </w:r>
      <w:proofErr w:type="gramEnd"/>
      <w:r w:rsidRPr="00073A5A">
        <w:rPr>
          <w:color w:val="000000"/>
          <w:sz w:val="20"/>
          <w:szCs w:val="20"/>
        </w:rPr>
        <w:t xml:space="preserve"> sa fundamentalnim ograničenjem: ako naručilac bira custom rješenje, to mora biti opravdano objektivnim i dokumentovanim funkcionalnim potrebama, a ne subjektivnim preferencijama izraženim kroz formulacije tipa „želi i zaslužuje". </w:t>
      </w:r>
      <w:proofErr w:type="gramStart"/>
      <w:r w:rsidRPr="00073A5A">
        <w:rPr>
          <w:color w:val="000000"/>
          <w:sz w:val="20"/>
          <w:szCs w:val="20"/>
        </w:rPr>
        <w:t>Inače, isti princip bi opštinama dao pravo da svaku komunalnu nabavku oblikuju prema unaprijed izabranom proizvođaču, čime bi se ZJN učinio besmislenim.</w:t>
      </w:r>
      <w:proofErr w:type="gramEnd"/>
    </w:p>
    <w:p w:rsidR="00887E68" w:rsidRPr="00073A5A" w:rsidRDefault="00887E68" w:rsidP="00887E68">
      <w:pPr>
        <w:spacing w:before="320" w:after="160"/>
        <w:rPr>
          <w:sz w:val="20"/>
          <w:szCs w:val="20"/>
        </w:rPr>
      </w:pPr>
      <w:r w:rsidRPr="00073A5A">
        <w:rPr>
          <w:b/>
          <w:bCs/>
          <w:color w:val="1F4E79"/>
          <w:sz w:val="20"/>
          <w:szCs w:val="20"/>
        </w:rPr>
        <w:t>2.5. Sukob interesa — neodgovoreno pitanje primjene člana 41 ZJN</w:t>
      </w:r>
    </w:p>
    <w:p w:rsidR="00887E68" w:rsidRPr="00073A5A" w:rsidRDefault="00887E68" w:rsidP="00887E68">
      <w:pPr>
        <w:spacing w:before="80" w:after="80" w:line="300" w:lineRule="auto"/>
        <w:jc w:val="both"/>
        <w:rPr>
          <w:sz w:val="20"/>
          <w:szCs w:val="20"/>
        </w:rPr>
      </w:pPr>
      <w:r w:rsidRPr="00073A5A">
        <w:rPr>
          <w:color w:val="000000"/>
          <w:sz w:val="20"/>
          <w:szCs w:val="20"/>
        </w:rPr>
        <w:t xml:space="preserve">U pitanju br. 3 izričito je traženo da naručilac pojasni: „Da li je projektant stuba i konzolnog nosača istovremeno i potencijalni ponuđač </w:t>
      </w:r>
      <w:proofErr w:type="gramStart"/>
      <w:r w:rsidRPr="00073A5A">
        <w:rPr>
          <w:color w:val="000000"/>
          <w:sz w:val="20"/>
          <w:szCs w:val="20"/>
        </w:rPr>
        <w:t>ili</w:t>
      </w:r>
      <w:proofErr w:type="gramEnd"/>
      <w:r w:rsidRPr="00073A5A">
        <w:rPr>
          <w:color w:val="000000"/>
          <w:sz w:val="20"/>
          <w:szCs w:val="20"/>
        </w:rPr>
        <w:t xml:space="preserve"> povezano lice sa potencijalnim ponuđačem, u smislu člana 41 ZJN (sukob interesa)?"</w:t>
      </w:r>
    </w:p>
    <w:p w:rsidR="00887E68" w:rsidRPr="00073A5A" w:rsidRDefault="00887E68" w:rsidP="00887E68">
      <w:pPr>
        <w:spacing w:before="80" w:after="80" w:line="300" w:lineRule="auto"/>
        <w:jc w:val="both"/>
        <w:rPr>
          <w:sz w:val="20"/>
          <w:szCs w:val="20"/>
        </w:rPr>
      </w:pPr>
      <w:proofErr w:type="gramStart"/>
      <w:r w:rsidRPr="00073A5A">
        <w:rPr>
          <w:color w:val="000000"/>
          <w:sz w:val="20"/>
          <w:szCs w:val="20"/>
        </w:rPr>
        <w:t>Naručilac u svom odgovoru ne pominje član 41 ZJN, ne pominje projektantov identitet, ne pominje povezana lica, niti dostavlja izjavu projektanta o nepostojanju sukoba interesa.</w:t>
      </w:r>
      <w:proofErr w:type="gramEnd"/>
      <w:r w:rsidRPr="00073A5A">
        <w:rPr>
          <w:color w:val="000000"/>
          <w:sz w:val="20"/>
          <w:szCs w:val="20"/>
        </w:rPr>
        <w:t xml:space="preserve"> Umjesto toga, naručilac samo navodi: „Posao projektanta je završen i revidovani glavni projekat je dostavljen Naručiocu."</w:t>
      </w:r>
    </w:p>
    <w:p w:rsidR="00887E68" w:rsidRPr="00073A5A" w:rsidRDefault="00887E68" w:rsidP="00887E68">
      <w:pPr>
        <w:spacing w:before="80" w:after="80" w:line="300" w:lineRule="auto"/>
        <w:jc w:val="both"/>
        <w:rPr>
          <w:sz w:val="20"/>
          <w:szCs w:val="20"/>
        </w:rPr>
      </w:pPr>
      <w:r w:rsidRPr="00073A5A">
        <w:rPr>
          <w:color w:val="000000"/>
          <w:sz w:val="20"/>
          <w:szCs w:val="20"/>
        </w:rPr>
        <w:t xml:space="preserve">Odsustvo odgovora </w:t>
      </w:r>
      <w:proofErr w:type="gramStart"/>
      <w:r w:rsidRPr="00073A5A">
        <w:rPr>
          <w:color w:val="000000"/>
          <w:sz w:val="20"/>
          <w:szCs w:val="20"/>
        </w:rPr>
        <w:t>na</w:t>
      </w:r>
      <w:proofErr w:type="gramEnd"/>
      <w:r w:rsidRPr="00073A5A">
        <w:rPr>
          <w:color w:val="000000"/>
          <w:sz w:val="20"/>
          <w:szCs w:val="20"/>
        </w:rPr>
        <w:t xml:space="preserve"> konkretno pitanje o sukobu interesa, u kontekstu javne nabavke gdje:</w:t>
      </w:r>
    </w:p>
    <w:p w:rsidR="00887E68" w:rsidRPr="00073A5A" w:rsidRDefault="00887E68" w:rsidP="00887E68">
      <w:pPr>
        <w:rPr>
          <w:sz w:val="20"/>
          <w:szCs w:val="20"/>
        </w:rPr>
      </w:pPr>
      <w:proofErr w:type="gramStart"/>
      <w:r w:rsidRPr="00073A5A">
        <w:rPr>
          <w:sz w:val="20"/>
          <w:szCs w:val="20"/>
        </w:rPr>
        <w:t>specifikacija</w:t>
      </w:r>
      <w:proofErr w:type="gramEnd"/>
      <w:r w:rsidRPr="00073A5A">
        <w:rPr>
          <w:sz w:val="20"/>
          <w:szCs w:val="20"/>
        </w:rPr>
        <w:t xml:space="preserve"> svjetiljke kopira datasheet jednog konkretnog proizvođača (iGuzzini Cortina);</w:t>
      </w:r>
    </w:p>
    <w:p w:rsidR="00887E68" w:rsidRPr="00073A5A" w:rsidRDefault="00887E68" w:rsidP="00887E68">
      <w:pPr>
        <w:pStyle w:val="ListParagraph"/>
        <w:numPr>
          <w:ilvl w:val="0"/>
          <w:numId w:val="1"/>
        </w:numPr>
        <w:spacing w:before="40" w:after="40" w:line="300" w:lineRule="auto"/>
        <w:jc w:val="both"/>
        <w:rPr>
          <w:sz w:val="20"/>
          <w:szCs w:val="20"/>
        </w:rPr>
      </w:pPr>
      <w:r w:rsidRPr="00073A5A">
        <w:rPr>
          <w:sz w:val="20"/>
          <w:szCs w:val="20"/>
        </w:rPr>
        <w:t>stub i konzolni nosač su custom-projektovani sa unikatnim karakteristikama (grb opštine od inoxa AISI 316, lasersko sječenje, tačne dimenzije);</w:t>
      </w:r>
    </w:p>
    <w:p w:rsidR="00887E68" w:rsidRPr="00073A5A" w:rsidRDefault="00887E68" w:rsidP="00887E68">
      <w:pPr>
        <w:pStyle w:val="ListParagraph"/>
        <w:numPr>
          <w:ilvl w:val="0"/>
          <w:numId w:val="1"/>
        </w:numPr>
        <w:spacing w:before="40" w:after="40" w:line="300" w:lineRule="auto"/>
        <w:jc w:val="both"/>
        <w:rPr>
          <w:sz w:val="20"/>
          <w:szCs w:val="20"/>
        </w:rPr>
      </w:pPr>
      <w:r w:rsidRPr="00073A5A">
        <w:rPr>
          <w:sz w:val="20"/>
          <w:szCs w:val="20"/>
        </w:rPr>
        <w:t>naručilac eksplicitno odbija alternativna rješenja i prepušta procjenu ekvivalentnosti istom projektantu,</w:t>
      </w:r>
    </w:p>
    <w:p w:rsidR="00887E68" w:rsidRPr="00073A5A" w:rsidRDefault="00887E68" w:rsidP="00887E68">
      <w:pPr>
        <w:spacing w:before="80" w:after="80" w:line="300" w:lineRule="auto"/>
        <w:jc w:val="both"/>
        <w:rPr>
          <w:sz w:val="20"/>
          <w:szCs w:val="20"/>
        </w:rPr>
      </w:pPr>
      <w:r w:rsidRPr="00073A5A">
        <w:rPr>
          <w:color w:val="000000"/>
          <w:sz w:val="20"/>
          <w:szCs w:val="20"/>
        </w:rPr>
        <w:t>predstavlja, u najmanju ruku, neispunjenje obaveze naručioca iz člana 41 stav 5 ZJN, koji propisuje da je naručilac dužan da preduzme odgovarajuće mjere u cilju sprječavanja, otkrivanja i otklanjanja sukoba interesa u postupku javne nabavke.</w:t>
      </w:r>
    </w:p>
    <w:p w:rsidR="00887E68" w:rsidRPr="00073A5A" w:rsidRDefault="00887E68" w:rsidP="00887E68">
      <w:pPr>
        <w:spacing w:before="80" w:after="80" w:line="300" w:lineRule="auto"/>
        <w:jc w:val="both"/>
        <w:rPr>
          <w:sz w:val="20"/>
          <w:szCs w:val="20"/>
        </w:rPr>
      </w:pPr>
      <w:r w:rsidRPr="00073A5A">
        <w:rPr>
          <w:color w:val="000000"/>
          <w:sz w:val="20"/>
          <w:szCs w:val="20"/>
        </w:rPr>
        <w:t xml:space="preserve">U skladu </w:t>
      </w:r>
      <w:proofErr w:type="gramStart"/>
      <w:r w:rsidRPr="00073A5A">
        <w:rPr>
          <w:color w:val="000000"/>
          <w:sz w:val="20"/>
          <w:szCs w:val="20"/>
        </w:rPr>
        <w:t>sa</w:t>
      </w:r>
      <w:proofErr w:type="gramEnd"/>
      <w:r w:rsidRPr="00073A5A">
        <w:rPr>
          <w:color w:val="000000"/>
          <w:sz w:val="20"/>
          <w:szCs w:val="20"/>
        </w:rPr>
        <w:t xml:space="preserve"> članom 41 stav 7 ZJN, naručilac je dužan da od svih lica koja učestvuju u pripremi tenderske dokumentacije i postupku javne nabavke pribavi pisanu izjavu o nepostojanju sukoba interesa. </w:t>
      </w:r>
      <w:proofErr w:type="gramStart"/>
      <w:r w:rsidRPr="00073A5A">
        <w:rPr>
          <w:color w:val="000000"/>
          <w:sz w:val="20"/>
          <w:szCs w:val="20"/>
        </w:rPr>
        <w:t>Tenderska dokumentacija ne sadrži ovu izjavu projektanta — što je samostalna formalna nepravilnost koja zahtijeva izmjenu (otklanjanje) prije nastavka postupka.</w:t>
      </w:r>
      <w:proofErr w:type="gramEnd"/>
    </w:p>
    <w:p w:rsidR="00887E68" w:rsidRPr="00073A5A" w:rsidRDefault="00887E68" w:rsidP="00887E68">
      <w:pPr>
        <w:spacing w:before="320" w:after="160"/>
        <w:rPr>
          <w:sz w:val="20"/>
          <w:szCs w:val="20"/>
        </w:rPr>
      </w:pPr>
      <w:r w:rsidRPr="00073A5A">
        <w:rPr>
          <w:b/>
          <w:bCs/>
          <w:color w:val="1F4E79"/>
          <w:sz w:val="20"/>
          <w:szCs w:val="20"/>
        </w:rPr>
        <w:t>2.6. Nedostavljanje svjetlotehničkog proračuna — inverzija tereta dokazivanja</w:t>
      </w:r>
    </w:p>
    <w:p w:rsidR="00887E68" w:rsidRPr="00073A5A" w:rsidRDefault="00887E68" w:rsidP="00887E68">
      <w:pPr>
        <w:spacing w:before="80" w:after="80" w:line="300" w:lineRule="auto"/>
        <w:jc w:val="both"/>
        <w:rPr>
          <w:sz w:val="20"/>
          <w:szCs w:val="20"/>
        </w:rPr>
      </w:pPr>
      <w:r w:rsidRPr="00073A5A">
        <w:rPr>
          <w:color w:val="000000"/>
          <w:sz w:val="20"/>
          <w:szCs w:val="20"/>
        </w:rPr>
        <w:t xml:space="preserve">Naručilac u odgovoru </w:t>
      </w:r>
      <w:proofErr w:type="gramStart"/>
      <w:r w:rsidRPr="00073A5A">
        <w:rPr>
          <w:color w:val="000000"/>
          <w:sz w:val="20"/>
          <w:szCs w:val="20"/>
        </w:rPr>
        <w:t>na</w:t>
      </w:r>
      <w:proofErr w:type="gramEnd"/>
      <w:r w:rsidRPr="00073A5A">
        <w:rPr>
          <w:color w:val="000000"/>
          <w:sz w:val="20"/>
          <w:szCs w:val="20"/>
        </w:rPr>
        <w:t xml:space="preserve"> pitanje br. 1 navodi da je specifikacija svjetiljki definisana „na osnovu svjetlotehničkih parametara dobijenih proračunom osvjetljaja", ali ne dostavlja, niti ukazuje na lokaciju gdje je dostupan, sam taj proračun. Konkretno nedostaje:</w:t>
      </w:r>
    </w:p>
    <w:p w:rsidR="00887E68" w:rsidRPr="00073A5A" w:rsidRDefault="00887E68" w:rsidP="00887E68">
      <w:pPr>
        <w:pStyle w:val="ListParagraph"/>
        <w:numPr>
          <w:ilvl w:val="0"/>
          <w:numId w:val="1"/>
        </w:numPr>
        <w:spacing w:before="40" w:after="40" w:line="300" w:lineRule="auto"/>
        <w:jc w:val="both"/>
        <w:rPr>
          <w:sz w:val="20"/>
          <w:szCs w:val="20"/>
        </w:rPr>
      </w:pPr>
      <w:r w:rsidRPr="00073A5A">
        <w:rPr>
          <w:sz w:val="20"/>
          <w:szCs w:val="20"/>
        </w:rPr>
        <w:t>Izvještaj iz svjetlotehničkog softvera (DIALux evo, Relux, AGi32) sa rezultatima simulacije za obje predmetne ulice;</w:t>
      </w:r>
    </w:p>
    <w:p w:rsidR="00887E68" w:rsidRPr="00073A5A" w:rsidRDefault="00887E68" w:rsidP="00887E68">
      <w:pPr>
        <w:pStyle w:val="ListParagraph"/>
        <w:numPr>
          <w:ilvl w:val="0"/>
          <w:numId w:val="1"/>
        </w:numPr>
        <w:spacing w:before="40" w:after="40" w:line="300" w:lineRule="auto"/>
        <w:jc w:val="both"/>
        <w:rPr>
          <w:sz w:val="20"/>
          <w:szCs w:val="20"/>
        </w:rPr>
      </w:pPr>
      <w:r w:rsidRPr="00073A5A">
        <w:rPr>
          <w:sz w:val="20"/>
          <w:szCs w:val="20"/>
        </w:rPr>
        <w:t>Definicija svjetlosne klase saobraćajnice prema EN 13201-2 (M, C ili P klasa, sa konkretnim podklasama tipa M2, M3, M4, P3, P4) i obrazloženje izbora;</w:t>
      </w:r>
    </w:p>
    <w:p w:rsidR="00887E68" w:rsidRPr="00073A5A" w:rsidRDefault="00887E68" w:rsidP="00887E68">
      <w:pPr>
        <w:pStyle w:val="ListParagraph"/>
        <w:numPr>
          <w:ilvl w:val="0"/>
          <w:numId w:val="1"/>
        </w:numPr>
        <w:spacing w:before="40" w:after="40" w:line="300" w:lineRule="auto"/>
        <w:jc w:val="both"/>
        <w:rPr>
          <w:sz w:val="20"/>
          <w:szCs w:val="20"/>
        </w:rPr>
      </w:pPr>
      <w:r w:rsidRPr="00073A5A">
        <w:rPr>
          <w:sz w:val="20"/>
          <w:szCs w:val="20"/>
        </w:rPr>
        <w:t>Konkretne IES/LDT datoteke fotometrijskih distribucija korišćenih u proračunu (i identifikacija proizvođača/modela tih datoteka);</w:t>
      </w:r>
    </w:p>
    <w:p w:rsidR="00887E68" w:rsidRPr="00073A5A" w:rsidRDefault="00887E68" w:rsidP="00887E68">
      <w:pPr>
        <w:pStyle w:val="ListParagraph"/>
        <w:numPr>
          <w:ilvl w:val="0"/>
          <w:numId w:val="1"/>
        </w:numPr>
        <w:spacing w:before="40" w:after="40" w:line="300" w:lineRule="auto"/>
        <w:jc w:val="both"/>
        <w:rPr>
          <w:sz w:val="20"/>
          <w:szCs w:val="20"/>
        </w:rPr>
      </w:pPr>
      <w:r w:rsidRPr="00073A5A">
        <w:rPr>
          <w:sz w:val="20"/>
          <w:szCs w:val="20"/>
        </w:rPr>
        <w:t>Faktor održavanja (Maintenance Factor) primijenjen u proračunu i obrazloženje izbora prema CIE 154;</w:t>
      </w:r>
    </w:p>
    <w:p w:rsidR="00887E68" w:rsidRPr="00073A5A" w:rsidRDefault="00887E68" w:rsidP="00887E68">
      <w:pPr>
        <w:pStyle w:val="ListParagraph"/>
        <w:numPr>
          <w:ilvl w:val="0"/>
          <w:numId w:val="1"/>
        </w:numPr>
        <w:spacing w:before="40" w:after="40" w:line="300" w:lineRule="auto"/>
        <w:jc w:val="both"/>
        <w:rPr>
          <w:sz w:val="20"/>
          <w:szCs w:val="20"/>
        </w:rPr>
      </w:pPr>
      <w:r w:rsidRPr="00073A5A">
        <w:rPr>
          <w:sz w:val="20"/>
          <w:szCs w:val="20"/>
        </w:rPr>
        <w:t>Geometrija stubova (visina, razmak, ugao nagiba konzole) i parametri kolovoza (širina, broj traka, R-klasa površine asfalta);</w:t>
      </w:r>
    </w:p>
    <w:p w:rsidR="00887E68" w:rsidRPr="00073A5A" w:rsidRDefault="00887E68" w:rsidP="00887E68">
      <w:pPr>
        <w:pStyle w:val="ListParagraph"/>
        <w:numPr>
          <w:ilvl w:val="0"/>
          <w:numId w:val="1"/>
        </w:numPr>
        <w:spacing w:before="40" w:after="40" w:line="300" w:lineRule="auto"/>
        <w:jc w:val="both"/>
        <w:rPr>
          <w:sz w:val="20"/>
          <w:szCs w:val="20"/>
        </w:rPr>
      </w:pPr>
      <w:r w:rsidRPr="00073A5A">
        <w:rPr>
          <w:sz w:val="20"/>
          <w:szCs w:val="20"/>
        </w:rPr>
        <w:t>Obrazloženje zašto svjetiljke od tačno 24</w:t>
      </w:r>
      <w:proofErr w:type="gramStart"/>
      <w:r w:rsidRPr="00073A5A">
        <w:rPr>
          <w:sz w:val="20"/>
          <w:szCs w:val="20"/>
        </w:rPr>
        <w:t>,5</w:t>
      </w:r>
      <w:proofErr w:type="gramEnd"/>
      <w:r w:rsidRPr="00073A5A">
        <w:rPr>
          <w:sz w:val="20"/>
          <w:szCs w:val="20"/>
        </w:rPr>
        <w:t xml:space="preserve"> W i 36,4 W (a ne, primjera radi, 25 W i 35 W ili 30 W i 40 W) ispunjavaju izračunate parametre, dok svjetiljke drugih snaga u sličnom rasponu navodno ne mogu.</w:t>
      </w:r>
    </w:p>
    <w:p w:rsidR="00887E68" w:rsidRPr="00073A5A" w:rsidRDefault="00887E68" w:rsidP="00887E68">
      <w:pPr>
        <w:spacing w:before="80" w:after="80" w:line="300" w:lineRule="auto"/>
        <w:jc w:val="both"/>
        <w:rPr>
          <w:sz w:val="20"/>
          <w:szCs w:val="20"/>
        </w:rPr>
      </w:pPr>
      <w:r w:rsidRPr="00073A5A">
        <w:rPr>
          <w:color w:val="000000"/>
          <w:sz w:val="20"/>
          <w:szCs w:val="20"/>
        </w:rPr>
        <w:lastRenderedPageBreak/>
        <w:t xml:space="preserve">Bez dostavljanja navedenog proračuna, naručilac suštinski traži </w:t>
      </w:r>
      <w:proofErr w:type="gramStart"/>
      <w:r w:rsidRPr="00073A5A">
        <w:rPr>
          <w:color w:val="000000"/>
          <w:sz w:val="20"/>
          <w:szCs w:val="20"/>
        </w:rPr>
        <w:t>od</w:t>
      </w:r>
      <w:proofErr w:type="gramEnd"/>
      <w:r w:rsidRPr="00073A5A">
        <w:rPr>
          <w:color w:val="000000"/>
          <w:sz w:val="20"/>
          <w:szCs w:val="20"/>
        </w:rPr>
        <w:t xml:space="preserve"> ponuđača da se „pouzdaju" u njegovu tvrdnju o svjetlotehničkom opravdanju specifikacije. Ovo je obrnut teret dokazivanja u odnosu </w:t>
      </w:r>
      <w:proofErr w:type="gramStart"/>
      <w:r w:rsidRPr="00073A5A">
        <w:rPr>
          <w:color w:val="000000"/>
          <w:sz w:val="20"/>
          <w:szCs w:val="20"/>
        </w:rPr>
        <w:t>na</w:t>
      </w:r>
      <w:proofErr w:type="gramEnd"/>
      <w:r w:rsidRPr="00073A5A">
        <w:rPr>
          <w:color w:val="000000"/>
          <w:sz w:val="20"/>
          <w:szCs w:val="20"/>
        </w:rPr>
        <w:t xml:space="preserve"> ono što propisuje član 82 stav 4 ZJN (obaveza naručioca da raspolaže obrazloženjem procjene vrijednosti) i član 85 ZJN (transparentnost tehničkih specifikacija).</w:t>
      </w:r>
    </w:p>
    <w:p w:rsidR="00887E68" w:rsidRPr="00073A5A" w:rsidRDefault="00887E68" w:rsidP="00887E68">
      <w:pPr>
        <w:rPr>
          <w:color w:val="000000"/>
          <w:sz w:val="20"/>
          <w:szCs w:val="20"/>
        </w:rPr>
      </w:pPr>
      <w:r w:rsidRPr="00073A5A">
        <w:rPr>
          <w:color w:val="000000"/>
          <w:sz w:val="20"/>
          <w:szCs w:val="20"/>
        </w:rPr>
        <w:t xml:space="preserve">Forenzički, ako proračun postoji i ako je profesionalno urađen, on bi morao biti dostupan </w:t>
      </w:r>
      <w:proofErr w:type="gramStart"/>
      <w:r w:rsidRPr="00073A5A">
        <w:rPr>
          <w:color w:val="000000"/>
          <w:sz w:val="20"/>
          <w:szCs w:val="20"/>
        </w:rPr>
        <w:t>na</w:t>
      </w:r>
      <w:proofErr w:type="gramEnd"/>
      <w:r w:rsidRPr="00073A5A">
        <w:rPr>
          <w:color w:val="000000"/>
          <w:sz w:val="20"/>
          <w:szCs w:val="20"/>
        </w:rPr>
        <w:t xml:space="preserve"> uvid svim ponuđačima. Ako proračun postoji </w:t>
      </w:r>
      <w:proofErr w:type="gramStart"/>
      <w:r w:rsidRPr="00073A5A">
        <w:rPr>
          <w:color w:val="000000"/>
          <w:sz w:val="20"/>
          <w:szCs w:val="20"/>
        </w:rPr>
        <w:t>ali</w:t>
      </w:r>
      <w:proofErr w:type="gramEnd"/>
      <w:r w:rsidRPr="00073A5A">
        <w:rPr>
          <w:color w:val="000000"/>
          <w:sz w:val="20"/>
          <w:szCs w:val="20"/>
        </w:rPr>
        <w:t xml:space="preserve"> u njemu kao referentna svjetiljka figuriše iGuzzini Cortina, to je dodatni dokaz da je specifikacija proizašla iz konkretnog kataloga a ne iz funkcionalnih potreba.</w:t>
      </w:r>
    </w:p>
    <w:p w:rsidR="00887E68" w:rsidRPr="00073A5A" w:rsidRDefault="00887E68" w:rsidP="00887E68">
      <w:pPr>
        <w:spacing w:before="320" w:after="160"/>
        <w:rPr>
          <w:sz w:val="20"/>
          <w:szCs w:val="20"/>
        </w:rPr>
      </w:pPr>
      <w:r w:rsidRPr="00073A5A">
        <w:rPr>
          <w:b/>
          <w:bCs/>
          <w:color w:val="1F4E79"/>
          <w:sz w:val="20"/>
          <w:szCs w:val="20"/>
        </w:rPr>
        <w:t>2.7. Neusaglašenost količinskih podataka — temelji koje je izgradilo komunalno preduzeće</w:t>
      </w:r>
    </w:p>
    <w:p w:rsidR="00887E68" w:rsidRPr="00073A5A" w:rsidRDefault="00887E68" w:rsidP="00887E68">
      <w:pPr>
        <w:spacing w:before="80" w:after="80" w:line="300" w:lineRule="auto"/>
        <w:jc w:val="both"/>
        <w:rPr>
          <w:sz w:val="20"/>
          <w:szCs w:val="20"/>
        </w:rPr>
      </w:pPr>
      <w:r w:rsidRPr="00073A5A">
        <w:rPr>
          <w:color w:val="000000"/>
          <w:sz w:val="20"/>
          <w:szCs w:val="20"/>
        </w:rPr>
        <w:t xml:space="preserve">U odgovoru </w:t>
      </w:r>
      <w:proofErr w:type="gramStart"/>
      <w:r w:rsidRPr="00073A5A">
        <w:rPr>
          <w:color w:val="000000"/>
          <w:sz w:val="20"/>
          <w:szCs w:val="20"/>
        </w:rPr>
        <w:t>na</w:t>
      </w:r>
      <w:proofErr w:type="gramEnd"/>
      <w:r w:rsidRPr="00073A5A">
        <w:rPr>
          <w:color w:val="000000"/>
          <w:sz w:val="20"/>
          <w:szCs w:val="20"/>
        </w:rPr>
        <w:t xml:space="preserve"> pitanje br. 5, naručilac priznaje sljedeću činjenicu: „64 postolja je uradilo Komunalno preduzeće sa Žabljaka, pri iskopu i ugradnji cijevi za vodovod, tako da je potrebna samo montaža stubova i rasvjete na tim pozicijama. </w:t>
      </w:r>
      <w:proofErr w:type="gramStart"/>
      <w:r w:rsidRPr="00073A5A">
        <w:rPr>
          <w:color w:val="000000"/>
          <w:sz w:val="20"/>
          <w:szCs w:val="20"/>
        </w:rPr>
        <w:t>Takođe je položilo neophodni kabal za potrebe rasvjete između njih."</w:t>
      </w:r>
      <w:proofErr w:type="gramEnd"/>
    </w:p>
    <w:p w:rsidR="00887E68" w:rsidRPr="00073A5A" w:rsidRDefault="00887E68" w:rsidP="00887E68">
      <w:pPr>
        <w:spacing w:before="80" w:after="80" w:line="300" w:lineRule="auto"/>
        <w:jc w:val="both"/>
        <w:rPr>
          <w:sz w:val="20"/>
          <w:szCs w:val="20"/>
        </w:rPr>
      </w:pPr>
      <w:r w:rsidRPr="00073A5A">
        <w:rPr>
          <w:color w:val="000000"/>
          <w:sz w:val="20"/>
          <w:szCs w:val="20"/>
        </w:rPr>
        <w:t>Ova izjava otvara više nezavisnih pitanja koja zahtijevaju izmjenu (a najmanje dopunu) tenderske dokumentacije:</w:t>
      </w:r>
    </w:p>
    <w:p w:rsidR="00887E68" w:rsidRPr="00073A5A" w:rsidRDefault="00887E68" w:rsidP="00887E68">
      <w:pPr>
        <w:pStyle w:val="ListParagraph"/>
        <w:numPr>
          <w:ilvl w:val="0"/>
          <w:numId w:val="1"/>
        </w:numPr>
        <w:spacing w:before="40" w:after="40" w:line="300" w:lineRule="auto"/>
        <w:jc w:val="both"/>
        <w:rPr>
          <w:sz w:val="20"/>
          <w:szCs w:val="20"/>
        </w:rPr>
      </w:pPr>
      <w:r w:rsidRPr="00073A5A">
        <w:rPr>
          <w:sz w:val="20"/>
          <w:szCs w:val="20"/>
        </w:rPr>
        <w:t xml:space="preserve">(a) Da li su radovi </w:t>
      </w:r>
      <w:proofErr w:type="gramStart"/>
      <w:r w:rsidRPr="00073A5A">
        <w:rPr>
          <w:sz w:val="20"/>
          <w:szCs w:val="20"/>
        </w:rPr>
        <w:t>na</w:t>
      </w:r>
      <w:proofErr w:type="gramEnd"/>
      <w:r w:rsidRPr="00073A5A">
        <w:rPr>
          <w:sz w:val="20"/>
          <w:szCs w:val="20"/>
        </w:rPr>
        <w:t xml:space="preserve"> izgradnji 64 betonska temelja, kao i polaganje kabla za rasvjetu, sprovedeni u zasebnom postupku javne nabavke, ili kao radovi u sopstvenoj režiji komunalnog preduzeća? Ako je ovo drugo, pod kojim je pravnim osnovom Komunalno preduzeće Žabljak izvodilo radove čija je namjena bila izgradnja javne rasvjete kao predmeta posebnog postupka javne nabavke?</w:t>
      </w:r>
    </w:p>
    <w:p w:rsidR="00887E68" w:rsidRPr="00073A5A" w:rsidRDefault="00887E68" w:rsidP="00887E68">
      <w:pPr>
        <w:pStyle w:val="ListParagraph"/>
        <w:numPr>
          <w:ilvl w:val="0"/>
          <w:numId w:val="1"/>
        </w:numPr>
        <w:spacing w:before="40" w:after="40" w:line="300" w:lineRule="auto"/>
        <w:jc w:val="both"/>
        <w:rPr>
          <w:sz w:val="20"/>
          <w:szCs w:val="20"/>
        </w:rPr>
      </w:pPr>
      <w:r w:rsidRPr="00073A5A">
        <w:rPr>
          <w:sz w:val="20"/>
          <w:szCs w:val="20"/>
        </w:rPr>
        <w:t xml:space="preserve">(b) Da li u tehničkoj specifikaciji jasno proizlazi koliko se temelja izgrađuje u okviru predmetne nabavke (pozicije 6 i 9 predviđaju 44 komada), a koliko stubova se ugrađuje (pozicija 18 predviđa 108 komada)? Razlika </w:t>
      </w:r>
      <w:proofErr w:type="gramStart"/>
      <w:r w:rsidRPr="00073A5A">
        <w:rPr>
          <w:sz w:val="20"/>
          <w:szCs w:val="20"/>
        </w:rPr>
        <w:t>od</w:t>
      </w:r>
      <w:proofErr w:type="gramEnd"/>
      <w:r w:rsidRPr="00073A5A">
        <w:rPr>
          <w:sz w:val="20"/>
          <w:szCs w:val="20"/>
        </w:rPr>
        <w:t xml:space="preserve"> 64 komada čini blizu 60% predmeta nabavke u dijelu stubova, što je krupna asimetrija koja mora biti precizno dokumentovana.</w:t>
      </w:r>
    </w:p>
    <w:p w:rsidR="00887E68" w:rsidRPr="00073A5A" w:rsidRDefault="00887E68" w:rsidP="00887E68">
      <w:pPr>
        <w:pStyle w:val="ListParagraph"/>
        <w:numPr>
          <w:ilvl w:val="0"/>
          <w:numId w:val="1"/>
        </w:numPr>
        <w:spacing w:before="40" w:after="40" w:line="300" w:lineRule="auto"/>
        <w:jc w:val="both"/>
        <w:rPr>
          <w:sz w:val="20"/>
          <w:szCs w:val="20"/>
        </w:rPr>
      </w:pPr>
      <w:r w:rsidRPr="00073A5A">
        <w:rPr>
          <w:sz w:val="20"/>
          <w:szCs w:val="20"/>
        </w:rPr>
        <w:t>(c) Da li su 64 postojeća temelja izgrađena prema istim tehničkim crtežima koji su predviđeni u projektu predmetne nabavke (dubina, dimenzije, klasa betona, armatura, anker šeme), i postoji li dokaz o tome — atest betona, izvještaj o ispitivanju, geodetski snimak?</w:t>
      </w:r>
    </w:p>
    <w:p w:rsidR="00887E68" w:rsidRPr="00073A5A" w:rsidRDefault="00887E68" w:rsidP="00887E68">
      <w:pPr>
        <w:pStyle w:val="ListParagraph"/>
        <w:numPr>
          <w:ilvl w:val="0"/>
          <w:numId w:val="1"/>
        </w:numPr>
        <w:spacing w:before="40" w:after="40" w:line="300" w:lineRule="auto"/>
        <w:jc w:val="both"/>
        <w:rPr>
          <w:sz w:val="20"/>
          <w:szCs w:val="20"/>
        </w:rPr>
      </w:pPr>
      <w:r w:rsidRPr="00073A5A">
        <w:rPr>
          <w:sz w:val="20"/>
          <w:szCs w:val="20"/>
        </w:rPr>
        <w:t xml:space="preserve">(d) Postoji li garancija </w:t>
      </w:r>
      <w:proofErr w:type="gramStart"/>
      <w:r w:rsidRPr="00073A5A">
        <w:rPr>
          <w:sz w:val="20"/>
          <w:szCs w:val="20"/>
        </w:rPr>
        <w:t>ili</w:t>
      </w:r>
      <w:proofErr w:type="gramEnd"/>
      <w:r w:rsidRPr="00073A5A">
        <w:rPr>
          <w:sz w:val="20"/>
          <w:szCs w:val="20"/>
        </w:rPr>
        <w:t xml:space="preserve"> tehnička izjava da postojećih 64 temelja zadovoljavaju mehaničke uslove (vjetar, vibracije, momenat savijanja) za stub i konzolu visoke 6–9 m predviđenih projektom? </w:t>
      </w:r>
      <w:proofErr w:type="gramStart"/>
      <w:r w:rsidRPr="00073A5A">
        <w:rPr>
          <w:sz w:val="20"/>
          <w:szCs w:val="20"/>
        </w:rPr>
        <w:t>Ko</w:t>
      </w:r>
      <w:proofErr w:type="gramEnd"/>
      <w:r w:rsidRPr="00073A5A">
        <w:rPr>
          <w:sz w:val="20"/>
          <w:szCs w:val="20"/>
        </w:rPr>
        <w:t xml:space="preserve"> snosi rizik ako se utvrdi da postojeći temelji nisu u skladu sa projektom?</w:t>
      </w:r>
    </w:p>
    <w:p w:rsidR="00887E68" w:rsidRPr="00073A5A" w:rsidRDefault="00887E68" w:rsidP="00887E68">
      <w:pPr>
        <w:pStyle w:val="ListParagraph"/>
        <w:numPr>
          <w:ilvl w:val="0"/>
          <w:numId w:val="1"/>
        </w:numPr>
        <w:spacing w:before="40" w:after="40" w:line="300" w:lineRule="auto"/>
        <w:jc w:val="both"/>
        <w:rPr>
          <w:sz w:val="20"/>
          <w:szCs w:val="20"/>
        </w:rPr>
      </w:pPr>
      <w:r w:rsidRPr="00073A5A">
        <w:rPr>
          <w:sz w:val="20"/>
          <w:szCs w:val="20"/>
        </w:rPr>
        <w:t xml:space="preserve">(e) Da li postojeći podzemni kabal („položilo Komunalno preduzeće") odgovara po presjeku, tipu izolacije, dubini polaganja i šemi izvoda funkcionalnim zahtjevima projekta, i kakva je odgovornost ponuđača za eventualne neusaglašenosti koje </w:t>
      </w:r>
      <w:proofErr w:type="gramStart"/>
      <w:r w:rsidRPr="00073A5A">
        <w:rPr>
          <w:sz w:val="20"/>
          <w:szCs w:val="20"/>
        </w:rPr>
        <w:t>će</w:t>
      </w:r>
      <w:proofErr w:type="gramEnd"/>
      <w:r w:rsidRPr="00073A5A">
        <w:rPr>
          <w:sz w:val="20"/>
          <w:szCs w:val="20"/>
        </w:rPr>
        <w:t xml:space="preserve"> biti otkrivene tek nakon ugovaranja?</w:t>
      </w:r>
    </w:p>
    <w:p w:rsidR="00887E68" w:rsidRPr="00073A5A" w:rsidRDefault="00887E68" w:rsidP="00887E68">
      <w:pPr>
        <w:spacing w:before="80" w:after="80" w:line="300" w:lineRule="auto"/>
        <w:jc w:val="both"/>
        <w:rPr>
          <w:sz w:val="20"/>
          <w:szCs w:val="20"/>
        </w:rPr>
      </w:pPr>
      <w:r w:rsidRPr="00073A5A">
        <w:rPr>
          <w:color w:val="000000"/>
          <w:sz w:val="20"/>
          <w:szCs w:val="20"/>
        </w:rPr>
        <w:t xml:space="preserve">Ova pitanja nijesu hipotetska — radi se o materijalnim okolnostima koje direktno utiču </w:t>
      </w:r>
      <w:proofErr w:type="gramStart"/>
      <w:r w:rsidRPr="00073A5A">
        <w:rPr>
          <w:color w:val="000000"/>
          <w:sz w:val="20"/>
          <w:szCs w:val="20"/>
        </w:rPr>
        <w:t>na</w:t>
      </w:r>
      <w:proofErr w:type="gramEnd"/>
      <w:r w:rsidRPr="00073A5A">
        <w:rPr>
          <w:color w:val="000000"/>
          <w:sz w:val="20"/>
          <w:szCs w:val="20"/>
        </w:rPr>
        <w:t xml:space="preserve"> cijenu ponude, raspored radova, garancije i raspodjelu rizika. </w:t>
      </w:r>
      <w:proofErr w:type="gramStart"/>
      <w:r w:rsidRPr="00073A5A">
        <w:rPr>
          <w:color w:val="000000"/>
          <w:sz w:val="20"/>
          <w:szCs w:val="20"/>
        </w:rPr>
        <w:t>Bez razjašnjenja, postojeća tenderska dokumentacija ne omogućava pripremu uporedivih ponuda u smislu člana 5 stav 1 tačka 1 ZJN.</w:t>
      </w:r>
      <w:proofErr w:type="gramEnd"/>
    </w:p>
    <w:p w:rsidR="00887E68" w:rsidRPr="00073A5A" w:rsidRDefault="00887E68" w:rsidP="00887E68">
      <w:pPr>
        <w:spacing w:before="320" w:after="160"/>
        <w:rPr>
          <w:sz w:val="20"/>
          <w:szCs w:val="20"/>
        </w:rPr>
      </w:pPr>
      <w:r w:rsidRPr="00073A5A">
        <w:rPr>
          <w:b/>
          <w:bCs/>
          <w:color w:val="1F4E79"/>
          <w:sz w:val="20"/>
          <w:szCs w:val="20"/>
        </w:rPr>
        <w:t>III. Kumulativni efekat — analiza po članu 88 stav 1 ZJN</w:t>
      </w:r>
    </w:p>
    <w:p w:rsidR="00887E68" w:rsidRPr="00073A5A" w:rsidRDefault="00887E68" w:rsidP="00887E68">
      <w:pPr>
        <w:spacing w:before="80" w:after="80" w:line="300" w:lineRule="auto"/>
        <w:jc w:val="both"/>
        <w:rPr>
          <w:sz w:val="20"/>
          <w:szCs w:val="20"/>
        </w:rPr>
      </w:pPr>
      <w:proofErr w:type="gramStart"/>
      <w:r w:rsidRPr="00073A5A">
        <w:rPr>
          <w:color w:val="000000"/>
          <w:sz w:val="20"/>
          <w:szCs w:val="20"/>
        </w:rPr>
        <w:t>Iako je svaka pojedinačna nepravilnost iz prethodnog poglavlja samostalan osnov za izmjenu tenderske dokumentacije, njihov kumulativni efekat čini sliku potpuno nedvosmislenom.</w:t>
      </w:r>
      <w:proofErr w:type="gramEnd"/>
      <w:r w:rsidRPr="00073A5A">
        <w:rPr>
          <w:color w:val="000000"/>
          <w:sz w:val="20"/>
          <w:szCs w:val="20"/>
        </w:rPr>
        <w:t xml:space="preserve"> U sljedećoj tabeli prikazano je kako kombinacija sporne specifikacije eliminiše konkurenciju:</w:t>
      </w:r>
    </w:p>
    <w:tbl>
      <w:tblPr>
        <w:tblW w:w="900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2548"/>
        <w:gridCol w:w="1046"/>
        <w:gridCol w:w="1108"/>
        <w:gridCol w:w="1618"/>
        <w:gridCol w:w="1762"/>
        <w:gridCol w:w="918"/>
      </w:tblGrid>
      <w:tr w:rsidR="00887E68" w:rsidRPr="00073A5A" w:rsidTr="00D82F93">
        <w:trPr>
          <w:tblHeader/>
        </w:trPr>
        <w:tc>
          <w:tcPr>
            <w:tcW w:w="3500" w:type="dxa"/>
            <w:tcBorders>
              <w:top w:val="single" w:sz="4" w:space="0" w:color="999999"/>
              <w:left w:val="single" w:sz="4" w:space="0" w:color="999999"/>
              <w:bottom w:val="single" w:sz="4" w:space="0" w:color="999999"/>
              <w:right w:val="single" w:sz="4" w:space="0" w:color="999999"/>
            </w:tcBorders>
            <w:shd w:val="clear" w:color="auto" w:fill="D5E8F0"/>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b/>
                <w:bCs/>
                <w:sz w:val="20"/>
                <w:szCs w:val="20"/>
              </w:rPr>
              <w:t>Parametar specifikacije</w:t>
            </w:r>
          </w:p>
        </w:tc>
        <w:tc>
          <w:tcPr>
            <w:tcW w:w="1100" w:type="dxa"/>
            <w:tcBorders>
              <w:top w:val="single" w:sz="4" w:space="0" w:color="999999"/>
              <w:left w:val="single" w:sz="4" w:space="0" w:color="999999"/>
              <w:bottom w:val="single" w:sz="4" w:space="0" w:color="999999"/>
              <w:right w:val="single" w:sz="4" w:space="0" w:color="999999"/>
            </w:tcBorders>
            <w:shd w:val="clear" w:color="auto" w:fill="D5E8F0"/>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b/>
                <w:bCs/>
                <w:sz w:val="20"/>
                <w:szCs w:val="20"/>
              </w:rPr>
              <w:t>iGuzzini Cortina</w:t>
            </w:r>
          </w:p>
        </w:tc>
        <w:tc>
          <w:tcPr>
            <w:tcW w:w="1100" w:type="dxa"/>
            <w:tcBorders>
              <w:top w:val="single" w:sz="4" w:space="0" w:color="999999"/>
              <w:left w:val="single" w:sz="4" w:space="0" w:color="999999"/>
              <w:bottom w:val="single" w:sz="4" w:space="0" w:color="999999"/>
              <w:right w:val="single" w:sz="4" w:space="0" w:color="999999"/>
            </w:tcBorders>
            <w:shd w:val="clear" w:color="auto" w:fill="D5E8F0"/>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b/>
                <w:bCs/>
                <w:sz w:val="20"/>
                <w:szCs w:val="20"/>
              </w:rPr>
              <w:t>Schréder</w:t>
            </w:r>
          </w:p>
        </w:tc>
        <w:tc>
          <w:tcPr>
            <w:tcW w:w="1100" w:type="dxa"/>
            <w:tcBorders>
              <w:top w:val="single" w:sz="4" w:space="0" w:color="999999"/>
              <w:left w:val="single" w:sz="4" w:space="0" w:color="999999"/>
              <w:bottom w:val="single" w:sz="4" w:space="0" w:color="999999"/>
              <w:right w:val="single" w:sz="4" w:space="0" w:color="999999"/>
            </w:tcBorders>
            <w:shd w:val="clear" w:color="auto" w:fill="D5E8F0"/>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b/>
                <w:bCs/>
                <w:sz w:val="20"/>
                <w:szCs w:val="20"/>
              </w:rPr>
              <w:t>Philips/Signify</w:t>
            </w:r>
          </w:p>
        </w:tc>
        <w:tc>
          <w:tcPr>
            <w:tcW w:w="1100" w:type="dxa"/>
            <w:tcBorders>
              <w:top w:val="single" w:sz="4" w:space="0" w:color="999999"/>
              <w:left w:val="single" w:sz="4" w:space="0" w:color="999999"/>
              <w:bottom w:val="single" w:sz="4" w:space="0" w:color="999999"/>
              <w:right w:val="single" w:sz="4" w:space="0" w:color="999999"/>
            </w:tcBorders>
            <w:shd w:val="clear" w:color="auto" w:fill="D5E8F0"/>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b/>
                <w:bCs/>
                <w:sz w:val="20"/>
                <w:szCs w:val="20"/>
              </w:rPr>
              <w:t>Thorn/Zumtobel</w:t>
            </w:r>
          </w:p>
        </w:tc>
        <w:tc>
          <w:tcPr>
            <w:tcW w:w="1100" w:type="dxa"/>
            <w:tcBorders>
              <w:top w:val="single" w:sz="4" w:space="0" w:color="999999"/>
              <w:left w:val="single" w:sz="4" w:space="0" w:color="999999"/>
              <w:bottom w:val="single" w:sz="4" w:space="0" w:color="999999"/>
              <w:right w:val="single" w:sz="4" w:space="0" w:color="999999"/>
            </w:tcBorders>
            <w:shd w:val="clear" w:color="auto" w:fill="D5E8F0"/>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b/>
                <w:bCs/>
                <w:sz w:val="20"/>
                <w:szCs w:val="20"/>
              </w:rPr>
              <w:t>Trilux</w:t>
            </w:r>
          </w:p>
        </w:tc>
      </w:tr>
      <w:tr w:rsidR="00887E68" w:rsidRPr="00073A5A" w:rsidTr="00D82F93">
        <w:tc>
          <w:tcPr>
            <w:tcW w:w="35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rPr>
                <w:sz w:val="20"/>
                <w:szCs w:val="20"/>
              </w:rPr>
            </w:pPr>
            <w:r w:rsidRPr="00073A5A">
              <w:rPr>
                <w:sz w:val="20"/>
                <w:szCs w:val="20"/>
              </w:rPr>
              <w:t>Fluorocirkonacija + nano-</w:t>
            </w:r>
            <w:r w:rsidRPr="00073A5A">
              <w:rPr>
                <w:sz w:val="20"/>
                <w:szCs w:val="20"/>
              </w:rPr>
              <w:lastRenderedPageBreak/>
              <w:t>silanski sloj</w:t>
            </w:r>
          </w:p>
        </w:tc>
        <w:tc>
          <w:tcPr>
            <w:tcW w:w="11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rFonts w:eastAsia="MS Gothic" w:hAnsi="MS Gothic"/>
                <w:b/>
                <w:bCs/>
                <w:sz w:val="20"/>
                <w:szCs w:val="20"/>
              </w:rPr>
              <w:lastRenderedPageBreak/>
              <w:t>✓</w:t>
            </w:r>
          </w:p>
        </w:tc>
        <w:tc>
          <w:tcPr>
            <w:tcW w:w="11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rFonts w:eastAsia="MS Gothic" w:hAnsi="MS Gothic"/>
                <w:sz w:val="20"/>
                <w:szCs w:val="20"/>
              </w:rPr>
              <w:t>✗</w:t>
            </w:r>
          </w:p>
        </w:tc>
        <w:tc>
          <w:tcPr>
            <w:tcW w:w="11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rFonts w:eastAsia="MS Gothic" w:hAnsi="MS Gothic"/>
                <w:sz w:val="20"/>
                <w:szCs w:val="20"/>
              </w:rPr>
              <w:t>✗</w:t>
            </w:r>
          </w:p>
        </w:tc>
        <w:tc>
          <w:tcPr>
            <w:tcW w:w="11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rFonts w:eastAsia="MS Gothic" w:hAnsi="MS Gothic"/>
                <w:sz w:val="20"/>
                <w:szCs w:val="20"/>
              </w:rPr>
              <w:t>✗</w:t>
            </w:r>
          </w:p>
        </w:tc>
        <w:tc>
          <w:tcPr>
            <w:tcW w:w="11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rFonts w:eastAsia="MS Gothic" w:hAnsi="MS Gothic"/>
                <w:sz w:val="20"/>
                <w:szCs w:val="20"/>
              </w:rPr>
              <w:t>✗</w:t>
            </w:r>
          </w:p>
        </w:tc>
      </w:tr>
      <w:tr w:rsidR="00887E68" w:rsidRPr="00073A5A" w:rsidTr="00D82F93">
        <w:tc>
          <w:tcPr>
            <w:tcW w:w="35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rPr>
                <w:sz w:val="20"/>
                <w:szCs w:val="20"/>
              </w:rPr>
            </w:pPr>
            <w:r w:rsidRPr="00073A5A">
              <w:rPr>
                <w:sz w:val="20"/>
                <w:szCs w:val="20"/>
              </w:rPr>
              <w:lastRenderedPageBreak/>
              <w:t>Zasjenjivač Ø 515 mm × h = 76 mm (tačno)</w:t>
            </w:r>
          </w:p>
        </w:tc>
        <w:tc>
          <w:tcPr>
            <w:tcW w:w="11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rFonts w:eastAsia="MS Gothic" w:hAnsi="MS Gothic"/>
                <w:b/>
                <w:bCs/>
                <w:sz w:val="20"/>
                <w:szCs w:val="20"/>
              </w:rPr>
              <w:t>✓</w:t>
            </w:r>
          </w:p>
        </w:tc>
        <w:tc>
          <w:tcPr>
            <w:tcW w:w="11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rFonts w:eastAsia="MS Gothic" w:hAnsi="MS Gothic"/>
                <w:sz w:val="20"/>
                <w:szCs w:val="20"/>
              </w:rPr>
              <w:t>✗</w:t>
            </w:r>
          </w:p>
        </w:tc>
        <w:tc>
          <w:tcPr>
            <w:tcW w:w="11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rFonts w:eastAsia="MS Gothic" w:hAnsi="MS Gothic"/>
                <w:sz w:val="20"/>
                <w:szCs w:val="20"/>
              </w:rPr>
              <w:t>✗</w:t>
            </w:r>
          </w:p>
        </w:tc>
        <w:tc>
          <w:tcPr>
            <w:tcW w:w="11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rFonts w:eastAsia="MS Gothic" w:hAnsi="MS Gothic"/>
                <w:sz w:val="20"/>
                <w:szCs w:val="20"/>
              </w:rPr>
              <w:t>✗</w:t>
            </w:r>
          </w:p>
        </w:tc>
        <w:tc>
          <w:tcPr>
            <w:tcW w:w="11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rFonts w:eastAsia="MS Gothic" w:hAnsi="MS Gothic"/>
                <w:sz w:val="20"/>
                <w:szCs w:val="20"/>
              </w:rPr>
              <w:t>✗</w:t>
            </w:r>
          </w:p>
        </w:tc>
      </w:tr>
      <w:tr w:rsidR="00887E68" w:rsidRPr="00073A5A" w:rsidTr="00D82F93">
        <w:tc>
          <w:tcPr>
            <w:tcW w:w="35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rPr>
                <w:sz w:val="20"/>
                <w:szCs w:val="20"/>
              </w:rPr>
            </w:pPr>
            <w:r w:rsidRPr="00073A5A">
              <w:rPr>
                <w:sz w:val="20"/>
                <w:szCs w:val="20"/>
              </w:rPr>
              <w:t>Snaga tačno 24,5 W / 3.600 lm / 146,9 lm/W</w:t>
            </w:r>
          </w:p>
        </w:tc>
        <w:tc>
          <w:tcPr>
            <w:tcW w:w="11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rFonts w:eastAsia="MS Gothic" w:hAnsi="MS Gothic"/>
                <w:b/>
                <w:bCs/>
                <w:sz w:val="20"/>
                <w:szCs w:val="20"/>
              </w:rPr>
              <w:t>✓</w:t>
            </w:r>
          </w:p>
        </w:tc>
        <w:tc>
          <w:tcPr>
            <w:tcW w:w="11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rFonts w:eastAsia="MS Gothic" w:hAnsi="MS Gothic"/>
                <w:sz w:val="20"/>
                <w:szCs w:val="20"/>
              </w:rPr>
              <w:t>✗</w:t>
            </w:r>
          </w:p>
        </w:tc>
        <w:tc>
          <w:tcPr>
            <w:tcW w:w="11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rFonts w:eastAsia="MS Gothic" w:hAnsi="MS Gothic"/>
                <w:sz w:val="20"/>
                <w:szCs w:val="20"/>
              </w:rPr>
              <w:t>✗</w:t>
            </w:r>
          </w:p>
        </w:tc>
        <w:tc>
          <w:tcPr>
            <w:tcW w:w="11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rFonts w:eastAsia="MS Gothic" w:hAnsi="MS Gothic"/>
                <w:sz w:val="20"/>
                <w:szCs w:val="20"/>
              </w:rPr>
              <w:t>✗</w:t>
            </w:r>
          </w:p>
        </w:tc>
        <w:tc>
          <w:tcPr>
            <w:tcW w:w="11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rFonts w:eastAsia="MS Gothic" w:hAnsi="MS Gothic"/>
                <w:sz w:val="20"/>
                <w:szCs w:val="20"/>
              </w:rPr>
              <w:t>✗</w:t>
            </w:r>
          </w:p>
        </w:tc>
      </w:tr>
      <w:tr w:rsidR="00887E68" w:rsidRPr="00073A5A" w:rsidTr="00D82F93">
        <w:tc>
          <w:tcPr>
            <w:tcW w:w="35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rPr>
                <w:sz w:val="20"/>
                <w:szCs w:val="20"/>
              </w:rPr>
            </w:pPr>
            <w:r w:rsidRPr="00073A5A">
              <w:rPr>
                <w:sz w:val="20"/>
                <w:szCs w:val="20"/>
              </w:rPr>
              <w:t>Snaga tačno 36,4 W / 5.260 lm / 144 lm/W</w:t>
            </w:r>
          </w:p>
        </w:tc>
        <w:tc>
          <w:tcPr>
            <w:tcW w:w="11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rFonts w:eastAsia="MS Gothic" w:hAnsi="MS Gothic"/>
                <w:b/>
                <w:bCs/>
                <w:sz w:val="20"/>
                <w:szCs w:val="20"/>
              </w:rPr>
              <w:t>✓</w:t>
            </w:r>
          </w:p>
        </w:tc>
        <w:tc>
          <w:tcPr>
            <w:tcW w:w="11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rFonts w:eastAsia="MS Gothic" w:hAnsi="MS Gothic"/>
                <w:sz w:val="20"/>
                <w:szCs w:val="20"/>
              </w:rPr>
              <w:t>✗</w:t>
            </w:r>
          </w:p>
        </w:tc>
        <w:tc>
          <w:tcPr>
            <w:tcW w:w="11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rFonts w:eastAsia="MS Gothic" w:hAnsi="MS Gothic"/>
                <w:sz w:val="20"/>
                <w:szCs w:val="20"/>
              </w:rPr>
              <w:t>✗</w:t>
            </w:r>
          </w:p>
        </w:tc>
        <w:tc>
          <w:tcPr>
            <w:tcW w:w="11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rFonts w:eastAsia="MS Gothic" w:hAnsi="MS Gothic"/>
                <w:sz w:val="20"/>
                <w:szCs w:val="20"/>
              </w:rPr>
              <w:t>✗</w:t>
            </w:r>
          </w:p>
        </w:tc>
        <w:tc>
          <w:tcPr>
            <w:tcW w:w="11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rFonts w:eastAsia="MS Gothic" w:hAnsi="MS Gothic"/>
                <w:sz w:val="20"/>
                <w:szCs w:val="20"/>
              </w:rPr>
              <w:t>✗</w:t>
            </w:r>
          </w:p>
        </w:tc>
      </w:tr>
      <w:tr w:rsidR="00887E68" w:rsidRPr="00073A5A" w:rsidTr="00D82F93">
        <w:tc>
          <w:tcPr>
            <w:tcW w:w="35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rPr>
                <w:sz w:val="20"/>
                <w:szCs w:val="20"/>
              </w:rPr>
            </w:pPr>
            <w:r w:rsidRPr="00073A5A">
              <w:rPr>
                <w:sz w:val="20"/>
                <w:szCs w:val="20"/>
              </w:rPr>
              <w:t>Custom konzola + stub + grb (jedinstven dizajn)</w:t>
            </w:r>
          </w:p>
        </w:tc>
        <w:tc>
          <w:tcPr>
            <w:tcW w:w="11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rFonts w:eastAsia="MS Gothic" w:hAnsi="MS Gothic"/>
                <w:sz w:val="20"/>
                <w:szCs w:val="20"/>
              </w:rPr>
              <w:t>◐</w:t>
            </w:r>
          </w:p>
        </w:tc>
        <w:tc>
          <w:tcPr>
            <w:tcW w:w="11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rFonts w:eastAsia="MS Gothic" w:hAnsi="MS Gothic"/>
                <w:sz w:val="20"/>
                <w:szCs w:val="20"/>
              </w:rPr>
              <w:t>✗</w:t>
            </w:r>
          </w:p>
        </w:tc>
        <w:tc>
          <w:tcPr>
            <w:tcW w:w="11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rFonts w:eastAsia="MS Gothic" w:hAnsi="MS Gothic"/>
                <w:sz w:val="20"/>
                <w:szCs w:val="20"/>
              </w:rPr>
              <w:t>✗</w:t>
            </w:r>
          </w:p>
        </w:tc>
        <w:tc>
          <w:tcPr>
            <w:tcW w:w="11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rFonts w:eastAsia="MS Gothic" w:hAnsi="MS Gothic"/>
                <w:sz w:val="20"/>
                <w:szCs w:val="20"/>
              </w:rPr>
              <w:t>✗</w:t>
            </w:r>
          </w:p>
        </w:tc>
        <w:tc>
          <w:tcPr>
            <w:tcW w:w="11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rFonts w:eastAsia="MS Gothic" w:hAnsi="MS Gothic"/>
                <w:sz w:val="20"/>
                <w:szCs w:val="20"/>
              </w:rPr>
              <w:t>✗</w:t>
            </w:r>
          </w:p>
        </w:tc>
      </w:tr>
      <w:tr w:rsidR="00887E68" w:rsidRPr="00073A5A" w:rsidTr="00D82F93">
        <w:tc>
          <w:tcPr>
            <w:tcW w:w="35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rPr>
                <w:sz w:val="20"/>
                <w:szCs w:val="20"/>
              </w:rPr>
            </w:pPr>
            <w:r w:rsidRPr="00073A5A">
              <w:rPr>
                <w:b/>
                <w:bCs/>
                <w:sz w:val="20"/>
                <w:szCs w:val="20"/>
              </w:rPr>
              <w:t>„Alternativna rješenja nijesu dozvoljena"</w:t>
            </w:r>
          </w:p>
        </w:tc>
        <w:tc>
          <w:tcPr>
            <w:tcW w:w="11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rFonts w:eastAsia="MS Gothic" w:hAnsi="MS Gothic"/>
                <w:b/>
                <w:bCs/>
                <w:sz w:val="20"/>
                <w:szCs w:val="20"/>
              </w:rPr>
              <w:t>✓</w:t>
            </w:r>
          </w:p>
        </w:tc>
        <w:tc>
          <w:tcPr>
            <w:tcW w:w="11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rFonts w:eastAsia="MS Gothic" w:hAnsi="MS Gothic"/>
                <w:sz w:val="20"/>
                <w:szCs w:val="20"/>
              </w:rPr>
              <w:t>✗</w:t>
            </w:r>
          </w:p>
        </w:tc>
        <w:tc>
          <w:tcPr>
            <w:tcW w:w="11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rFonts w:eastAsia="MS Gothic" w:hAnsi="MS Gothic"/>
                <w:sz w:val="20"/>
                <w:szCs w:val="20"/>
              </w:rPr>
              <w:t>✗</w:t>
            </w:r>
          </w:p>
        </w:tc>
        <w:tc>
          <w:tcPr>
            <w:tcW w:w="11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rFonts w:eastAsia="MS Gothic" w:hAnsi="MS Gothic"/>
                <w:sz w:val="20"/>
                <w:szCs w:val="20"/>
              </w:rPr>
              <w:t>✗</w:t>
            </w:r>
          </w:p>
        </w:tc>
        <w:tc>
          <w:tcPr>
            <w:tcW w:w="11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rFonts w:eastAsia="MS Gothic" w:hAnsi="MS Gothic"/>
                <w:sz w:val="20"/>
                <w:szCs w:val="20"/>
              </w:rPr>
              <w:t>✗</w:t>
            </w:r>
          </w:p>
        </w:tc>
      </w:tr>
      <w:tr w:rsidR="00887E68" w:rsidRPr="00073A5A" w:rsidTr="00D82F93">
        <w:tc>
          <w:tcPr>
            <w:tcW w:w="3500" w:type="dxa"/>
            <w:tcBorders>
              <w:top w:val="single" w:sz="4" w:space="0" w:color="999999"/>
              <w:left w:val="single" w:sz="4" w:space="0" w:color="999999"/>
              <w:bottom w:val="single" w:sz="4" w:space="0" w:color="999999"/>
              <w:right w:val="single" w:sz="4" w:space="0" w:color="999999"/>
            </w:tcBorders>
            <w:shd w:val="clear" w:color="auto" w:fill="D5E8F0"/>
            <w:tcMar>
              <w:top w:w="100" w:type="dxa"/>
              <w:left w:w="120" w:type="dxa"/>
              <w:bottom w:w="100" w:type="dxa"/>
              <w:right w:w="120" w:type="dxa"/>
            </w:tcMar>
            <w:vAlign w:val="center"/>
          </w:tcPr>
          <w:p w:rsidR="00887E68" w:rsidRPr="00073A5A" w:rsidRDefault="00887E68" w:rsidP="00D82F93">
            <w:pPr>
              <w:rPr>
                <w:sz w:val="20"/>
                <w:szCs w:val="20"/>
              </w:rPr>
            </w:pPr>
            <w:r w:rsidRPr="00073A5A">
              <w:rPr>
                <w:b/>
                <w:bCs/>
                <w:sz w:val="20"/>
                <w:szCs w:val="20"/>
              </w:rPr>
              <w:t>ZBIRNO ZADOVOLJENJE SVIH ZAHTJEVA</w:t>
            </w:r>
          </w:p>
        </w:tc>
        <w:tc>
          <w:tcPr>
            <w:tcW w:w="1100" w:type="dxa"/>
            <w:tcBorders>
              <w:top w:val="single" w:sz="4" w:space="0" w:color="999999"/>
              <w:left w:val="single" w:sz="4" w:space="0" w:color="999999"/>
              <w:bottom w:val="single" w:sz="4" w:space="0" w:color="999999"/>
              <w:right w:val="single" w:sz="4" w:space="0" w:color="999999"/>
            </w:tcBorders>
            <w:shd w:val="clear" w:color="auto" w:fill="D5E8F0"/>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rFonts w:eastAsia="MS Gothic" w:hAnsi="MS Gothic"/>
                <w:b/>
                <w:bCs/>
                <w:sz w:val="20"/>
                <w:szCs w:val="20"/>
              </w:rPr>
              <w:t>✓</w:t>
            </w:r>
          </w:p>
        </w:tc>
        <w:tc>
          <w:tcPr>
            <w:tcW w:w="1100" w:type="dxa"/>
            <w:tcBorders>
              <w:top w:val="single" w:sz="4" w:space="0" w:color="999999"/>
              <w:left w:val="single" w:sz="4" w:space="0" w:color="999999"/>
              <w:bottom w:val="single" w:sz="4" w:space="0" w:color="999999"/>
              <w:right w:val="single" w:sz="4" w:space="0" w:color="999999"/>
            </w:tcBorders>
            <w:shd w:val="clear" w:color="auto" w:fill="D5E8F0"/>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rFonts w:eastAsia="MS Gothic" w:hAnsi="MS Gothic"/>
                <w:b/>
                <w:bCs/>
                <w:sz w:val="20"/>
                <w:szCs w:val="20"/>
              </w:rPr>
              <w:t>✗</w:t>
            </w:r>
          </w:p>
        </w:tc>
        <w:tc>
          <w:tcPr>
            <w:tcW w:w="1100" w:type="dxa"/>
            <w:tcBorders>
              <w:top w:val="single" w:sz="4" w:space="0" w:color="999999"/>
              <w:left w:val="single" w:sz="4" w:space="0" w:color="999999"/>
              <w:bottom w:val="single" w:sz="4" w:space="0" w:color="999999"/>
              <w:right w:val="single" w:sz="4" w:space="0" w:color="999999"/>
            </w:tcBorders>
            <w:shd w:val="clear" w:color="auto" w:fill="D5E8F0"/>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rFonts w:eastAsia="MS Gothic" w:hAnsi="MS Gothic"/>
                <w:b/>
                <w:bCs/>
                <w:sz w:val="20"/>
                <w:szCs w:val="20"/>
              </w:rPr>
              <w:t>✗</w:t>
            </w:r>
          </w:p>
        </w:tc>
        <w:tc>
          <w:tcPr>
            <w:tcW w:w="1100" w:type="dxa"/>
            <w:tcBorders>
              <w:top w:val="single" w:sz="4" w:space="0" w:color="999999"/>
              <w:left w:val="single" w:sz="4" w:space="0" w:color="999999"/>
              <w:bottom w:val="single" w:sz="4" w:space="0" w:color="999999"/>
              <w:right w:val="single" w:sz="4" w:space="0" w:color="999999"/>
            </w:tcBorders>
            <w:shd w:val="clear" w:color="auto" w:fill="D5E8F0"/>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rFonts w:eastAsia="MS Gothic" w:hAnsi="MS Gothic"/>
                <w:b/>
                <w:bCs/>
                <w:sz w:val="20"/>
                <w:szCs w:val="20"/>
              </w:rPr>
              <w:t>✗</w:t>
            </w:r>
          </w:p>
        </w:tc>
        <w:tc>
          <w:tcPr>
            <w:tcW w:w="1100" w:type="dxa"/>
            <w:tcBorders>
              <w:top w:val="single" w:sz="4" w:space="0" w:color="999999"/>
              <w:left w:val="single" w:sz="4" w:space="0" w:color="999999"/>
              <w:bottom w:val="single" w:sz="4" w:space="0" w:color="999999"/>
              <w:right w:val="single" w:sz="4" w:space="0" w:color="999999"/>
            </w:tcBorders>
            <w:shd w:val="clear" w:color="auto" w:fill="D5E8F0"/>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rFonts w:eastAsia="MS Gothic" w:hAnsi="MS Gothic"/>
                <w:b/>
                <w:bCs/>
                <w:sz w:val="20"/>
                <w:szCs w:val="20"/>
              </w:rPr>
              <w:t>✗</w:t>
            </w:r>
          </w:p>
        </w:tc>
      </w:tr>
    </w:tbl>
    <w:p w:rsidR="00887E68" w:rsidRPr="00073A5A" w:rsidRDefault="00887E68" w:rsidP="00887E68">
      <w:pPr>
        <w:spacing w:before="200" w:after="80" w:line="300" w:lineRule="auto"/>
        <w:jc w:val="both"/>
        <w:rPr>
          <w:sz w:val="20"/>
          <w:szCs w:val="20"/>
        </w:rPr>
      </w:pPr>
      <w:r w:rsidRPr="00073A5A">
        <w:rPr>
          <w:iCs/>
          <w:color w:val="000000"/>
          <w:sz w:val="20"/>
          <w:szCs w:val="20"/>
        </w:rPr>
        <w:t xml:space="preserve">Legenda: </w:t>
      </w:r>
      <w:r w:rsidRPr="00073A5A">
        <w:rPr>
          <w:rFonts w:eastAsia="MS Gothic" w:hAnsi="MS Gothic"/>
          <w:iCs/>
          <w:color w:val="000000"/>
          <w:sz w:val="20"/>
          <w:szCs w:val="20"/>
        </w:rPr>
        <w:t>✓</w:t>
      </w:r>
      <w:r w:rsidRPr="00073A5A">
        <w:rPr>
          <w:iCs/>
          <w:color w:val="000000"/>
          <w:sz w:val="20"/>
          <w:szCs w:val="20"/>
        </w:rPr>
        <w:t xml:space="preserve"> — proizvođač zadovoljava parametar; </w:t>
      </w:r>
      <w:r w:rsidRPr="00073A5A">
        <w:rPr>
          <w:rFonts w:eastAsia="MS Gothic" w:hAnsi="MS Gothic"/>
          <w:iCs/>
          <w:color w:val="000000"/>
          <w:sz w:val="20"/>
          <w:szCs w:val="20"/>
        </w:rPr>
        <w:t>✗</w:t>
      </w:r>
      <w:r w:rsidRPr="00073A5A">
        <w:rPr>
          <w:iCs/>
          <w:color w:val="000000"/>
          <w:sz w:val="20"/>
          <w:szCs w:val="20"/>
        </w:rPr>
        <w:t xml:space="preserve"> — proizvođač ne zadovoljava parametar zbog brand-specifičnih elemenata specifikacije; </w:t>
      </w:r>
      <w:r w:rsidRPr="00073A5A">
        <w:rPr>
          <w:rFonts w:eastAsia="MS Gothic" w:hAnsi="MS Gothic"/>
          <w:iCs/>
          <w:color w:val="000000"/>
          <w:sz w:val="20"/>
          <w:szCs w:val="20"/>
        </w:rPr>
        <w:t>◐</w:t>
      </w:r>
      <w:r w:rsidRPr="00073A5A">
        <w:rPr>
          <w:iCs/>
          <w:color w:val="000000"/>
          <w:sz w:val="20"/>
          <w:szCs w:val="20"/>
        </w:rPr>
        <w:t xml:space="preserve"> — moguće je samo putem dodatne custom proizvodnje koja eliminiše prednost serijske proizvodnje.</w:t>
      </w:r>
    </w:p>
    <w:p w:rsidR="00887E68" w:rsidRPr="00073A5A" w:rsidRDefault="00887E68" w:rsidP="00887E68">
      <w:pPr>
        <w:spacing w:before="80" w:after="80" w:line="300" w:lineRule="auto"/>
        <w:jc w:val="both"/>
        <w:rPr>
          <w:sz w:val="20"/>
          <w:szCs w:val="20"/>
        </w:rPr>
      </w:pPr>
      <w:proofErr w:type="gramStart"/>
      <w:r w:rsidRPr="00073A5A">
        <w:rPr>
          <w:color w:val="000000"/>
          <w:sz w:val="20"/>
          <w:szCs w:val="20"/>
        </w:rPr>
        <w:t>Iz tabele je jasno da samo iGuzzini može simultano zadovoljiti sve sporne parametre, dok svi ostali ozbiljni evropski proizvođači uličnog osvjetljenja otpadaju zbog kombinacije parametara koji nemaju funkcionalno opravdanje.</w:t>
      </w:r>
      <w:proofErr w:type="gramEnd"/>
      <w:r w:rsidRPr="00073A5A">
        <w:rPr>
          <w:color w:val="000000"/>
          <w:sz w:val="20"/>
          <w:szCs w:val="20"/>
        </w:rPr>
        <w:t xml:space="preserve"> Ovo je definicijski kumulativni efekat (čl. 88 st. 1 ZJN) — efekat ograničavanja konkurencije, nezavisno </w:t>
      </w:r>
      <w:proofErr w:type="gramStart"/>
      <w:r w:rsidRPr="00073A5A">
        <w:rPr>
          <w:color w:val="000000"/>
          <w:sz w:val="20"/>
          <w:szCs w:val="20"/>
        </w:rPr>
        <w:t>od</w:t>
      </w:r>
      <w:proofErr w:type="gramEnd"/>
      <w:r w:rsidRPr="00073A5A">
        <w:rPr>
          <w:color w:val="000000"/>
          <w:sz w:val="20"/>
          <w:szCs w:val="20"/>
        </w:rPr>
        <w:t xml:space="preserve"> subjektivne namjere naručioca.</w:t>
      </w:r>
    </w:p>
    <w:p w:rsidR="00887E68" w:rsidRPr="00073A5A" w:rsidRDefault="00887E68" w:rsidP="00887E68">
      <w:pPr>
        <w:spacing w:before="320" w:after="160"/>
        <w:rPr>
          <w:sz w:val="20"/>
          <w:szCs w:val="20"/>
        </w:rPr>
      </w:pPr>
      <w:r w:rsidRPr="00073A5A">
        <w:rPr>
          <w:b/>
          <w:bCs/>
          <w:color w:val="1F4E79"/>
          <w:sz w:val="20"/>
          <w:szCs w:val="20"/>
        </w:rPr>
        <w:t>IV. Pravni zaključak</w:t>
      </w:r>
    </w:p>
    <w:p w:rsidR="00887E68" w:rsidRPr="00073A5A" w:rsidRDefault="00887E68" w:rsidP="00887E68">
      <w:pPr>
        <w:spacing w:before="80" w:after="80" w:line="300" w:lineRule="auto"/>
        <w:jc w:val="both"/>
        <w:rPr>
          <w:sz w:val="20"/>
          <w:szCs w:val="20"/>
        </w:rPr>
      </w:pPr>
      <w:r w:rsidRPr="00073A5A">
        <w:rPr>
          <w:color w:val="000000"/>
          <w:sz w:val="20"/>
          <w:szCs w:val="20"/>
        </w:rPr>
        <w:t xml:space="preserve">Na osnovu sveukupne analize odgovora naručioca </w:t>
      </w:r>
      <w:proofErr w:type="gramStart"/>
      <w:r w:rsidRPr="00073A5A">
        <w:rPr>
          <w:color w:val="000000"/>
          <w:sz w:val="20"/>
          <w:szCs w:val="20"/>
        </w:rPr>
        <w:t>od</w:t>
      </w:r>
      <w:proofErr w:type="gramEnd"/>
      <w:r w:rsidRPr="00073A5A">
        <w:rPr>
          <w:color w:val="000000"/>
          <w:sz w:val="20"/>
          <w:szCs w:val="20"/>
        </w:rPr>
        <w:t xml:space="preserve"> 20.05.2026. </w:t>
      </w:r>
      <w:proofErr w:type="gramStart"/>
      <w:r w:rsidRPr="00073A5A">
        <w:rPr>
          <w:color w:val="000000"/>
          <w:sz w:val="20"/>
          <w:szCs w:val="20"/>
        </w:rPr>
        <w:t>godine</w:t>
      </w:r>
      <w:proofErr w:type="gramEnd"/>
      <w:r w:rsidRPr="00073A5A">
        <w:rPr>
          <w:color w:val="000000"/>
          <w:sz w:val="20"/>
          <w:szCs w:val="20"/>
        </w:rPr>
        <w:t>, utvrđuju se sljedeće povrede odredaba ZJN, koje sve zajedno (ali i svaka posebno) predstavljaju osnov za izmjenu tenderske dokumentacije:</w:t>
      </w:r>
    </w:p>
    <w:tbl>
      <w:tblPr>
        <w:tblW w:w="900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1500"/>
        <w:gridCol w:w="4500"/>
        <w:gridCol w:w="3000"/>
      </w:tblGrid>
      <w:tr w:rsidR="00887E68" w:rsidRPr="00073A5A" w:rsidTr="00D82F93">
        <w:trPr>
          <w:tblHeader/>
        </w:trPr>
        <w:tc>
          <w:tcPr>
            <w:tcW w:w="1500" w:type="dxa"/>
            <w:tcBorders>
              <w:top w:val="single" w:sz="4" w:space="0" w:color="999999"/>
              <w:left w:val="single" w:sz="4" w:space="0" w:color="999999"/>
              <w:bottom w:val="single" w:sz="4" w:space="0" w:color="999999"/>
              <w:right w:val="single" w:sz="4" w:space="0" w:color="999999"/>
            </w:tcBorders>
            <w:shd w:val="clear" w:color="auto" w:fill="D5E8F0"/>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b/>
                <w:bCs/>
                <w:sz w:val="20"/>
                <w:szCs w:val="20"/>
              </w:rPr>
              <w:t>Član ZJN</w:t>
            </w:r>
          </w:p>
        </w:tc>
        <w:tc>
          <w:tcPr>
            <w:tcW w:w="4500" w:type="dxa"/>
            <w:tcBorders>
              <w:top w:val="single" w:sz="4" w:space="0" w:color="999999"/>
              <w:left w:val="single" w:sz="4" w:space="0" w:color="999999"/>
              <w:bottom w:val="single" w:sz="4" w:space="0" w:color="999999"/>
              <w:right w:val="single" w:sz="4" w:space="0" w:color="999999"/>
            </w:tcBorders>
            <w:shd w:val="clear" w:color="auto" w:fill="D5E8F0"/>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b/>
                <w:bCs/>
                <w:sz w:val="20"/>
                <w:szCs w:val="20"/>
              </w:rPr>
              <w:t>Sadržaj povrede</w:t>
            </w:r>
          </w:p>
        </w:tc>
        <w:tc>
          <w:tcPr>
            <w:tcW w:w="3000" w:type="dxa"/>
            <w:tcBorders>
              <w:top w:val="single" w:sz="4" w:space="0" w:color="999999"/>
              <w:left w:val="single" w:sz="4" w:space="0" w:color="999999"/>
              <w:bottom w:val="single" w:sz="4" w:space="0" w:color="999999"/>
              <w:right w:val="single" w:sz="4" w:space="0" w:color="999999"/>
            </w:tcBorders>
            <w:shd w:val="clear" w:color="auto" w:fill="D5E8F0"/>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b/>
                <w:bCs/>
                <w:sz w:val="20"/>
                <w:szCs w:val="20"/>
              </w:rPr>
              <w:t>Osnov u odgovoru naručioca</w:t>
            </w:r>
          </w:p>
        </w:tc>
      </w:tr>
      <w:tr w:rsidR="00887E68" w:rsidRPr="00073A5A" w:rsidTr="00D82F93">
        <w:tc>
          <w:tcPr>
            <w:tcW w:w="15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b/>
                <w:bCs/>
                <w:sz w:val="20"/>
                <w:szCs w:val="20"/>
              </w:rPr>
              <w:t>Čl. 5</w:t>
            </w:r>
          </w:p>
        </w:tc>
        <w:tc>
          <w:tcPr>
            <w:tcW w:w="45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rPr>
                <w:sz w:val="20"/>
                <w:szCs w:val="20"/>
              </w:rPr>
            </w:pPr>
            <w:r w:rsidRPr="00073A5A">
              <w:rPr>
                <w:sz w:val="20"/>
                <w:szCs w:val="20"/>
              </w:rPr>
              <w:t>Ekonomičnost i efikasnost — custom rješenje radi „jedinstvenosti" povećava troškove iznad funkcionalno opravdanog nivoa</w:t>
            </w:r>
          </w:p>
        </w:tc>
        <w:tc>
          <w:tcPr>
            <w:tcW w:w="30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rPr>
                <w:sz w:val="20"/>
                <w:szCs w:val="20"/>
              </w:rPr>
            </w:pPr>
            <w:r w:rsidRPr="00073A5A">
              <w:rPr>
                <w:sz w:val="20"/>
                <w:szCs w:val="20"/>
              </w:rPr>
              <w:t>„Žabljak želi i zaslužuje jedinstveni element"</w:t>
            </w:r>
          </w:p>
        </w:tc>
      </w:tr>
      <w:tr w:rsidR="00887E68" w:rsidRPr="00073A5A" w:rsidTr="00D82F93">
        <w:tc>
          <w:tcPr>
            <w:tcW w:w="15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b/>
                <w:bCs/>
                <w:sz w:val="20"/>
                <w:szCs w:val="20"/>
              </w:rPr>
              <w:t>Čl. 7</w:t>
            </w:r>
          </w:p>
        </w:tc>
        <w:tc>
          <w:tcPr>
            <w:tcW w:w="45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rPr>
                <w:sz w:val="20"/>
                <w:szCs w:val="20"/>
              </w:rPr>
            </w:pPr>
            <w:r w:rsidRPr="00073A5A">
              <w:rPr>
                <w:sz w:val="20"/>
                <w:szCs w:val="20"/>
              </w:rPr>
              <w:t>Obezbjeđenje konkurencije — kombinacija parametara isključuje sve osim jednog proizvođača</w:t>
            </w:r>
          </w:p>
        </w:tc>
        <w:tc>
          <w:tcPr>
            <w:tcW w:w="30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rPr>
                <w:sz w:val="20"/>
                <w:szCs w:val="20"/>
              </w:rPr>
            </w:pPr>
            <w:r w:rsidRPr="00073A5A">
              <w:rPr>
                <w:sz w:val="20"/>
                <w:szCs w:val="20"/>
              </w:rPr>
              <w:t>Eksplicitno priznanje „odabira dizajna" + zabrana alternativa</w:t>
            </w:r>
          </w:p>
        </w:tc>
      </w:tr>
      <w:tr w:rsidR="00887E68" w:rsidRPr="00073A5A" w:rsidTr="00D82F93">
        <w:tc>
          <w:tcPr>
            <w:tcW w:w="15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b/>
                <w:bCs/>
                <w:sz w:val="20"/>
                <w:szCs w:val="20"/>
              </w:rPr>
              <w:t>Čl. 10</w:t>
            </w:r>
          </w:p>
        </w:tc>
        <w:tc>
          <w:tcPr>
            <w:tcW w:w="45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rPr>
                <w:sz w:val="20"/>
                <w:szCs w:val="20"/>
              </w:rPr>
            </w:pPr>
            <w:r w:rsidRPr="00073A5A">
              <w:rPr>
                <w:sz w:val="20"/>
                <w:szCs w:val="20"/>
              </w:rPr>
              <w:t>Jednakost i nediskriminacija — brand fingerprint elementi specifikacije diskriminišu sve konkurentne proizvođače</w:t>
            </w:r>
          </w:p>
        </w:tc>
        <w:tc>
          <w:tcPr>
            <w:tcW w:w="30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rPr>
                <w:sz w:val="20"/>
                <w:szCs w:val="20"/>
              </w:rPr>
            </w:pPr>
            <w:r w:rsidRPr="00073A5A">
              <w:rPr>
                <w:sz w:val="20"/>
                <w:szCs w:val="20"/>
              </w:rPr>
              <w:t>Nije odgovoreno na pitanja o tačnim dimenzijama i snagama</w:t>
            </w:r>
          </w:p>
        </w:tc>
      </w:tr>
    </w:tbl>
    <w:p w:rsidR="00887E68" w:rsidRPr="00073A5A" w:rsidRDefault="00887E68" w:rsidP="00887E68">
      <w:pPr>
        <w:rPr>
          <w:sz w:val="20"/>
          <w:szCs w:val="20"/>
        </w:rPr>
      </w:pPr>
    </w:p>
    <w:tbl>
      <w:tblPr>
        <w:tblW w:w="900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1500"/>
        <w:gridCol w:w="4500"/>
        <w:gridCol w:w="3000"/>
      </w:tblGrid>
      <w:tr w:rsidR="00887E68" w:rsidRPr="00073A5A" w:rsidTr="00D82F93">
        <w:tc>
          <w:tcPr>
            <w:tcW w:w="15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b/>
                <w:bCs/>
                <w:sz w:val="20"/>
                <w:szCs w:val="20"/>
              </w:rPr>
              <w:t>Čl. 12</w:t>
            </w:r>
          </w:p>
        </w:tc>
        <w:tc>
          <w:tcPr>
            <w:tcW w:w="45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rPr>
                <w:sz w:val="20"/>
                <w:szCs w:val="20"/>
              </w:rPr>
            </w:pPr>
            <w:r w:rsidRPr="00073A5A">
              <w:rPr>
                <w:sz w:val="20"/>
                <w:szCs w:val="20"/>
              </w:rPr>
              <w:t>Srazmjernost — estetska aspiracija nije srazmjerno opravdanje za isključenje konkurencije</w:t>
            </w:r>
          </w:p>
        </w:tc>
        <w:tc>
          <w:tcPr>
            <w:tcW w:w="30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rPr>
                <w:sz w:val="20"/>
                <w:szCs w:val="20"/>
              </w:rPr>
            </w:pPr>
            <w:r w:rsidRPr="00073A5A">
              <w:rPr>
                <w:sz w:val="20"/>
                <w:szCs w:val="20"/>
              </w:rPr>
              <w:t>„Želi i zaslužuje" kao opravdanje</w:t>
            </w:r>
          </w:p>
        </w:tc>
      </w:tr>
      <w:tr w:rsidR="00887E68" w:rsidRPr="00073A5A" w:rsidTr="00D82F93">
        <w:tc>
          <w:tcPr>
            <w:tcW w:w="15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b/>
                <w:bCs/>
                <w:sz w:val="20"/>
                <w:szCs w:val="20"/>
              </w:rPr>
              <w:lastRenderedPageBreak/>
              <w:t>Čl. 41</w:t>
            </w:r>
          </w:p>
        </w:tc>
        <w:tc>
          <w:tcPr>
            <w:tcW w:w="45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rPr>
                <w:sz w:val="20"/>
                <w:szCs w:val="20"/>
              </w:rPr>
            </w:pPr>
            <w:r w:rsidRPr="00073A5A">
              <w:rPr>
                <w:sz w:val="20"/>
                <w:szCs w:val="20"/>
              </w:rPr>
              <w:t>Sukob interesa — pitanje o statusu projektanta nije odgovoreno; nema izjave o nepostojanju sukoba</w:t>
            </w:r>
          </w:p>
        </w:tc>
        <w:tc>
          <w:tcPr>
            <w:tcW w:w="30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rPr>
                <w:sz w:val="20"/>
                <w:szCs w:val="20"/>
              </w:rPr>
            </w:pPr>
            <w:r w:rsidRPr="00073A5A">
              <w:rPr>
                <w:sz w:val="20"/>
                <w:szCs w:val="20"/>
              </w:rPr>
              <w:t>Naručilac uopšte ne pominje član 41</w:t>
            </w:r>
          </w:p>
        </w:tc>
      </w:tr>
      <w:tr w:rsidR="00887E68" w:rsidRPr="00073A5A" w:rsidTr="00D82F93">
        <w:tc>
          <w:tcPr>
            <w:tcW w:w="15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b/>
                <w:bCs/>
                <w:sz w:val="20"/>
                <w:szCs w:val="20"/>
              </w:rPr>
              <w:t>Čl. 82 st. 4</w:t>
            </w:r>
          </w:p>
        </w:tc>
        <w:tc>
          <w:tcPr>
            <w:tcW w:w="45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rPr>
                <w:sz w:val="20"/>
                <w:szCs w:val="20"/>
              </w:rPr>
            </w:pPr>
            <w:r w:rsidRPr="00073A5A">
              <w:rPr>
                <w:sz w:val="20"/>
                <w:szCs w:val="20"/>
              </w:rPr>
              <w:t>Procjena vrijednosti — nedostavljen svjetlotehnički proračun na kojem se specifikacija navodno zasniva</w:t>
            </w:r>
          </w:p>
        </w:tc>
        <w:tc>
          <w:tcPr>
            <w:tcW w:w="30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rPr>
                <w:sz w:val="20"/>
                <w:szCs w:val="20"/>
              </w:rPr>
            </w:pPr>
            <w:r w:rsidRPr="00073A5A">
              <w:rPr>
                <w:sz w:val="20"/>
                <w:szCs w:val="20"/>
              </w:rPr>
              <w:t>Pominje se proračun, ali nije dostavljen</w:t>
            </w:r>
          </w:p>
        </w:tc>
      </w:tr>
      <w:tr w:rsidR="00887E68" w:rsidRPr="00073A5A" w:rsidTr="00D82F93">
        <w:tc>
          <w:tcPr>
            <w:tcW w:w="15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b/>
                <w:bCs/>
                <w:sz w:val="20"/>
                <w:szCs w:val="20"/>
              </w:rPr>
              <w:t>Čl. 85</w:t>
            </w:r>
          </w:p>
        </w:tc>
        <w:tc>
          <w:tcPr>
            <w:tcW w:w="45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rPr>
                <w:sz w:val="20"/>
                <w:szCs w:val="20"/>
              </w:rPr>
            </w:pPr>
            <w:r w:rsidRPr="00073A5A">
              <w:rPr>
                <w:sz w:val="20"/>
                <w:szCs w:val="20"/>
              </w:rPr>
              <w:t>Transparentnost tehničkih specifikacija — projektantov „dizajn" prevladava nad funkcionalnim zahtjevima</w:t>
            </w:r>
          </w:p>
        </w:tc>
        <w:tc>
          <w:tcPr>
            <w:tcW w:w="30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rsidR="00887E68" w:rsidRPr="00073A5A" w:rsidRDefault="00887E68" w:rsidP="00D82F93">
            <w:pPr>
              <w:rPr>
                <w:sz w:val="20"/>
                <w:szCs w:val="20"/>
              </w:rPr>
            </w:pPr>
            <w:r w:rsidRPr="00073A5A">
              <w:rPr>
                <w:sz w:val="20"/>
                <w:szCs w:val="20"/>
              </w:rPr>
              <w:t>„Projektant zadržava pravo da... preciznije opiše"</w:t>
            </w:r>
          </w:p>
        </w:tc>
      </w:tr>
      <w:tr w:rsidR="00887E68" w:rsidRPr="00073A5A" w:rsidTr="00D82F93">
        <w:tc>
          <w:tcPr>
            <w:tcW w:w="1500" w:type="dxa"/>
            <w:tcBorders>
              <w:top w:val="single" w:sz="4" w:space="0" w:color="999999"/>
              <w:left w:val="single" w:sz="4" w:space="0" w:color="999999"/>
              <w:bottom w:val="single" w:sz="4" w:space="0" w:color="999999"/>
              <w:right w:val="single" w:sz="4" w:space="0" w:color="999999"/>
            </w:tcBorders>
            <w:shd w:val="clear" w:color="auto" w:fill="FFE6E6"/>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b/>
                <w:bCs/>
                <w:sz w:val="20"/>
                <w:szCs w:val="20"/>
              </w:rPr>
              <w:t>Čl. 88 st. 1</w:t>
            </w:r>
          </w:p>
        </w:tc>
        <w:tc>
          <w:tcPr>
            <w:tcW w:w="4500" w:type="dxa"/>
            <w:tcBorders>
              <w:top w:val="single" w:sz="4" w:space="0" w:color="999999"/>
              <w:left w:val="single" w:sz="4" w:space="0" w:color="999999"/>
              <w:bottom w:val="single" w:sz="4" w:space="0" w:color="999999"/>
              <w:right w:val="single" w:sz="4" w:space="0" w:color="999999"/>
            </w:tcBorders>
            <w:shd w:val="clear" w:color="auto" w:fill="FFE6E6"/>
            <w:tcMar>
              <w:top w:w="100" w:type="dxa"/>
              <w:left w:w="120" w:type="dxa"/>
              <w:bottom w:w="100" w:type="dxa"/>
              <w:right w:w="120" w:type="dxa"/>
            </w:tcMar>
            <w:vAlign w:val="center"/>
          </w:tcPr>
          <w:p w:rsidR="00887E68" w:rsidRPr="00073A5A" w:rsidRDefault="00887E68" w:rsidP="00D82F93">
            <w:pPr>
              <w:rPr>
                <w:sz w:val="20"/>
                <w:szCs w:val="20"/>
              </w:rPr>
            </w:pPr>
            <w:r w:rsidRPr="00073A5A">
              <w:rPr>
                <w:sz w:val="20"/>
                <w:szCs w:val="20"/>
              </w:rPr>
              <w:t>Kumulativni efekat specifikacije — eliminacija svih osim jednog ponuđača</w:t>
            </w:r>
          </w:p>
        </w:tc>
        <w:tc>
          <w:tcPr>
            <w:tcW w:w="3000" w:type="dxa"/>
            <w:tcBorders>
              <w:top w:val="single" w:sz="4" w:space="0" w:color="999999"/>
              <w:left w:val="single" w:sz="4" w:space="0" w:color="999999"/>
              <w:bottom w:val="single" w:sz="4" w:space="0" w:color="999999"/>
              <w:right w:val="single" w:sz="4" w:space="0" w:color="999999"/>
            </w:tcBorders>
            <w:shd w:val="clear" w:color="auto" w:fill="FFE6E6"/>
            <w:tcMar>
              <w:top w:w="100" w:type="dxa"/>
              <w:left w:w="120" w:type="dxa"/>
              <w:bottom w:w="100" w:type="dxa"/>
              <w:right w:w="120" w:type="dxa"/>
            </w:tcMar>
            <w:vAlign w:val="center"/>
          </w:tcPr>
          <w:p w:rsidR="00887E68" w:rsidRPr="00073A5A" w:rsidRDefault="00887E68" w:rsidP="00D82F93">
            <w:pPr>
              <w:rPr>
                <w:sz w:val="20"/>
                <w:szCs w:val="20"/>
              </w:rPr>
            </w:pPr>
            <w:r w:rsidRPr="00073A5A">
              <w:rPr>
                <w:sz w:val="20"/>
                <w:szCs w:val="20"/>
              </w:rPr>
              <w:t>Dokazano upoređivanjem proizvođača</w:t>
            </w:r>
          </w:p>
        </w:tc>
      </w:tr>
      <w:tr w:rsidR="00887E68" w:rsidRPr="00073A5A" w:rsidTr="00D82F93">
        <w:tc>
          <w:tcPr>
            <w:tcW w:w="1500" w:type="dxa"/>
            <w:tcBorders>
              <w:top w:val="single" w:sz="4" w:space="0" w:color="999999"/>
              <w:left w:val="single" w:sz="4" w:space="0" w:color="999999"/>
              <w:bottom w:val="single" w:sz="4" w:space="0" w:color="999999"/>
              <w:right w:val="single" w:sz="4" w:space="0" w:color="999999"/>
            </w:tcBorders>
            <w:shd w:val="clear" w:color="auto" w:fill="FFE6E6"/>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b/>
                <w:bCs/>
                <w:sz w:val="20"/>
                <w:szCs w:val="20"/>
              </w:rPr>
              <w:t>Čl. 88 st. 2-3</w:t>
            </w:r>
          </w:p>
        </w:tc>
        <w:tc>
          <w:tcPr>
            <w:tcW w:w="4500" w:type="dxa"/>
            <w:tcBorders>
              <w:top w:val="single" w:sz="4" w:space="0" w:color="999999"/>
              <w:left w:val="single" w:sz="4" w:space="0" w:color="999999"/>
              <w:bottom w:val="single" w:sz="4" w:space="0" w:color="999999"/>
              <w:right w:val="single" w:sz="4" w:space="0" w:color="999999"/>
            </w:tcBorders>
            <w:shd w:val="clear" w:color="auto" w:fill="FFE6E6"/>
            <w:tcMar>
              <w:top w:w="100" w:type="dxa"/>
              <w:left w:w="120" w:type="dxa"/>
              <w:bottom w:w="100" w:type="dxa"/>
              <w:right w:w="120" w:type="dxa"/>
            </w:tcMar>
            <w:vAlign w:val="center"/>
          </w:tcPr>
          <w:p w:rsidR="00887E68" w:rsidRPr="00073A5A" w:rsidRDefault="00887E68" w:rsidP="00D82F93">
            <w:pPr>
              <w:rPr>
                <w:sz w:val="20"/>
                <w:szCs w:val="20"/>
              </w:rPr>
            </w:pPr>
            <w:r w:rsidRPr="00073A5A">
              <w:rPr>
                <w:sz w:val="20"/>
                <w:szCs w:val="20"/>
              </w:rPr>
              <w:t>Obavezno „ili ekvivalentno" — formalno postoji, ali je obesmišljeno zabranom alternativa</w:t>
            </w:r>
          </w:p>
        </w:tc>
        <w:tc>
          <w:tcPr>
            <w:tcW w:w="3000" w:type="dxa"/>
            <w:tcBorders>
              <w:top w:val="single" w:sz="4" w:space="0" w:color="999999"/>
              <w:left w:val="single" w:sz="4" w:space="0" w:color="999999"/>
              <w:bottom w:val="single" w:sz="4" w:space="0" w:color="999999"/>
              <w:right w:val="single" w:sz="4" w:space="0" w:color="999999"/>
            </w:tcBorders>
            <w:shd w:val="clear" w:color="auto" w:fill="FFE6E6"/>
            <w:tcMar>
              <w:top w:w="100" w:type="dxa"/>
              <w:left w:w="120" w:type="dxa"/>
              <w:bottom w:w="100" w:type="dxa"/>
              <w:right w:w="120" w:type="dxa"/>
            </w:tcMar>
            <w:vAlign w:val="center"/>
          </w:tcPr>
          <w:p w:rsidR="00887E68" w:rsidRPr="00073A5A" w:rsidRDefault="00887E68" w:rsidP="00D82F93">
            <w:pPr>
              <w:rPr>
                <w:sz w:val="20"/>
                <w:szCs w:val="20"/>
              </w:rPr>
            </w:pPr>
            <w:r w:rsidRPr="00073A5A">
              <w:rPr>
                <w:sz w:val="20"/>
                <w:szCs w:val="20"/>
              </w:rPr>
              <w:t>„Alternativna rješenja nijesu dozvoljena"</w:t>
            </w:r>
          </w:p>
        </w:tc>
      </w:tr>
      <w:tr w:rsidR="00887E68" w:rsidRPr="00073A5A" w:rsidTr="00D82F93">
        <w:tc>
          <w:tcPr>
            <w:tcW w:w="1500" w:type="dxa"/>
            <w:tcBorders>
              <w:top w:val="single" w:sz="4" w:space="0" w:color="999999"/>
              <w:left w:val="single" w:sz="4" w:space="0" w:color="999999"/>
              <w:bottom w:val="single" w:sz="4" w:space="0" w:color="999999"/>
              <w:right w:val="single" w:sz="4" w:space="0" w:color="999999"/>
            </w:tcBorders>
            <w:shd w:val="clear" w:color="auto" w:fill="FFE6E6"/>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b/>
                <w:bCs/>
                <w:sz w:val="20"/>
                <w:szCs w:val="20"/>
              </w:rPr>
              <w:t>Čl. 88 st. 4</w:t>
            </w:r>
          </w:p>
        </w:tc>
        <w:tc>
          <w:tcPr>
            <w:tcW w:w="4500" w:type="dxa"/>
            <w:tcBorders>
              <w:top w:val="single" w:sz="4" w:space="0" w:color="999999"/>
              <w:left w:val="single" w:sz="4" w:space="0" w:color="999999"/>
              <w:bottom w:val="single" w:sz="4" w:space="0" w:color="999999"/>
              <w:right w:val="single" w:sz="4" w:space="0" w:color="999999"/>
            </w:tcBorders>
            <w:shd w:val="clear" w:color="auto" w:fill="FFE6E6"/>
            <w:tcMar>
              <w:top w:w="100" w:type="dxa"/>
              <w:left w:w="120" w:type="dxa"/>
              <w:bottom w:w="100" w:type="dxa"/>
              <w:right w:w="120" w:type="dxa"/>
            </w:tcMar>
            <w:vAlign w:val="center"/>
          </w:tcPr>
          <w:p w:rsidR="00887E68" w:rsidRPr="00073A5A" w:rsidRDefault="00887E68" w:rsidP="00D82F93">
            <w:pPr>
              <w:rPr>
                <w:sz w:val="20"/>
                <w:szCs w:val="20"/>
              </w:rPr>
            </w:pPr>
            <w:r w:rsidRPr="00073A5A">
              <w:rPr>
                <w:sz w:val="20"/>
                <w:szCs w:val="20"/>
              </w:rPr>
              <w:t>Definisanje kriterijuma ekvivalentnosti — naručilac eksplicitno tvrdi da je riječ „slično" dovoljan kriterijum</w:t>
            </w:r>
          </w:p>
        </w:tc>
        <w:tc>
          <w:tcPr>
            <w:tcW w:w="3000" w:type="dxa"/>
            <w:tcBorders>
              <w:top w:val="single" w:sz="4" w:space="0" w:color="999999"/>
              <w:left w:val="single" w:sz="4" w:space="0" w:color="999999"/>
              <w:bottom w:val="single" w:sz="4" w:space="0" w:color="999999"/>
              <w:right w:val="single" w:sz="4" w:space="0" w:color="999999"/>
            </w:tcBorders>
            <w:shd w:val="clear" w:color="auto" w:fill="FFE6E6"/>
            <w:tcMar>
              <w:top w:w="100" w:type="dxa"/>
              <w:left w:w="120" w:type="dxa"/>
              <w:bottom w:w="100" w:type="dxa"/>
              <w:right w:w="120" w:type="dxa"/>
            </w:tcMar>
            <w:vAlign w:val="center"/>
          </w:tcPr>
          <w:p w:rsidR="00887E68" w:rsidRPr="00073A5A" w:rsidRDefault="00887E68" w:rsidP="00D82F93">
            <w:pPr>
              <w:rPr>
                <w:sz w:val="20"/>
                <w:szCs w:val="20"/>
              </w:rPr>
            </w:pPr>
            <w:r w:rsidRPr="00073A5A">
              <w:rPr>
                <w:sz w:val="20"/>
                <w:szCs w:val="20"/>
              </w:rPr>
              <w:t>„Termin 'slično' – je dovoljno precizan termin"</w:t>
            </w:r>
          </w:p>
        </w:tc>
      </w:tr>
      <w:tr w:rsidR="00887E68" w:rsidRPr="00073A5A" w:rsidTr="00D82F93">
        <w:tc>
          <w:tcPr>
            <w:tcW w:w="1500" w:type="dxa"/>
            <w:tcBorders>
              <w:top w:val="single" w:sz="4" w:space="0" w:color="999999"/>
              <w:left w:val="single" w:sz="4" w:space="0" w:color="999999"/>
              <w:bottom w:val="single" w:sz="4" w:space="0" w:color="999999"/>
              <w:right w:val="single" w:sz="4" w:space="0" w:color="999999"/>
            </w:tcBorders>
            <w:shd w:val="clear" w:color="auto" w:fill="FFE6E6"/>
            <w:tcMar>
              <w:top w:w="100" w:type="dxa"/>
              <w:left w:w="120" w:type="dxa"/>
              <w:bottom w:w="100" w:type="dxa"/>
              <w:right w:w="120" w:type="dxa"/>
            </w:tcMar>
            <w:vAlign w:val="center"/>
          </w:tcPr>
          <w:p w:rsidR="00887E68" w:rsidRPr="00073A5A" w:rsidRDefault="00887E68" w:rsidP="00D82F93">
            <w:pPr>
              <w:jc w:val="center"/>
              <w:rPr>
                <w:sz w:val="20"/>
                <w:szCs w:val="20"/>
              </w:rPr>
            </w:pPr>
            <w:r w:rsidRPr="00073A5A">
              <w:rPr>
                <w:b/>
                <w:bCs/>
                <w:sz w:val="20"/>
                <w:szCs w:val="20"/>
              </w:rPr>
              <w:t>Čl. 88 st. 5</w:t>
            </w:r>
          </w:p>
        </w:tc>
        <w:tc>
          <w:tcPr>
            <w:tcW w:w="4500" w:type="dxa"/>
            <w:tcBorders>
              <w:top w:val="single" w:sz="4" w:space="0" w:color="999999"/>
              <w:left w:val="single" w:sz="4" w:space="0" w:color="999999"/>
              <w:bottom w:val="single" w:sz="4" w:space="0" w:color="999999"/>
              <w:right w:val="single" w:sz="4" w:space="0" w:color="999999"/>
            </w:tcBorders>
            <w:shd w:val="clear" w:color="auto" w:fill="FFE6E6"/>
            <w:tcMar>
              <w:top w:w="100" w:type="dxa"/>
              <w:left w:w="120" w:type="dxa"/>
              <w:bottom w:w="100" w:type="dxa"/>
              <w:right w:w="120" w:type="dxa"/>
            </w:tcMar>
            <w:vAlign w:val="center"/>
          </w:tcPr>
          <w:p w:rsidR="00887E68" w:rsidRPr="00073A5A" w:rsidRDefault="00887E68" w:rsidP="00D82F93">
            <w:pPr>
              <w:rPr>
                <w:sz w:val="20"/>
                <w:szCs w:val="20"/>
              </w:rPr>
            </w:pPr>
            <w:r w:rsidRPr="00073A5A">
              <w:rPr>
                <w:sz w:val="20"/>
                <w:szCs w:val="20"/>
              </w:rPr>
              <w:t>Pravo na podnošenje ekvivalentne ponude — eksplicitno isključeno</w:t>
            </w:r>
          </w:p>
        </w:tc>
        <w:tc>
          <w:tcPr>
            <w:tcW w:w="3000" w:type="dxa"/>
            <w:tcBorders>
              <w:top w:val="single" w:sz="4" w:space="0" w:color="999999"/>
              <w:left w:val="single" w:sz="4" w:space="0" w:color="999999"/>
              <w:bottom w:val="single" w:sz="4" w:space="0" w:color="999999"/>
              <w:right w:val="single" w:sz="4" w:space="0" w:color="999999"/>
            </w:tcBorders>
            <w:shd w:val="clear" w:color="auto" w:fill="FFE6E6"/>
            <w:tcMar>
              <w:top w:w="100" w:type="dxa"/>
              <w:left w:w="120" w:type="dxa"/>
              <w:bottom w:w="100" w:type="dxa"/>
              <w:right w:w="120" w:type="dxa"/>
            </w:tcMar>
            <w:vAlign w:val="center"/>
          </w:tcPr>
          <w:p w:rsidR="00887E68" w:rsidRPr="00073A5A" w:rsidRDefault="00887E68" w:rsidP="00D82F93">
            <w:pPr>
              <w:rPr>
                <w:sz w:val="20"/>
                <w:szCs w:val="20"/>
              </w:rPr>
            </w:pPr>
            <w:r w:rsidRPr="00073A5A">
              <w:rPr>
                <w:sz w:val="20"/>
                <w:szCs w:val="20"/>
              </w:rPr>
              <w:t>„Alternativna rješenja nijesu dozvoljena"</w:t>
            </w:r>
          </w:p>
        </w:tc>
      </w:tr>
    </w:tbl>
    <w:p w:rsidR="00887E68" w:rsidRPr="00073A5A" w:rsidRDefault="00887E68" w:rsidP="00887E68">
      <w:pPr>
        <w:spacing w:before="200" w:after="80" w:line="300" w:lineRule="auto"/>
        <w:jc w:val="both"/>
        <w:rPr>
          <w:sz w:val="20"/>
          <w:szCs w:val="20"/>
        </w:rPr>
      </w:pPr>
      <w:r w:rsidRPr="00073A5A">
        <w:rPr>
          <w:color w:val="000000"/>
          <w:sz w:val="20"/>
          <w:szCs w:val="20"/>
        </w:rPr>
        <w:t xml:space="preserve">Pored navedenih povreda Zakona o javnim nabavkama, povrijeđen je i član 42 Direktive 2014/24/EU Evropskog parlamenta i Savjeta </w:t>
      </w:r>
      <w:proofErr w:type="gramStart"/>
      <w:r w:rsidRPr="00073A5A">
        <w:rPr>
          <w:color w:val="000000"/>
          <w:sz w:val="20"/>
          <w:szCs w:val="20"/>
        </w:rPr>
        <w:t>od</w:t>
      </w:r>
      <w:proofErr w:type="gramEnd"/>
      <w:r w:rsidRPr="00073A5A">
        <w:rPr>
          <w:color w:val="000000"/>
          <w:sz w:val="20"/>
          <w:szCs w:val="20"/>
        </w:rPr>
        <w:t xml:space="preserve"> 26. </w:t>
      </w:r>
      <w:proofErr w:type="gramStart"/>
      <w:r w:rsidRPr="00073A5A">
        <w:rPr>
          <w:color w:val="000000"/>
          <w:sz w:val="20"/>
          <w:szCs w:val="20"/>
        </w:rPr>
        <w:t>februara</w:t>
      </w:r>
      <w:proofErr w:type="gramEnd"/>
      <w:r w:rsidRPr="00073A5A">
        <w:rPr>
          <w:color w:val="000000"/>
          <w:sz w:val="20"/>
          <w:szCs w:val="20"/>
        </w:rPr>
        <w:t xml:space="preserve"> 2014. </w:t>
      </w:r>
      <w:proofErr w:type="gramStart"/>
      <w:r w:rsidRPr="00073A5A">
        <w:rPr>
          <w:color w:val="000000"/>
          <w:sz w:val="20"/>
          <w:szCs w:val="20"/>
        </w:rPr>
        <w:t>godine</w:t>
      </w:r>
      <w:proofErr w:type="gramEnd"/>
      <w:r w:rsidRPr="00073A5A">
        <w:rPr>
          <w:color w:val="000000"/>
          <w:sz w:val="20"/>
          <w:szCs w:val="20"/>
        </w:rPr>
        <w:t xml:space="preserve"> o javnim nabavkama (Pravila o izradi tehničkih specifikacija), kao i opšte načelo nediskriminacije iz člana 18 iste Direktive — što ima dodatnu težinu u kontekstu pregovora Crne Gore sa Evropskom unijom u okviru Poglavlja 5 (Javne nabavke).</w:t>
      </w:r>
    </w:p>
    <w:p w:rsidR="00887E68" w:rsidRPr="00073A5A" w:rsidRDefault="00887E68" w:rsidP="00887E68">
      <w:pPr>
        <w:spacing w:before="320" w:after="160"/>
        <w:rPr>
          <w:sz w:val="20"/>
          <w:szCs w:val="20"/>
        </w:rPr>
      </w:pPr>
      <w:r w:rsidRPr="00073A5A">
        <w:rPr>
          <w:b/>
          <w:bCs/>
          <w:color w:val="1F4E79"/>
          <w:sz w:val="20"/>
          <w:szCs w:val="20"/>
        </w:rPr>
        <w:t>V. Predlog</w:t>
      </w:r>
    </w:p>
    <w:p w:rsidR="00887E68" w:rsidRPr="00073A5A" w:rsidRDefault="00887E68" w:rsidP="00887E68">
      <w:pPr>
        <w:spacing w:before="80" w:after="80" w:line="300" w:lineRule="auto"/>
        <w:jc w:val="both"/>
        <w:rPr>
          <w:sz w:val="20"/>
          <w:szCs w:val="20"/>
        </w:rPr>
      </w:pPr>
      <w:r w:rsidRPr="00073A5A">
        <w:rPr>
          <w:color w:val="000000"/>
          <w:sz w:val="20"/>
          <w:szCs w:val="20"/>
        </w:rPr>
        <w:t xml:space="preserve">U skladu </w:t>
      </w:r>
      <w:proofErr w:type="gramStart"/>
      <w:r w:rsidRPr="00073A5A">
        <w:rPr>
          <w:color w:val="000000"/>
          <w:sz w:val="20"/>
          <w:szCs w:val="20"/>
        </w:rPr>
        <w:t>sa</w:t>
      </w:r>
      <w:proofErr w:type="gramEnd"/>
      <w:r w:rsidRPr="00073A5A">
        <w:rPr>
          <w:color w:val="000000"/>
          <w:sz w:val="20"/>
          <w:szCs w:val="20"/>
        </w:rPr>
        <w:t xml:space="preserve"> članom 94 ZJN, a posebno imajući u vidu da odgovor naručioca od 20.05.2026. </w:t>
      </w:r>
      <w:proofErr w:type="gramStart"/>
      <w:r w:rsidRPr="00073A5A">
        <w:rPr>
          <w:color w:val="000000"/>
          <w:sz w:val="20"/>
          <w:szCs w:val="20"/>
        </w:rPr>
        <w:t>godine</w:t>
      </w:r>
      <w:proofErr w:type="gramEnd"/>
      <w:r w:rsidRPr="00073A5A">
        <w:rPr>
          <w:color w:val="000000"/>
          <w:sz w:val="20"/>
          <w:szCs w:val="20"/>
        </w:rPr>
        <w:t xml:space="preserve"> nije otklonio nepravilnosti — naprotiv, vlastitim formulacijama ih je potvrdio i u određenim segmentima produbio — podnosilac predloga zahtijeva:</w:t>
      </w:r>
    </w:p>
    <w:p w:rsidR="00887E68" w:rsidRPr="00073A5A" w:rsidRDefault="00887E68" w:rsidP="00887E68">
      <w:pPr>
        <w:spacing w:before="80" w:after="80" w:line="300" w:lineRule="auto"/>
        <w:jc w:val="both"/>
        <w:rPr>
          <w:sz w:val="20"/>
          <w:szCs w:val="20"/>
        </w:rPr>
      </w:pPr>
      <w:r w:rsidRPr="00073A5A">
        <w:rPr>
          <w:b/>
          <w:bCs/>
          <w:color w:val="000000"/>
          <w:sz w:val="20"/>
          <w:szCs w:val="20"/>
        </w:rPr>
        <w:t xml:space="preserve">Da naručilac, postupajući po članu 94 stav 6 ZJN, u roku </w:t>
      </w:r>
      <w:proofErr w:type="gramStart"/>
      <w:r w:rsidRPr="00073A5A">
        <w:rPr>
          <w:b/>
          <w:bCs/>
          <w:color w:val="000000"/>
          <w:sz w:val="20"/>
          <w:szCs w:val="20"/>
        </w:rPr>
        <w:t>od</w:t>
      </w:r>
      <w:proofErr w:type="gramEnd"/>
      <w:r w:rsidRPr="00073A5A">
        <w:rPr>
          <w:b/>
          <w:bCs/>
          <w:color w:val="000000"/>
          <w:sz w:val="20"/>
          <w:szCs w:val="20"/>
        </w:rPr>
        <w:t xml:space="preserve"> tri dana od prijema ovog Predloga izvrši izmjene tenderske dokumentacije kojima će se otkloniti sljedeće nepravilnosti:</w:t>
      </w:r>
    </w:p>
    <w:p w:rsidR="00887E68" w:rsidRPr="00073A5A" w:rsidRDefault="00887E68" w:rsidP="00887E68">
      <w:pPr>
        <w:pStyle w:val="ListParagraph"/>
        <w:numPr>
          <w:ilvl w:val="0"/>
          <w:numId w:val="1"/>
        </w:numPr>
        <w:spacing w:before="40" w:after="40" w:line="300" w:lineRule="auto"/>
        <w:jc w:val="both"/>
        <w:rPr>
          <w:sz w:val="20"/>
          <w:szCs w:val="20"/>
        </w:rPr>
      </w:pPr>
      <w:r w:rsidRPr="00073A5A">
        <w:rPr>
          <w:sz w:val="20"/>
          <w:szCs w:val="20"/>
        </w:rPr>
        <w:t>Brisanje konstatacije da „alternativna rješenja nijesu dozvoljena" i jasno priznanje prava ponuđača na podnošenje ekvivalentnih ponuda u smislu člana 88 stav 5 ZJN;</w:t>
      </w:r>
    </w:p>
    <w:p w:rsidR="00887E68" w:rsidRPr="00073A5A" w:rsidRDefault="00887E68" w:rsidP="00887E68">
      <w:pPr>
        <w:pStyle w:val="ListParagraph"/>
        <w:numPr>
          <w:ilvl w:val="0"/>
          <w:numId w:val="1"/>
        </w:numPr>
        <w:spacing w:before="40" w:after="40" w:line="300" w:lineRule="auto"/>
        <w:jc w:val="both"/>
        <w:rPr>
          <w:sz w:val="20"/>
          <w:szCs w:val="20"/>
        </w:rPr>
      </w:pPr>
      <w:r w:rsidRPr="00073A5A">
        <w:rPr>
          <w:sz w:val="20"/>
          <w:szCs w:val="20"/>
        </w:rPr>
        <w:t>Definisanje konkretnih, mjerljivih i nediskriminatornih kriterijuma ekvivalentnosti svjetiljki u smislu člana 88 stav 4 ZJN — izraženih kroz funkcionalne parametre (fotometrijske performanse prema EN 13201, IP zaštita, IK rejting, klasa korozije prema ISO 9223, faktor snage, kompatibilnost sa upravljačkim protokolima);</w:t>
      </w:r>
    </w:p>
    <w:p w:rsidR="00887E68" w:rsidRPr="00073A5A" w:rsidRDefault="00887E68" w:rsidP="00887E68">
      <w:pPr>
        <w:pStyle w:val="ListParagraph"/>
        <w:numPr>
          <w:ilvl w:val="0"/>
          <w:numId w:val="1"/>
        </w:numPr>
        <w:spacing w:before="40" w:after="40" w:line="300" w:lineRule="auto"/>
        <w:jc w:val="both"/>
        <w:rPr>
          <w:sz w:val="20"/>
          <w:szCs w:val="20"/>
        </w:rPr>
      </w:pPr>
      <w:r w:rsidRPr="00073A5A">
        <w:rPr>
          <w:sz w:val="20"/>
          <w:szCs w:val="20"/>
        </w:rPr>
        <w:t>Preformulisanje tehničke specifikacije svjetiljki pod pozicijama 20 i 21 tako da zahtjevi budu izraženi kao funkcionalni rezultati (luminozitet, efikasnost, snaga u razumnom opsegu, klasa zaštite, životni vijek), a ne kao kopiranje datasheet-a jednog proizvođača (uklanjanje opisa procesa „fluorocirkonacija + nano-silanski sloj", uklanjanje tačnih dimenzija zasjenjivača Ø 515 / 76 mm, zamjena nezaokruženih snaga 24,5 W i 36,4 W razumnim opsezima ili minimumima);</w:t>
      </w:r>
    </w:p>
    <w:p w:rsidR="00887E68" w:rsidRPr="00073A5A" w:rsidRDefault="00887E68" w:rsidP="00887E68">
      <w:pPr>
        <w:pStyle w:val="ListParagraph"/>
        <w:numPr>
          <w:ilvl w:val="0"/>
          <w:numId w:val="1"/>
        </w:numPr>
        <w:spacing w:before="40" w:after="40" w:line="300" w:lineRule="auto"/>
        <w:jc w:val="both"/>
        <w:rPr>
          <w:sz w:val="20"/>
          <w:szCs w:val="20"/>
        </w:rPr>
      </w:pPr>
      <w:r w:rsidRPr="00073A5A">
        <w:rPr>
          <w:sz w:val="20"/>
          <w:szCs w:val="20"/>
        </w:rPr>
        <w:t>Objavljivanje svjetlotehničkog proračuna (DIALux/Relux izvještaja) sa definisanim klasama osvijetljenja prema EN 13201, faktorom održavanja, i IES/LDT datotekama korišćenim u simulaciji — kao priloga tenderskoj dokumentaciji dostupnog svim zainteresovanim licima;</w:t>
      </w:r>
    </w:p>
    <w:p w:rsidR="00887E68" w:rsidRPr="00073A5A" w:rsidRDefault="00887E68" w:rsidP="00887E68">
      <w:pPr>
        <w:pStyle w:val="ListParagraph"/>
        <w:numPr>
          <w:ilvl w:val="0"/>
          <w:numId w:val="1"/>
        </w:numPr>
        <w:spacing w:before="40" w:after="40" w:line="300" w:lineRule="auto"/>
        <w:jc w:val="both"/>
        <w:rPr>
          <w:sz w:val="20"/>
          <w:szCs w:val="20"/>
        </w:rPr>
      </w:pPr>
      <w:r w:rsidRPr="00073A5A">
        <w:rPr>
          <w:sz w:val="20"/>
          <w:szCs w:val="20"/>
        </w:rPr>
        <w:lastRenderedPageBreak/>
        <w:t>Dostavljanje izjave projektanta o nepostojanju sukoba interesa u smislu člana 41 stav 7 ZJN, kao i izjašnjenje naručioca o povezanim licima projektanta sa potencijalnim ponuđačima;</w:t>
      </w:r>
    </w:p>
    <w:p w:rsidR="00887E68" w:rsidRPr="00073A5A" w:rsidRDefault="00887E68" w:rsidP="00887E68">
      <w:pPr>
        <w:pStyle w:val="ListParagraph"/>
        <w:numPr>
          <w:ilvl w:val="0"/>
          <w:numId w:val="1"/>
        </w:numPr>
        <w:spacing w:before="40" w:after="40" w:line="300" w:lineRule="auto"/>
        <w:jc w:val="both"/>
        <w:rPr>
          <w:sz w:val="20"/>
          <w:szCs w:val="20"/>
        </w:rPr>
      </w:pPr>
      <w:r w:rsidRPr="00073A5A">
        <w:rPr>
          <w:sz w:val="20"/>
          <w:szCs w:val="20"/>
        </w:rPr>
        <w:t>Razdvajanje stuba i konzolnog nosača na funkcionalne i estetske elemente: estetski element (grb opštine, dizajnerske detalje) može ostati custom, ali konstruktivni i mehanički zahtjevi moraju biti izraženi kao funkcionalni parametri koji omogućavaju ponuđačima da koriste sopstvene proizvodne tehnologije za njihovu realizaciju;</w:t>
      </w:r>
    </w:p>
    <w:p w:rsidR="00887E68" w:rsidRPr="00073A5A" w:rsidRDefault="00887E68" w:rsidP="00887E68">
      <w:pPr>
        <w:pStyle w:val="ListParagraph"/>
        <w:numPr>
          <w:ilvl w:val="0"/>
          <w:numId w:val="1"/>
        </w:numPr>
        <w:spacing w:before="40" w:after="40" w:line="300" w:lineRule="auto"/>
        <w:jc w:val="both"/>
        <w:rPr>
          <w:sz w:val="20"/>
          <w:szCs w:val="20"/>
        </w:rPr>
      </w:pPr>
      <w:r w:rsidRPr="00073A5A">
        <w:rPr>
          <w:sz w:val="20"/>
          <w:szCs w:val="20"/>
        </w:rPr>
        <w:t>Dostavljanje pravnog osnova i tehničke dokumentacije za 64 betonska temelja i kablovsku trasu koje je izradilo Komunalno preduzeće sa Žabljaka — uključujući atest betona, geodetski snimak, dokaz o usklađenosti sa projektom stubova, kao i jasno opredjeljenje rizika i garancija za navedeni dio infrastrukture;</w:t>
      </w:r>
    </w:p>
    <w:p w:rsidR="00887E68" w:rsidRPr="00073A5A" w:rsidRDefault="00887E68" w:rsidP="00887E68">
      <w:pPr>
        <w:pStyle w:val="ListParagraph"/>
        <w:numPr>
          <w:ilvl w:val="0"/>
          <w:numId w:val="1"/>
        </w:numPr>
        <w:spacing w:before="40" w:after="40" w:line="300" w:lineRule="auto"/>
        <w:jc w:val="both"/>
        <w:rPr>
          <w:sz w:val="20"/>
          <w:szCs w:val="20"/>
        </w:rPr>
      </w:pPr>
      <w:r w:rsidRPr="00073A5A">
        <w:rPr>
          <w:sz w:val="20"/>
          <w:szCs w:val="20"/>
        </w:rPr>
        <w:t xml:space="preserve">Produženje roka za podnošenje ponuda srazmjerno obimu izmjena tenderske dokumentacije, a u skladu </w:t>
      </w:r>
      <w:proofErr w:type="gramStart"/>
      <w:r w:rsidRPr="00073A5A">
        <w:rPr>
          <w:sz w:val="20"/>
          <w:szCs w:val="20"/>
        </w:rPr>
        <w:t>sa</w:t>
      </w:r>
      <w:proofErr w:type="gramEnd"/>
      <w:r w:rsidRPr="00073A5A">
        <w:rPr>
          <w:sz w:val="20"/>
          <w:szCs w:val="20"/>
        </w:rPr>
        <w:t xml:space="preserve"> članom 89 stav 5 ZJN.</w:t>
      </w:r>
    </w:p>
    <w:p w:rsidR="00887E68" w:rsidRPr="00073A5A" w:rsidRDefault="00887E68" w:rsidP="00887E68">
      <w:pPr>
        <w:spacing w:before="200" w:after="80" w:line="300" w:lineRule="auto"/>
        <w:jc w:val="both"/>
        <w:rPr>
          <w:sz w:val="20"/>
          <w:szCs w:val="20"/>
        </w:rPr>
      </w:pPr>
      <w:r w:rsidRPr="00073A5A">
        <w:rPr>
          <w:iCs/>
          <w:color w:val="000000"/>
          <w:sz w:val="20"/>
          <w:szCs w:val="20"/>
        </w:rPr>
        <w:t xml:space="preserve">Podnosilac predloga ne predlaže konkretne tekstualne izmjene, što je u skladu </w:t>
      </w:r>
      <w:proofErr w:type="gramStart"/>
      <w:r w:rsidRPr="00073A5A">
        <w:rPr>
          <w:iCs/>
          <w:color w:val="000000"/>
          <w:sz w:val="20"/>
          <w:szCs w:val="20"/>
        </w:rPr>
        <w:t>sa</w:t>
      </w:r>
      <w:proofErr w:type="gramEnd"/>
      <w:r w:rsidRPr="00073A5A">
        <w:rPr>
          <w:iCs/>
          <w:color w:val="000000"/>
          <w:sz w:val="20"/>
          <w:szCs w:val="20"/>
        </w:rPr>
        <w:t xml:space="preserve"> članom 94 stav 5 ZJN — već obrazlaže razloge zbog kojih je nepravilnosti potrebno otkloniti. </w:t>
      </w:r>
      <w:proofErr w:type="gramStart"/>
      <w:r w:rsidRPr="00073A5A">
        <w:rPr>
          <w:iCs/>
          <w:color w:val="000000"/>
          <w:sz w:val="20"/>
          <w:szCs w:val="20"/>
        </w:rPr>
        <w:t>Određivanje konkretnog načina izmjene tenderske dokumentacije je u nadležnosti naručioca, uz obavezu poštovanja načela iz članova 5–13 ZJN.</w:t>
      </w:r>
      <w:proofErr w:type="gramEnd"/>
    </w:p>
    <w:p w:rsidR="00887E68" w:rsidRPr="00073A5A" w:rsidRDefault="00887E68" w:rsidP="00887E68">
      <w:pPr>
        <w:spacing w:before="320" w:after="160"/>
        <w:rPr>
          <w:sz w:val="20"/>
          <w:szCs w:val="20"/>
        </w:rPr>
      </w:pPr>
      <w:r w:rsidRPr="00073A5A">
        <w:rPr>
          <w:b/>
          <w:bCs/>
          <w:color w:val="1F4E79"/>
          <w:sz w:val="20"/>
          <w:szCs w:val="20"/>
        </w:rPr>
        <w:t xml:space="preserve">VI. Napomena o pravu </w:t>
      </w:r>
      <w:proofErr w:type="gramStart"/>
      <w:r w:rsidRPr="00073A5A">
        <w:rPr>
          <w:b/>
          <w:bCs/>
          <w:color w:val="1F4E79"/>
          <w:sz w:val="20"/>
          <w:szCs w:val="20"/>
        </w:rPr>
        <w:t>na</w:t>
      </w:r>
      <w:proofErr w:type="gramEnd"/>
      <w:r w:rsidRPr="00073A5A">
        <w:rPr>
          <w:b/>
          <w:bCs/>
          <w:color w:val="1F4E79"/>
          <w:sz w:val="20"/>
          <w:szCs w:val="20"/>
        </w:rPr>
        <w:t xml:space="preserve"> žalbu</w:t>
      </w:r>
    </w:p>
    <w:p w:rsidR="00887E68" w:rsidRPr="00073A5A" w:rsidRDefault="00887E68" w:rsidP="00887E68">
      <w:pPr>
        <w:spacing w:before="80" w:after="80" w:line="300" w:lineRule="auto"/>
        <w:jc w:val="both"/>
        <w:rPr>
          <w:sz w:val="20"/>
          <w:szCs w:val="20"/>
        </w:rPr>
      </w:pPr>
      <w:r w:rsidRPr="00073A5A">
        <w:rPr>
          <w:color w:val="000000"/>
          <w:sz w:val="20"/>
          <w:szCs w:val="20"/>
        </w:rPr>
        <w:t>U slučaju da naručilac u roku iz člana 94 stav 6 ZJN ne otkloni nepravilnosti iz ovog Predloga, podnosilac će u zakonom predviđenom roku iskoristiti pravo na podnošenje žalbe Komisiji za zaštitu prava u postupcima javnih nabavki, u skladu sa članom 185 stav 3 tačka 1 ZJN, sa zahtjevom za poništenje postupka javne nabavke šifre 112544 u cjelosti.</w:t>
      </w:r>
    </w:p>
    <w:p w:rsidR="00887E68" w:rsidRPr="00073A5A" w:rsidRDefault="00887E68" w:rsidP="00887E68">
      <w:pPr>
        <w:spacing w:before="80" w:after="80" w:line="300" w:lineRule="auto"/>
        <w:jc w:val="both"/>
        <w:rPr>
          <w:color w:val="000000"/>
          <w:sz w:val="20"/>
          <w:szCs w:val="20"/>
        </w:rPr>
      </w:pPr>
      <w:proofErr w:type="gramStart"/>
      <w:r w:rsidRPr="00073A5A">
        <w:rPr>
          <w:color w:val="000000"/>
          <w:sz w:val="20"/>
          <w:szCs w:val="20"/>
        </w:rPr>
        <w:t>Pored toga, podnosilac zadržava pravo da relevantnim nadzornim i istražnim organima — uključujući Upravu za inspekcijske poslove, Specijalno državno tužilaštvo (u slučaju utvrđivanja elemenata krivičnog djela iz člana 421a Krivičnog zakonika), i Agenciju za sprječavanje korupcije — dostavi prikupljenu dokumentaciju za dalje postupanje.</w:t>
      </w:r>
      <w:proofErr w:type="gramEnd"/>
    </w:p>
    <w:p w:rsidR="00FB4999" w:rsidRPr="00073A5A" w:rsidRDefault="00FB4999" w:rsidP="00887E68">
      <w:pPr>
        <w:spacing w:before="80" w:after="80" w:line="300" w:lineRule="auto"/>
        <w:jc w:val="both"/>
        <w:rPr>
          <w:color w:val="000000"/>
          <w:sz w:val="20"/>
          <w:szCs w:val="20"/>
        </w:rPr>
      </w:pPr>
    </w:p>
    <w:p w:rsidR="00FB4999" w:rsidRPr="00073A5A" w:rsidRDefault="00FB4999" w:rsidP="00887E68">
      <w:pPr>
        <w:spacing w:before="80" w:after="80" w:line="300" w:lineRule="auto"/>
        <w:jc w:val="both"/>
        <w:rPr>
          <w:b/>
          <w:color w:val="000000"/>
          <w:sz w:val="20"/>
          <w:szCs w:val="20"/>
        </w:rPr>
      </w:pPr>
      <w:r w:rsidRPr="00073A5A">
        <w:rPr>
          <w:b/>
          <w:color w:val="000000"/>
          <w:sz w:val="20"/>
          <w:szCs w:val="20"/>
        </w:rPr>
        <w:t xml:space="preserve">Odgovor Komisije za sprovođenje postupka javne nabavke </w:t>
      </w:r>
    </w:p>
    <w:p w:rsidR="00FB4999" w:rsidRPr="00DF1030" w:rsidRDefault="00AD61BF" w:rsidP="00887E68">
      <w:pPr>
        <w:spacing w:before="80" w:after="80" w:line="300" w:lineRule="auto"/>
        <w:jc w:val="both"/>
        <w:rPr>
          <w:color w:val="000000" w:themeColor="text1"/>
          <w:sz w:val="20"/>
          <w:szCs w:val="20"/>
        </w:rPr>
      </w:pPr>
      <w:r w:rsidRPr="00DF1030">
        <w:rPr>
          <w:color w:val="000000" w:themeColor="text1"/>
          <w:sz w:val="20"/>
          <w:szCs w:val="20"/>
        </w:rPr>
        <w:t>Č</w:t>
      </w:r>
      <w:r w:rsidR="00FB4999" w:rsidRPr="00DF1030">
        <w:rPr>
          <w:color w:val="000000" w:themeColor="text1"/>
          <w:sz w:val="20"/>
          <w:szCs w:val="20"/>
        </w:rPr>
        <w:t xml:space="preserve">lanom 94 stav 4 Zakona o javnim nabavkama propisano je:  </w:t>
      </w:r>
    </w:p>
    <w:p w:rsidR="00073A5A" w:rsidRPr="00DF1030" w:rsidRDefault="00FB4999" w:rsidP="00073A5A">
      <w:pPr>
        <w:spacing w:before="80" w:after="80" w:line="300" w:lineRule="auto"/>
        <w:jc w:val="both"/>
        <w:rPr>
          <w:color w:val="000000" w:themeColor="text1"/>
          <w:sz w:val="20"/>
          <w:szCs w:val="20"/>
        </w:rPr>
      </w:pPr>
      <w:r w:rsidRPr="00DF1030">
        <w:rPr>
          <w:color w:val="000000" w:themeColor="text1"/>
          <w:sz w:val="20"/>
          <w:szCs w:val="20"/>
        </w:rPr>
        <w:t xml:space="preserve">“Privredni subjekat može da predloži naručiocu da izmijeni i/ili dopuni tendersku dokumentaciju, u roku </w:t>
      </w:r>
      <w:proofErr w:type="gramStart"/>
      <w:r w:rsidRPr="00DF1030">
        <w:rPr>
          <w:color w:val="000000" w:themeColor="text1"/>
          <w:sz w:val="20"/>
          <w:szCs w:val="20"/>
        </w:rPr>
        <w:t>od</w:t>
      </w:r>
      <w:proofErr w:type="gramEnd"/>
      <w:r w:rsidRPr="00DF1030">
        <w:rPr>
          <w:color w:val="000000" w:themeColor="text1"/>
          <w:sz w:val="20"/>
          <w:szCs w:val="20"/>
        </w:rPr>
        <w:t xml:space="preserve"> osam dana od dana objavljivanja, odnosno dostavljanja tenderske dokumentacije”.</w:t>
      </w:r>
    </w:p>
    <w:p w:rsidR="00887E68" w:rsidRPr="00DF1030" w:rsidRDefault="00AD61BF" w:rsidP="00073A5A">
      <w:pPr>
        <w:spacing w:before="80" w:after="80" w:line="300" w:lineRule="auto"/>
        <w:jc w:val="both"/>
        <w:rPr>
          <w:color w:val="000000" w:themeColor="text1"/>
          <w:sz w:val="20"/>
          <w:szCs w:val="20"/>
        </w:rPr>
      </w:pPr>
      <w:proofErr w:type="gramStart"/>
      <w:r w:rsidRPr="00DF1030">
        <w:rPr>
          <w:color w:val="000000" w:themeColor="text1"/>
          <w:sz w:val="20"/>
          <w:szCs w:val="20"/>
        </w:rPr>
        <w:t xml:space="preserve">S obzirom da je tenderska dokumentacija objavljena 11.05.2026.godine, a rok za otvaranje ponuda je 28.05.2026.godine, </w:t>
      </w:r>
      <w:r w:rsidR="00FB4999" w:rsidRPr="00DF1030">
        <w:rPr>
          <w:color w:val="000000" w:themeColor="text1"/>
          <w:sz w:val="20"/>
          <w:szCs w:val="20"/>
        </w:rPr>
        <w:t>obavješt</w:t>
      </w:r>
      <w:r w:rsidRPr="00DF1030">
        <w:rPr>
          <w:color w:val="000000" w:themeColor="text1"/>
          <w:sz w:val="20"/>
          <w:szCs w:val="20"/>
        </w:rPr>
        <w:t>avamo V</w:t>
      </w:r>
      <w:r w:rsidR="00FB4999" w:rsidRPr="00DF1030">
        <w:rPr>
          <w:color w:val="000000" w:themeColor="text1"/>
          <w:sz w:val="20"/>
          <w:szCs w:val="20"/>
        </w:rPr>
        <w:t xml:space="preserve">as da naručilac Opština Žabljak neće mijenjati </w:t>
      </w:r>
      <w:r w:rsidRPr="00DF1030">
        <w:rPr>
          <w:color w:val="000000" w:themeColor="text1"/>
          <w:sz w:val="20"/>
          <w:szCs w:val="20"/>
        </w:rPr>
        <w:t xml:space="preserve">niti dopunjavati </w:t>
      </w:r>
      <w:r w:rsidR="00FB4999" w:rsidRPr="00DF1030">
        <w:rPr>
          <w:color w:val="000000" w:themeColor="text1"/>
          <w:sz w:val="20"/>
          <w:szCs w:val="20"/>
        </w:rPr>
        <w:t>tendersku dokumentaciju</w:t>
      </w:r>
      <w:r w:rsidRPr="00DF1030">
        <w:rPr>
          <w:color w:val="000000" w:themeColor="text1"/>
          <w:sz w:val="20"/>
          <w:szCs w:val="20"/>
        </w:rPr>
        <w:t>.</w:t>
      </w:r>
      <w:proofErr w:type="gramEnd"/>
      <w:r w:rsidR="00FB4999" w:rsidRPr="00DF1030">
        <w:rPr>
          <w:color w:val="000000" w:themeColor="text1"/>
          <w:sz w:val="20"/>
          <w:szCs w:val="20"/>
        </w:rPr>
        <w:t xml:space="preserve"> </w:t>
      </w:r>
    </w:p>
    <w:p w:rsidR="00AD61BF" w:rsidRPr="00DF1030" w:rsidRDefault="00AD61BF" w:rsidP="00AD61BF">
      <w:pPr>
        <w:pStyle w:val="ListParagraph"/>
        <w:jc w:val="right"/>
        <w:rPr>
          <w:b/>
          <w:color w:val="000000"/>
          <w:sz w:val="20"/>
          <w:szCs w:val="20"/>
          <w:lang w:val="it-IT"/>
        </w:rPr>
      </w:pPr>
      <w:r w:rsidRPr="00DF1030">
        <w:rPr>
          <w:b/>
          <w:color w:val="000000"/>
          <w:sz w:val="20"/>
          <w:szCs w:val="20"/>
          <w:lang w:val="it-IT"/>
        </w:rPr>
        <w:t>Komisija za sprovođenje postupka javne nabavke</w:t>
      </w:r>
    </w:p>
    <w:p w:rsidR="00AD61BF" w:rsidRPr="00DF1030" w:rsidRDefault="00AD61BF" w:rsidP="00AD61BF">
      <w:pPr>
        <w:pStyle w:val="ListParagraph"/>
        <w:jc w:val="right"/>
        <w:rPr>
          <w:b/>
          <w:color w:val="000000"/>
          <w:sz w:val="20"/>
          <w:szCs w:val="20"/>
          <w:lang w:val="it-IT"/>
        </w:rPr>
      </w:pPr>
      <w:r w:rsidRPr="00DF1030">
        <w:rPr>
          <w:b/>
          <w:color w:val="000000"/>
          <w:sz w:val="20"/>
          <w:szCs w:val="20"/>
          <w:lang w:val="it-IT"/>
        </w:rPr>
        <w:t xml:space="preserve"> </w:t>
      </w:r>
    </w:p>
    <w:p w:rsidR="00AD61BF" w:rsidRPr="00DF1030" w:rsidRDefault="00AD61BF" w:rsidP="00AD61BF">
      <w:pPr>
        <w:pStyle w:val="ListParagraph"/>
        <w:jc w:val="right"/>
        <w:rPr>
          <w:b/>
          <w:color w:val="000000"/>
          <w:sz w:val="20"/>
          <w:szCs w:val="20"/>
          <w:lang w:val="it-IT"/>
        </w:rPr>
      </w:pPr>
      <w:r w:rsidRPr="00DF1030">
        <w:rPr>
          <w:b/>
          <w:color w:val="000000"/>
          <w:sz w:val="20"/>
          <w:szCs w:val="20"/>
          <w:lang w:val="it-IT"/>
        </w:rPr>
        <w:t xml:space="preserve">Nikola Dubljević  Predsjednik komisije </w:t>
      </w:r>
    </w:p>
    <w:p w:rsidR="00AD61BF" w:rsidRPr="00DF1030" w:rsidRDefault="00AD61BF" w:rsidP="00AD61BF">
      <w:pPr>
        <w:pStyle w:val="ListParagraph"/>
        <w:jc w:val="right"/>
        <w:rPr>
          <w:b/>
          <w:color w:val="000000"/>
          <w:sz w:val="20"/>
          <w:szCs w:val="20"/>
          <w:lang w:val="it-IT"/>
        </w:rPr>
      </w:pPr>
    </w:p>
    <w:p w:rsidR="00AD61BF" w:rsidRPr="00DF1030" w:rsidRDefault="00AD61BF" w:rsidP="00AD61BF">
      <w:pPr>
        <w:pStyle w:val="ListParagraph"/>
        <w:jc w:val="right"/>
        <w:rPr>
          <w:b/>
          <w:color w:val="000000"/>
          <w:sz w:val="20"/>
          <w:szCs w:val="20"/>
          <w:lang w:val="it-IT"/>
        </w:rPr>
      </w:pPr>
      <w:r w:rsidRPr="00DF1030">
        <w:rPr>
          <w:b/>
          <w:color w:val="000000"/>
          <w:sz w:val="20"/>
          <w:szCs w:val="20"/>
          <w:lang w:val="it-IT"/>
        </w:rPr>
        <w:t xml:space="preserve">Vesko Dedeić  član </w:t>
      </w:r>
    </w:p>
    <w:p w:rsidR="00AD61BF" w:rsidRPr="00DF1030" w:rsidRDefault="00AD61BF" w:rsidP="00AD61BF">
      <w:pPr>
        <w:pStyle w:val="ListParagraph"/>
        <w:jc w:val="right"/>
        <w:rPr>
          <w:b/>
          <w:color w:val="000000"/>
          <w:sz w:val="20"/>
          <w:szCs w:val="20"/>
          <w:lang w:val="it-IT"/>
        </w:rPr>
      </w:pPr>
    </w:p>
    <w:p w:rsidR="00AD61BF" w:rsidRPr="00DF1030" w:rsidRDefault="00AD61BF" w:rsidP="00AD61BF">
      <w:pPr>
        <w:pStyle w:val="ListParagraph"/>
        <w:jc w:val="right"/>
        <w:rPr>
          <w:b/>
          <w:i/>
          <w:color w:val="000000"/>
          <w:sz w:val="20"/>
          <w:szCs w:val="20"/>
          <w:lang w:val="it-IT"/>
        </w:rPr>
      </w:pPr>
      <w:r w:rsidRPr="00DF1030">
        <w:rPr>
          <w:b/>
          <w:color w:val="000000"/>
          <w:sz w:val="20"/>
          <w:szCs w:val="20"/>
          <w:lang w:val="it-IT"/>
        </w:rPr>
        <w:t>Tatjana Vojinović  član</w:t>
      </w:r>
    </w:p>
    <w:p w:rsidR="00AD61BF" w:rsidRPr="00DF1030" w:rsidRDefault="00AD61BF" w:rsidP="00FB4999">
      <w:pPr>
        <w:spacing w:before="400"/>
        <w:jc w:val="both"/>
        <w:rPr>
          <w:b/>
        </w:rPr>
      </w:pPr>
    </w:p>
    <w:p w:rsidR="00887E68" w:rsidRDefault="00887E68" w:rsidP="00887E68">
      <w:pPr>
        <w:pStyle w:val="ListParagraph"/>
        <w:spacing w:before="40" w:after="40" w:line="300" w:lineRule="auto"/>
        <w:ind w:left="720"/>
        <w:jc w:val="both"/>
      </w:pPr>
    </w:p>
    <w:p w:rsidR="00887E68" w:rsidRDefault="00887E68" w:rsidP="00887E68"/>
    <w:sectPr w:rsidR="00887E68" w:rsidSect="00FA378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084743"/>
    <w:multiLevelType w:val="hybridMultilevel"/>
    <w:tmpl w:val="163E96A8"/>
    <w:lvl w:ilvl="0" w:tplc="34762528">
      <w:start w:val="1"/>
      <w:numFmt w:val="bullet"/>
      <w:lvlText w:val="•"/>
      <w:lvlJc w:val="left"/>
      <w:pPr>
        <w:ind w:left="720" w:hanging="360"/>
      </w:pPr>
    </w:lvl>
    <w:lvl w:ilvl="1" w:tplc="E4C2A86E">
      <w:numFmt w:val="decimal"/>
      <w:lvlText w:val=""/>
      <w:lvlJc w:val="left"/>
    </w:lvl>
    <w:lvl w:ilvl="2" w:tplc="01009ACE">
      <w:numFmt w:val="decimal"/>
      <w:lvlText w:val=""/>
      <w:lvlJc w:val="left"/>
    </w:lvl>
    <w:lvl w:ilvl="3" w:tplc="727ECD96">
      <w:numFmt w:val="decimal"/>
      <w:lvlText w:val=""/>
      <w:lvlJc w:val="left"/>
    </w:lvl>
    <w:lvl w:ilvl="4" w:tplc="70B410CA">
      <w:numFmt w:val="decimal"/>
      <w:lvlText w:val=""/>
      <w:lvlJc w:val="left"/>
    </w:lvl>
    <w:lvl w:ilvl="5" w:tplc="67D4AE98">
      <w:numFmt w:val="decimal"/>
      <w:lvlText w:val=""/>
      <w:lvlJc w:val="left"/>
    </w:lvl>
    <w:lvl w:ilvl="6" w:tplc="68BECBB2">
      <w:numFmt w:val="decimal"/>
      <w:lvlText w:val=""/>
      <w:lvlJc w:val="left"/>
    </w:lvl>
    <w:lvl w:ilvl="7" w:tplc="2670DE5A">
      <w:numFmt w:val="decimal"/>
      <w:lvlText w:val=""/>
      <w:lvlJc w:val="left"/>
    </w:lvl>
    <w:lvl w:ilvl="8" w:tplc="CB1ED42C">
      <w:numFmt w:val="decimal"/>
      <w:lvlText w:val=""/>
      <w:lvlJc w:val="left"/>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hideSpellingErrors/>
  <w:proofState w:grammar="clean"/>
  <w:defaultTabStop w:val="708"/>
  <w:hyphenationZone w:val="425"/>
  <w:characterSpacingControl w:val="doNotCompress"/>
  <w:compat/>
  <w:rsids>
    <w:rsidRoot w:val="00887E68"/>
    <w:rsid w:val="00073A5A"/>
    <w:rsid w:val="001157AF"/>
    <w:rsid w:val="002746D2"/>
    <w:rsid w:val="006D1125"/>
    <w:rsid w:val="00887E68"/>
    <w:rsid w:val="00971069"/>
    <w:rsid w:val="00AA674D"/>
    <w:rsid w:val="00AD61BF"/>
    <w:rsid w:val="00DF1030"/>
    <w:rsid w:val="00E82C10"/>
    <w:rsid w:val="00EE4918"/>
    <w:rsid w:val="00FA378A"/>
    <w:rsid w:val="00FB499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heme="minorHAnsi" w:hAnsi="Arial Narrow" w:cs="Times New Roman"/>
        <w:b/>
        <w: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7E68"/>
    <w:pPr>
      <w:spacing w:after="0" w:line="240" w:lineRule="auto"/>
    </w:pPr>
    <w:rPr>
      <w:rFonts w:ascii="Arial" w:eastAsia="Arial" w:hAnsi="Arial" w:cs="Arial"/>
      <w:b w:val="0"/>
      <w:i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87E68"/>
    <w:pPr>
      <w:spacing w:after="0" w:line="240" w:lineRule="auto"/>
    </w:pPr>
    <w:rPr>
      <w:rFonts w:ascii="Calibri" w:eastAsia="Calibri" w:hAnsi="Calibri"/>
      <w:b w:val="0"/>
      <w:i w:val="0"/>
    </w:rPr>
  </w:style>
  <w:style w:type="paragraph" w:styleId="BalloonText">
    <w:name w:val="Balloon Text"/>
    <w:basedOn w:val="Normal"/>
    <w:link w:val="BalloonTextChar"/>
    <w:uiPriority w:val="99"/>
    <w:semiHidden/>
    <w:unhideWhenUsed/>
    <w:rsid w:val="00887E68"/>
    <w:rPr>
      <w:rFonts w:ascii="Tahoma" w:hAnsi="Tahoma" w:cs="Tahoma"/>
      <w:sz w:val="16"/>
      <w:szCs w:val="16"/>
    </w:rPr>
  </w:style>
  <w:style w:type="character" w:customStyle="1" w:styleId="BalloonTextChar">
    <w:name w:val="Balloon Text Char"/>
    <w:basedOn w:val="DefaultParagraphFont"/>
    <w:link w:val="BalloonText"/>
    <w:uiPriority w:val="99"/>
    <w:semiHidden/>
    <w:rsid w:val="00887E68"/>
    <w:rPr>
      <w:rFonts w:ascii="Tahoma" w:eastAsia="Arial" w:hAnsi="Tahoma" w:cs="Tahoma"/>
      <w:b w:val="0"/>
      <w:i w:val="0"/>
      <w:sz w:val="16"/>
      <w:szCs w:val="16"/>
    </w:rPr>
  </w:style>
  <w:style w:type="paragraph" w:styleId="ListParagraph">
    <w:name w:val="List Paragraph"/>
    <w:qFormat/>
    <w:rsid w:val="00887E68"/>
    <w:pPr>
      <w:spacing w:after="0" w:line="240" w:lineRule="auto"/>
    </w:pPr>
    <w:rPr>
      <w:rFonts w:ascii="Arial" w:eastAsia="Arial" w:hAnsi="Arial" w:cs="Arial"/>
      <w:b w:val="0"/>
      <w:i w:val="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038F0-DA60-4E55-A122-6ADC4B277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4047</Words>
  <Characters>23068</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Zabljak2</dc:creator>
  <cp:lastModifiedBy>Zabljak2</cp:lastModifiedBy>
  <cp:revision>9</cp:revision>
  <cp:lastPrinted>2026-05-26T06:08:00Z</cp:lastPrinted>
  <dcterms:created xsi:type="dcterms:W3CDTF">2026-05-25T12:06:00Z</dcterms:created>
  <dcterms:modified xsi:type="dcterms:W3CDTF">2026-05-26T06:08:00Z</dcterms:modified>
</cp:coreProperties>
</file>