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02AA" w:rsidRDefault="00A54945">
      <w:pPr>
        <w:tabs>
          <w:tab w:val="left" w:pos="1701"/>
          <w:tab w:val="left" w:pos="4820"/>
        </w:tabs>
        <w:jc w:val="both"/>
        <w:rPr>
          <w:color w:val="000000"/>
          <w:lang w:val="sr-Latn-ME"/>
        </w:rPr>
      </w:pPr>
      <w:r>
        <w:rPr>
          <w:color w:val="000000"/>
          <w:lang w:val="sr-Latn-ME"/>
        </w:rPr>
        <w:t>Komisija za tržište kapitala</w:t>
      </w:r>
    </w:p>
    <w:p w:rsidR="00B202AA" w:rsidRDefault="00A54945">
      <w:pPr>
        <w:jc w:val="both"/>
      </w:pPr>
      <w:r>
        <w:t xml:space="preserve">Broj iz evidencije postupaka javnih nabavki: </w:t>
      </w:r>
      <w:r>
        <w:rPr>
          <w:color w:val="000000"/>
        </w:rPr>
        <w:t>01/7-475/</w:t>
      </w:r>
      <w:r>
        <w:rPr>
          <w:color w:val="000000"/>
          <w:lang w:val="sr-Latn-ME"/>
        </w:rPr>
        <w:t>3</w:t>
      </w:r>
      <w:r>
        <w:rPr>
          <w:color w:val="000000"/>
        </w:rPr>
        <w:t>-26</w:t>
      </w:r>
      <w:r>
        <w:tab/>
      </w:r>
    </w:p>
    <w:p w:rsidR="00B202AA" w:rsidRDefault="00A54945">
      <w:pPr>
        <w:jc w:val="both"/>
        <w:rPr>
          <w:color w:val="000000"/>
          <w:lang w:val="sr-Latn-ME"/>
        </w:rPr>
      </w:pPr>
      <w:r>
        <w:rPr>
          <w:color w:val="000000"/>
        </w:rPr>
        <w:t xml:space="preserve">Redni broj iz Plana javnih nabavki: </w:t>
      </w:r>
      <w:r w:rsidR="003C7CDE">
        <w:rPr>
          <w:color w:val="000000"/>
          <w:lang w:val="sr-Latn-ME"/>
        </w:rPr>
        <w:t>7</w:t>
      </w:r>
    </w:p>
    <w:p w:rsidR="00B202AA" w:rsidRDefault="00A54945">
      <w:pPr>
        <w:jc w:val="both"/>
        <w:rPr>
          <w:b/>
          <w:bCs/>
          <w:color w:val="000000"/>
        </w:rPr>
      </w:pPr>
      <w:r>
        <w:rPr>
          <w:color w:val="000000"/>
        </w:rPr>
        <w:t xml:space="preserve">Mjesto i datum: Podgorica, </w:t>
      </w:r>
      <w:r>
        <w:rPr>
          <w:color w:val="000000"/>
          <w:lang w:val="sr-Latn-ME"/>
        </w:rPr>
        <w:t>2</w:t>
      </w:r>
      <w:r w:rsidR="00D839BF">
        <w:rPr>
          <w:color w:val="000000"/>
          <w:lang w:val="sr-Latn-ME"/>
        </w:rPr>
        <w:t>6</w:t>
      </w:r>
      <w:r>
        <w:rPr>
          <w:color w:val="000000"/>
        </w:rPr>
        <w:t>.</w:t>
      </w:r>
      <w:proofErr w:type="gramStart"/>
      <w:r>
        <w:rPr>
          <w:color w:val="000000"/>
        </w:rPr>
        <w:t>0</w:t>
      </w:r>
      <w:r>
        <w:rPr>
          <w:color w:val="000000"/>
          <w:lang w:val="sr-Latn-ME"/>
        </w:rPr>
        <w:t>5</w:t>
      </w:r>
      <w:r>
        <w:rPr>
          <w:color w:val="000000"/>
        </w:rPr>
        <w:t>.202</w:t>
      </w:r>
      <w:r>
        <w:rPr>
          <w:color w:val="000000"/>
          <w:lang w:val="sr-Latn-ME"/>
        </w:rPr>
        <w:t>6</w:t>
      </w:r>
      <w:r>
        <w:rPr>
          <w:color w:val="000000"/>
        </w:rPr>
        <w:t>.godine</w:t>
      </w:r>
      <w:proofErr w:type="gramEnd"/>
    </w:p>
    <w:p w:rsidR="00B202AA" w:rsidRDefault="00B202AA">
      <w:pPr>
        <w:keepNext/>
        <w:jc w:val="both"/>
        <w:outlineLvl w:val="0"/>
        <w:rPr>
          <w:b/>
          <w:bCs/>
          <w:i/>
          <w:iCs/>
          <w:color w:val="000000"/>
        </w:rPr>
      </w:pPr>
    </w:p>
    <w:p w:rsidR="00B202AA" w:rsidRDefault="00B202AA">
      <w:pPr>
        <w:keepNext/>
        <w:jc w:val="both"/>
        <w:outlineLvl w:val="0"/>
        <w:rPr>
          <w:b/>
          <w:bCs/>
          <w:i/>
          <w:iCs/>
          <w:color w:val="000000"/>
        </w:rPr>
      </w:pPr>
    </w:p>
    <w:p w:rsidR="00B202AA" w:rsidRDefault="00B202AA"/>
    <w:p w:rsidR="00B202AA" w:rsidRDefault="00B202AA">
      <w:pPr>
        <w:tabs>
          <w:tab w:val="left" w:pos="1276"/>
          <w:tab w:val="left" w:pos="3261"/>
        </w:tabs>
        <w:jc w:val="both"/>
      </w:pPr>
    </w:p>
    <w:p w:rsidR="00B202AA" w:rsidRDefault="00A54945">
      <w:pPr>
        <w:tabs>
          <w:tab w:val="left" w:pos="1276"/>
          <w:tab w:val="left" w:pos="3261"/>
        </w:tabs>
        <w:jc w:val="both"/>
      </w:pPr>
      <w:r>
        <w:t xml:space="preserve">Na osnovu člana 53 stav 3 Zakona o javnim nabavkama („Službeni list </w:t>
      </w:r>
      <w:proofErr w:type="gramStart"/>
      <w:r>
        <w:t>CG“</w:t>
      </w:r>
      <w:proofErr w:type="gramEnd"/>
      <w:r>
        <w:t xml:space="preserve">, br. 074/19, 3/2023 i 11/2023 ) </w:t>
      </w:r>
      <w:r>
        <w:rPr>
          <w:lang w:val="sr-Latn-ME"/>
        </w:rPr>
        <w:t>Komisija za tržište kapitala</w:t>
      </w:r>
      <w:r>
        <w:rPr>
          <w:color w:val="000000"/>
        </w:rPr>
        <w:t>,</w:t>
      </w:r>
      <w:r>
        <w:rPr>
          <w:color w:val="000000"/>
          <w:lang w:val="sr-Latn-ME"/>
        </w:rPr>
        <w:t xml:space="preserve"> o</w:t>
      </w:r>
      <w:r>
        <w:t>bjavljuje</w:t>
      </w:r>
    </w:p>
    <w:p w:rsidR="00B202AA" w:rsidRDefault="00B202AA">
      <w:pPr>
        <w:jc w:val="both"/>
      </w:pPr>
    </w:p>
    <w:p w:rsidR="00B202AA" w:rsidRDefault="00B202AA">
      <w:pPr>
        <w:keepNext/>
        <w:jc w:val="both"/>
        <w:outlineLvl w:val="0"/>
        <w:rPr>
          <w:i/>
          <w:iCs/>
          <w:color w:val="000000"/>
        </w:rPr>
      </w:pPr>
    </w:p>
    <w:p w:rsidR="00B202AA" w:rsidRDefault="00B202AA">
      <w:pPr>
        <w:rPr>
          <w:color w:val="000000"/>
        </w:rPr>
      </w:pPr>
    </w:p>
    <w:p w:rsidR="00B202AA" w:rsidRDefault="00B202AA">
      <w:pPr>
        <w:rPr>
          <w:color w:val="000000"/>
        </w:rPr>
      </w:pPr>
    </w:p>
    <w:p w:rsidR="00B202AA" w:rsidRDefault="00B202AA">
      <w:pPr>
        <w:rPr>
          <w:color w:val="000000"/>
        </w:rPr>
      </w:pPr>
    </w:p>
    <w:p w:rsidR="00B202AA" w:rsidRDefault="00B202AA">
      <w:pPr>
        <w:rPr>
          <w:color w:val="000000"/>
        </w:rPr>
      </w:pPr>
    </w:p>
    <w:p w:rsidR="00B202AA" w:rsidRDefault="00B202AA">
      <w:pPr>
        <w:keepNext/>
        <w:jc w:val="center"/>
        <w:outlineLvl w:val="0"/>
        <w:rPr>
          <w:b/>
          <w:bCs/>
          <w:color w:val="000000"/>
        </w:rPr>
      </w:pPr>
    </w:p>
    <w:p w:rsidR="00B202AA" w:rsidRDefault="00A54945">
      <w:pPr>
        <w:jc w:val="center"/>
        <w:rPr>
          <w:b/>
          <w:bCs/>
          <w:color w:val="000000"/>
        </w:rPr>
      </w:pPr>
      <w:r>
        <w:rPr>
          <w:b/>
          <w:bCs/>
          <w:color w:val="000000"/>
        </w:rPr>
        <w:t>TENDERSKU DOKUMENTACIJU</w:t>
      </w:r>
    </w:p>
    <w:p w:rsidR="00B202AA" w:rsidRDefault="00A54945">
      <w:pPr>
        <w:jc w:val="center"/>
        <w:rPr>
          <w:b/>
          <w:bCs/>
          <w:color w:val="000000"/>
        </w:rPr>
      </w:pPr>
      <w:r>
        <w:rPr>
          <w:b/>
          <w:bCs/>
          <w:color w:val="000000"/>
        </w:rPr>
        <w:t>ZA OTVORENI POSTUPAK JAVNE NABAVKE</w:t>
      </w:r>
    </w:p>
    <w:p w:rsidR="00B202AA" w:rsidRDefault="00B202AA">
      <w:pPr>
        <w:jc w:val="center"/>
        <w:rPr>
          <w:b/>
          <w:bCs/>
          <w:color w:val="000000"/>
        </w:rPr>
      </w:pPr>
    </w:p>
    <w:p w:rsidR="00B202AA" w:rsidRDefault="00A54945">
      <w:pPr>
        <w:tabs>
          <w:tab w:val="left" w:pos="1701"/>
          <w:tab w:val="left" w:pos="4820"/>
        </w:tabs>
        <w:jc w:val="center"/>
        <w:rPr>
          <w:color w:val="000000"/>
          <w:lang w:val="sr-Latn-ME"/>
        </w:rPr>
      </w:pPr>
      <w:r>
        <w:rPr>
          <w:color w:val="000000"/>
        </w:rPr>
        <w:t>Usluge – Unapređenje SupTech rješenja za nadzor tržišta kapitala za potrebe Komisije za tržište kapitala</w:t>
      </w:r>
    </w:p>
    <w:p w:rsidR="00B202AA" w:rsidRDefault="00B202AA">
      <w:pPr>
        <w:jc w:val="center"/>
        <w:rPr>
          <w:color w:val="000000"/>
        </w:rPr>
      </w:pPr>
    </w:p>
    <w:p w:rsidR="00B202AA" w:rsidRDefault="00B202AA">
      <w:pPr>
        <w:jc w:val="both"/>
        <w:rPr>
          <w:rFonts w:ascii="Cambria" w:eastAsia="Calibri" w:hAnsi="Cambria" w:cs="Calibri"/>
          <w:b/>
          <w:lang w:val="it-IT"/>
        </w:rPr>
      </w:pPr>
    </w:p>
    <w:p w:rsidR="00B202AA" w:rsidRDefault="00B202AA">
      <w:pPr>
        <w:jc w:val="both"/>
        <w:rPr>
          <w:rFonts w:ascii="Cambria" w:eastAsia="Calibri" w:hAnsi="Cambria" w:cs="Calibri"/>
          <w:b/>
          <w:lang w:val="it-IT"/>
        </w:rPr>
      </w:pPr>
    </w:p>
    <w:p w:rsidR="00B202AA" w:rsidRDefault="00B202AA">
      <w:pPr>
        <w:jc w:val="both"/>
        <w:rPr>
          <w:rFonts w:ascii="Cambria" w:eastAsia="Calibri" w:hAnsi="Cambria" w:cs="Calibri"/>
          <w:b/>
          <w:lang w:val="it-IT"/>
        </w:rPr>
      </w:pPr>
    </w:p>
    <w:p w:rsidR="00B202AA" w:rsidRDefault="00B202AA">
      <w:pPr>
        <w:jc w:val="both"/>
        <w:rPr>
          <w:rFonts w:ascii="Cambria" w:eastAsia="Calibri" w:hAnsi="Cambria" w:cs="Calibri"/>
          <w:b/>
          <w:lang w:val="it-IT"/>
        </w:rPr>
      </w:pPr>
    </w:p>
    <w:p w:rsidR="00B202AA" w:rsidRDefault="00B202AA">
      <w:pPr>
        <w:jc w:val="both"/>
        <w:rPr>
          <w:rFonts w:ascii="Cambria" w:eastAsia="Calibri" w:hAnsi="Cambria" w:cs="Calibri"/>
          <w:b/>
          <w:lang w:val="it-IT"/>
        </w:rPr>
      </w:pPr>
    </w:p>
    <w:p w:rsidR="00B202AA" w:rsidRDefault="00B202AA">
      <w:pPr>
        <w:jc w:val="both"/>
        <w:rPr>
          <w:rFonts w:ascii="Cambria" w:eastAsia="Calibri" w:hAnsi="Cambria" w:cs="Calibri"/>
          <w:b/>
          <w:lang w:val="it-IT"/>
        </w:rPr>
      </w:pPr>
    </w:p>
    <w:p w:rsidR="00B202AA" w:rsidRDefault="00A54945">
      <w:pPr>
        <w:jc w:val="both"/>
        <w:rPr>
          <w:color w:val="000000"/>
        </w:rPr>
      </w:pPr>
      <w:r>
        <w:rPr>
          <w:color w:val="000000"/>
        </w:rPr>
        <w:t>Predmet nabavke se nabavlja:</w:t>
      </w:r>
    </w:p>
    <w:p w:rsidR="00B202AA" w:rsidRDefault="00B202AA">
      <w:pPr>
        <w:jc w:val="both"/>
        <w:rPr>
          <w:color w:val="000000"/>
        </w:rPr>
      </w:pPr>
    </w:p>
    <w:p w:rsidR="00B202AA" w:rsidRDefault="00A54945">
      <w:pPr>
        <w:jc w:val="both"/>
        <w:rPr>
          <w:color w:val="000000"/>
        </w:rPr>
      </w:pPr>
      <w:r>
        <w:rPr>
          <w:color w:val="000000"/>
        </w:rPr>
        <w:sym w:font="Wingdings" w:char="F0A8"/>
      </w:r>
      <w:r>
        <w:rPr>
          <w:color w:val="000000"/>
        </w:rPr>
        <w:t xml:space="preserve"> kao cjelina </w:t>
      </w:r>
    </w:p>
    <w:p w:rsidR="00B202AA" w:rsidRDefault="00B202AA">
      <w:pPr>
        <w:jc w:val="both"/>
        <w:rPr>
          <w:rFonts w:ascii="Cambria" w:eastAsia="Calibri" w:hAnsi="Cambria" w:cs="Calibri"/>
          <w:b/>
          <w:lang w:val="it-IT"/>
        </w:rPr>
      </w:pPr>
    </w:p>
    <w:p w:rsidR="00B202AA" w:rsidRDefault="00B202AA">
      <w:pPr>
        <w:jc w:val="both"/>
        <w:rPr>
          <w:rFonts w:ascii="Cambria" w:eastAsia="Calibri" w:hAnsi="Cambria" w:cs="Calibri"/>
          <w:b/>
          <w:lang w:val="it-IT"/>
        </w:rPr>
      </w:pPr>
    </w:p>
    <w:p w:rsidR="00B202AA" w:rsidRDefault="00B202AA">
      <w:pPr>
        <w:jc w:val="both"/>
        <w:rPr>
          <w:rFonts w:ascii="Cambria" w:hAnsi="Cambria"/>
          <w:color w:val="000000"/>
        </w:rPr>
      </w:pPr>
    </w:p>
    <w:p w:rsidR="00B202AA" w:rsidRDefault="00B202AA">
      <w:pPr>
        <w:tabs>
          <w:tab w:val="left" w:pos="1276"/>
          <w:tab w:val="left" w:pos="3261"/>
        </w:tabs>
        <w:jc w:val="both"/>
        <w:rPr>
          <w:rFonts w:ascii="Cambria" w:hAnsi="Cambria" w:cs="Arial"/>
        </w:rPr>
      </w:pPr>
    </w:p>
    <w:p w:rsidR="00B202AA" w:rsidRDefault="00B202AA">
      <w:pPr>
        <w:jc w:val="center"/>
        <w:rPr>
          <w:rFonts w:ascii="Cambria" w:eastAsia="Calibri" w:hAnsi="Cambria" w:cs="Calibri"/>
          <w:b/>
          <w:lang w:val="it-IT"/>
        </w:rPr>
      </w:pPr>
    </w:p>
    <w:p w:rsidR="00B202AA" w:rsidRDefault="00B202AA">
      <w:pPr>
        <w:jc w:val="center"/>
        <w:rPr>
          <w:color w:val="000000"/>
        </w:rPr>
      </w:pPr>
    </w:p>
    <w:p w:rsidR="00B202AA" w:rsidRDefault="00B202AA">
      <w:pPr>
        <w:rPr>
          <w:bCs/>
          <w:color w:val="000000"/>
          <w:shd w:val="clear" w:color="auto" w:fill="FFFFFF"/>
        </w:rPr>
      </w:pPr>
    </w:p>
    <w:p w:rsidR="00B202AA" w:rsidRDefault="00B202AA">
      <w:pPr>
        <w:rPr>
          <w:bCs/>
          <w:color w:val="000000"/>
          <w:shd w:val="clear" w:color="auto" w:fill="FFFFFF"/>
        </w:rPr>
      </w:pPr>
    </w:p>
    <w:p w:rsidR="00B202AA" w:rsidRDefault="00B202AA">
      <w:pPr>
        <w:rPr>
          <w:bCs/>
          <w:color w:val="000000"/>
          <w:shd w:val="clear" w:color="auto" w:fill="FFFFFF"/>
        </w:rPr>
      </w:pPr>
    </w:p>
    <w:p w:rsidR="00B202AA" w:rsidRDefault="00B202AA">
      <w:pPr>
        <w:rPr>
          <w:bCs/>
          <w:color w:val="000000"/>
          <w:shd w:val="clear" w:color="auto" w:fill="FFFFFF"/>
        </w:rPr>
      </w:pPr>
    </w:p>
    <w:p w:rsidR="00B202AA" w:rsidRDefault="00B202AA">
      <w:pPr>
        <w:rPr>
          <w:bCs/>
          <w:color w:val="000000"/>
          <w:shd w:val="clear" w:color="auto" w:fill="FFFFFF"/>
        </w:rPr>
      </w:pPr>
    </w:p>
    <w:p w:rsidR="00B202AA" w:rsidRDefault="00B202AA">
      <w:pPr>
        <w:rPr>
          <w:bCs/>
          <w:color w:val="000000"/>
          <w:shd w:val="clear" w:color="auto" w:fill="FFFFFF"/>
        </w:rPr>
      </w:pPr>
    </w:p>
    <w:p w:rsidR="00B202AA" w:rsidRDefault="00B202AA">
      <w:pPr>
        <w:rPr>
          <w:bCs/>
          <w:color w:val="000000"/>
          <w:shd w:val="clear" w:color="auto" w:fill="FFFFFF"/>
        </w:rPr>
      </w:pPr>
    </w:p>
    <w:p w:rsidR="00B202AA" w:rsidRDefault="00B202AA">
      <w:pPr>
        <w:rPr>
          <w:bCs/>
          <w:color w:val="000000"/>
          <w:shd w:val="clear" w:color="auto" w:fill="FFFFFF"/>
        </w:rPr>
      </w:pPr>
    </w:p>
    <w:p w:rsidR="00B202AA" w:rsidRDefault="00B202AA">
      <w:pPr>
        <w:rPr>
          <w:bCs/>
          <w:color w:val="000000"/>
          <w:shd w:val="clear" w:color="auto" w:fill="FFFFFF"/>
        </w:rPr>
      </w:pPr>
    </w:p>
    <w:p w:rsidR="00B202AA" w:rsidRDefault="00B202AA">
      <w:pPr>
        <w:rPr>
          <w:bCs/>
          <w:color w:val="000000"/>
          <w:shd w:val="clear" w:color="auto" w:fill="FFFFFF"/>
        </w:rPr>
      </w:pPr>
    </w:p>
    <w:p w:rsidR="00B202AA" w:rsidRDefault="00B202AA">
      <w:pPr>
        <w:jc w:val="both"/>
        <w:rPr>
          <w:rFonts w:ascii="Arial" w:hAnsi="Arial" w:cs="Arial"/>
        </w:rPr>
      </w:pPr>
    </w:p>
    <w:p w:rsidR="00B202AA" w:rsidRDefault="00A54945">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heme="minorHAnsi" w:hAnsi="Arial" w:cstheme="minorBidi"/>
          <w:b/>
          <w:color w:val="000000"/>
          <w:sz w:val="22"/>
          <w:szCs w:val="32"/>
          <w:lang w:val="sr-Latn-ME"/>
        </w:rPr>
      </w:pPr>
      <w:r>
        <w:rPr>
          <w:rFonts w:ascii="Arial" w:eastAsiaTheme="minorHAnsi" w:hAnsi="Arial" w:cstheme="minorBidi"/>
          <w:b/>
          <w:color w:val="000000"/>
          <w:sz w:val="22"/>
          <w:szCs w:val="32"/>
          <w:lang w:val="sr-Latn-ME"/>
        </w:rPr>
        <w:lastRenderedPageBreak/>
        <w:t>POZIV ZA NADMETANJE</w:t>
      </w:r>
      <w:r>
        <w:rPr>
          <w:rFonts w:ascii="Arial" w:eastAsiaTheme="minorHAnsi" w:hAnsi="Arial" w:cstheme="minorBidi"/>
          <w:b/>
          <w:color w:val="000000"/>
          <w:sz w:val="22"/>
          <w:szCs w:val="32"/>
          <w:vertAlign w:val="superscript"/>
          <w:lang w:val="sr-Latn-ME"/>
        </w:rPr>
        <w:footnoteReference w:id="1"/>
      </w:r>
      <w:r>
        <w:rPr>
          <w:rFonts w:ascii="Arial" w:eastAsiaTheme="minorHAnsi" w:hAnsi="Arial" w:cstheme="minorBidi"/>
          <w:b/>
          <w:color w:val="000000"/>
          <w:sz w:val="22"/>
          <w:szCs w:val="32"/>
          <w:lang w:val="sr-Latn-ME"/>
        </w:rPr>
        <w:t xml:space="preserve"> </w:t>
      </w:r>
    </w:p>
    <w:p w:rsidR="00B202AA" w:rsidRDefault="00A54945">
      <w:pPr>
        <w:spacing w:after="160" w:line="259" w:lineRule="auto"/>
        <w:rPr>
          <w:rFonts w:ascii="Arial" w:eastAsiaTheme="minorHAnsi" w:hAnsi="Arial" w:cs="Arial"/>
          <w:b/>
          <w:bCs/>
          <w:color w:val="000000"/>
          <w:sz w:val="22"/>
          <w:szCs w:val="22"/>
          <w:lang w:val="sr-Latn-ME"/>
        </w:rPr>
      </w:pPr>
      <w:r>
        <w:rPr>
          <w:rFonts w:ascii="Arial" w:eastAsiaTheme="minorHAnsi" w:hAnsi="Arial" w:cs="Arial"/>
          <w:b/>
          <w:bCs/>
          <w:color w:val="000000"/>
          <w:sz w:val="22"/>
          <w:szCs w:val="22"/>
          <w:lang w:val="sr-Latn-ME"/>
        </w:rPr>
        <w:tab/>
      </w:r>
    </w:p>
    <w:p w:rsidR="00B202AA" w:rsidRDefault="00A54945">
      <w:pPr>
        <w:numPr>
          <w:ilvl w:val="0"/>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Podaci o naručiocu;</w:t>
      </w:r>
    </w:p>
    <w:p w:rsidR="00B202AA" w:rsidRDefault="00A54945">
      <w:pPr>
        <w:numPr>
          <w:ilvl w:val="0"/>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Podaci o postupku i predmetu javne nabavke: </w:t>
      </w:r>
    </w:p>
    <w:p w:rsidR="00B202AA" w:rsidRDefault="00A54945">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Vrsta postupka,</w:t>
      </w:r>
    </w:p>
    <w:p w:rsidR="00B202AA" w:rsidRDefault="00A54945">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Predmet javne nabavke (vrsta predmeta, naziv i opis predmeta),</w:t>
      </w:r>
    </w:p>
    <w:p w:rsidR="00B202AA" w:rsidRDefault="00A54945">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Procijenjena vrijednost predmeta nabavke</w:t>
      </w:r>
      <w:r>
        <w:rPr>
          <w:rFonts w:ascii="Arial" w:eastAsia="Calibri" w:hAnsi="Arial" w:cs="Arial"/>
          <w:color w:val="000000"/>
          <w:sz w:val="22"/>
          <w:szCs w:val="22"/>
          <w:vertAlign w:val="superscript"/>
          <w:lang w:val="sr-Latn-ME"/>
        </w:rPr>
        <w:footnoteReference w:id="2"/>
      </w:r>
      <w:r>
        <w:rPr>
          <w:rFonts w:ascii="Arial" w:eastAsia="Calibri" w:hAnsi="Arial" w:cs="Arial"/>
          <w:color w:val="000000"/>
          <w:sz w:val="22"/>
          <w:szCs w:val="22"/>
          <w:lang w:val="sr-Latn-ME"/>
        </w:rPr>
        <w:t>,</w:t>
      </w:r>
    </w:p>
    <w:p w:rsidR="00B202AA" w:rsidRDefault="00A54945">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Način nabavke: </w:t>
      </w:r>
    </w:p>
    <w:p w:rsidR="00B202AA" w:rsidRDefault="00A54945">
      <w:pPr>
        <w:numPr>
          <w:ilvl w:val="0"/>
          <w:numId w:val="3"/>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Cjelina, po partijama,</w:t>
      </w:r>
    </w:p>
    <w:p w:rsidR="00B202AA" w:rsidRDefault="00A54945">
      <w:pPr>
        <w:numPr>
          <w:ilvl w:val="0"/>
          <w:numId w:val="3"/>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Zajednička nabavka,</w:t>
      </w:r>
    </w:p>
    <w:p w:rsidR="00B202AA" w:rsidRDefault="00A54945">
      <w:pPr>
        <w:numPr>
          <w:ilvl w:val="0"/>
          <w:numId w:val="3"/>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Centralizovana nabavka,</w:t>
      </w:r>
    </w:p>
    <w:p w:rsidR="00B202AA" w:rsidRDefault="00A54945">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Posebni oblik nabavke:</w:t>
      </w:r>
    </w:p>
    <w:p w:rsidR="00B202AA" w:rsidRDefault="00A54945">
      <w:pPr>
        <w:numPr>
          <w:ilvl w:val="0"/>
          <w:numId w:val="4"/>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Okvirni sporazum,</w:t>
      </w:r>
    </w:p>
    <w:p w:rsidR="00B202AA" w:rsidRDefault="00A54945">
      <w:pPr>
        <w:numPr>
          <w:ilvl w:val="0"/>
          <w:numId w:val="4"/>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Dinamički sistem nabavki,</w:t>
      </w:r>
    </w:p>
    <w:p w:rsidR="00B202AA" w:rsidRDefault="00A54945">
      <w:pPr>
        <w:numPr>
          <w:ilvl w:val="0"/>
          <w:numId w:val="4"/>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Elektronska aukcija,</w:t>
      </w:r>
    </w:p>
    <w:p w:rsidR="00B202AA" w:rsidRDefault="00A54945">
      <w:pPr>
        <w:numPr>
          <w:ilvl w:val="0"/>
          <w:numId w:val="4"/>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Elektronski katalog,</w:t>
      </w:r>
    </w:p>
    <w:p w:rsidR="00B202AA" w:rsidRDefault="00A54945">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Uslovi za učešće u postupku javne nabavke i posebni osnovi za isključenje,</w:t>
      </w:r>
    </w:p>
    <w:p w:rsidR="00B202AA" w:rsidRDefault="00A54945">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Kriterijum za izbor najpovoljnije ponude,</w:t>
      </w:r>
    </w:p>
    <w:p w:rsidR="00B202AA" w:rsidRDefault="00A54945">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Način, mjesto i vrijeme podnošenja ponuda i otvaranja ponuda,</w:t>
      </w:r>
    </w:p>
    <w:p w:rsidR="00B202AA" w:rsidRDefault="00A54945">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za donošenje odluke o izboru,</w:t>
      </w:r>
    </w:p>
    <w:p w:rsidR="00B202AA" w:rsidRDefault="00A54945">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važenja ponude,</w:t>
      </w:r>
    </w:p>
    <w:p w:rsidR="00B202AA" w:rsidRDefault="00A54945">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Garancija ponude</w:t>
      </w:r>
    </w:p>
    <w:p w:rsidR="00B202AA" w:rsidRDefault="00B202AA">
      <w:pPr>
        <w:spacing w:after="160" w:line="259" w:lineRule="auto"/>
        <w:rPr>
          <w:rFonts w:ascii="Calibri" w:eastAsia="Calibri" w:hAnsi="Calibri" w:cstheme="minorBidi"/>
          <w:color w:val="000000"/>
          <w:sz w:val="22"/>
          <w:szCs w:val="22"/>
          <w:lang w:val="sr-Latn-ME"/>
        </w:rPr>
      </w:pPr>
    </w:p>
    <w:p w:rsidR="00B202AA" w:rsidRDefault="00A54945">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heme="minorHAnsi" w:hAnsi="Arial" w:cstheme="minorBidi"/>
          <w:b/>
          <w:color w:val="000000"/>
          <w:sz w:val="22"/>
          <w:szCs w:val="32"/>
          <w:lang w:val="sr-Latn-ME"/>
        </w:rPr>
      </w:pPr>
      <w:r>
        <w:rPr>
          <w:rFonts w:ascii="Arial" w:eastAsiaTheme="minorHAnsi" w:hAnsi="Arial" w:cstheme="minorBidi"/>
          <w:b/>
          <w:color w:val="000000"/>
          <w:sz w:val="22"/>
          <w:szCs w:val="32"/>
          <w:lang w:val="sr-Latn-ME"/>
        </w:rPr>
        <w:t>TEHNIČKA SPECIFIKACIJA PREDMETA JAVNE NABAVKE</w:t>
      </w:r>
      <w:r>
        <w:rPr>
          <w:rFonts w:ascii="Arial" w:eastAsiaTheme="minorHAnsi" w:hAnsi="Arial" w:cstheme="minorBidi"/>
          <w:b/>
          <w:color w:val="000000"/>
          <w:sz w:val="22"/>
          <w:szCs w:val="32"/>
          <w:vertAlign w:val="superscript"/>
          <w:lang w:val="sr-Latn-ME"/>
        </w:rPr>
        <w:footnoteReference w:id="3"/>
      </w:r>
    </w:p>
    <w:p w:rsidR="00B202AA" w:rsidRDefault="00B202AA">
      <w:pPr>
        <w:spacing w:after="160" w:line="259" w:lineRule="auto"/>
        <w:rPr>
          <w:rFonts w:ascii="Calibri" w:eastAsia="Calibri" w:hAnsi="Calibri" w:cstheme="minorBidi"/>
          <w:color w:val="000000"/>
          <w:sz w:val="22"/>
          <w:szCs w:val="22"/>
          <w:lang w:val="sr-Latn-ME"/>
        </w:rPr>
      </w:pPr>
    </w:p>
    <w:p w:rsidR="00B202AA" w:rsidRDefault="00A54945">
      <w:pPr>
        <w:numPr>
          <w:ilvl w:val="0"/>
          <w:numId w:val="5"/>
        </w:numPr>
        <w:spacing w:after="160" w:line="259" w:lineRule="auto"/>
        <w:ind w:left="1080"/>
        <w:contextualSpacing/>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Naziv i opis predmeta nabavke u cjelini, po partijama i stavkama sa bitnim karakteristikama</w:t>
      </w:r>
    </w:p>
    <w:p w:rsidR="00B202AA" w:rsidRDefault="00A54945">
      <w:pPr>
        <w:numPr>
          <w:ilvl w:val="0"/>
          <w:numId w:val="5"/>
        </w:numPr>
        <w:spacing w:after="160" w:line="259" w:lineRule="auto"/>
        <w:ind w:left="1080"/>
        <w:contextualSpacing/>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Zahtjevi u pogledu načina izvršavanja predmeta nabavke koji su od značaja za sačinjavanje ponude i izvršenje ugovora</w:t>
      </w:r>
    </w:p>
    <w:p w:rsidR="00B202AA" w:rsidRDefault="00B202AA">
      <w:pPr>
        <w:rPr>
          <w:bCs/>
          <w:color w:val="000000"/>
          <w:shd w:val="clear" w:color="auto" w:fill="FFFFFF"/>
        </w:rPr>
      </w:pPr>
    </w:p>
    <w:p w:rsidR="00B202AA" w:rsidRDefault="00B202AA">
      <w:pPr>
        <w:rPr>
          <w:bCs/>
          <w:color w:val="000000"/>
          <w:shd w:val="clear" w:color="auto" w:fill="FFFFFF"/>
        </w:rPr>
      </w:pPr>
    </w:p>
    <w:p w:rsidR="00B202AA" w:rsidRDefault="00B202AA">
      <w:pPr>
        <w:rPr>
          <w:bCs/>
          <w:color w:val="000000"/>
          <w:shd w:val="clear" w:color="auto" w:fill="FFFFFF"/>
        </w:rPr>
      </w:pPr>
    </w:p>
    <w:p w:rsidR="00B202AA" w:rsidRDefault="00B202AA">
      <w:pPr>
        <w:rPr>
          <w:bCs/>
          <w:color w:val="000000"/>
          <w:shd w:val="clear" w:color="auto" w:fill="FFFFFF"/>
        </w:rPr>
      </w:pPr>
    </w:p>
    <w:p w:rsidR="00B202AA" w:rsidRDefault="00B202AA">
      <w:pPr>
        <w:rPr>
          <w:bCs/>
          <w:color w:val="000000"/>
          <w:shd w:val="clear" w:color="auto" w:fill="FFFFFF"/>
        </w:rPr>
      </w:pPr>
    </w:p>
    <w:p w:rsidR="00B202AA" w:rsidRDefault="00B202AA">
      <w:pPr>
        <w:rPr>
          <w:bCs/>
          <w:color w:val="000000"/>
          <w:shd w:val="clear" w:color="auto" w:fill="FFFFFF"/>
        </w:rPr>
      </w:pPr>
    </w:p>
    <w:p w:rsidR="00B202AA" w:rsidRDefault="00B202AA">
      <w:pPr>
        <w:rPr>
          <w:bCs/>
          <w:color w:val="000000"/>
          <w:shd w:val="clear" w:color="auto" w:fill="FFFFFF"/>
        </w:rPr>
      </w:pPr>
    </w:p>
    <w:p w:rsidR="00B202AA" w:rsidRDefault="00B202AA">
      <w:pPr>
        <w:rPr>
          <w:bCs/>
          <w:color w:val="000000"/>
          <w:shd w:val="clear" w:color="auto" w:fill="FFFFFF"/>
        </w:rPr>
      </w:pPr>
    </w:p>
    <w:p w:rsidR="00B202AA" w:rsidRDefault="00B202AA">
      <w:pPr>
        <w:rPr>
          <w:bCs/>
          <w:color w:val="000000"/>
          <w:shd w:val="clear" w:color="auto" w:fill="FFFFFF"/>
        </w:rPr>
      </w:pPr>
    </w:p>
    <w:p w:rsidR="00B202AA" w:rsidRDefault="00B202AA">
      <w:pPr>
        <w:rPr>
          <w:bCs/>
          <w:color w:val="000000"/>
          <w:shd w:val="clear" w:color="auto" w:fill="FFFFFF"/>
        </w:rPr>
      </w:pPr>
    </w:p>
    <w:p w:rsidR="00B202AA" w:rsidRDefault="00B202AA">
      <w:pPr>
        <w:rPr>
          <w:bCs/>
          <w:color w:val="000000"/>
          <w:shd w:val="clear" w:color="auto" w:fill="FFFFFF"/>
        </w:rPr>
      </w:pPr>
    </w:p>
    <w:p w:rsidR="00B202AA" w:rsidRDefault="00B202AA">
      <w:pPr>
        <w:rPr>
          <w:bCs/>
          <w:color w:val="000000"/>
          <w:shd w:val="clear" w:color="auto" w:fill="FFFFFF"/>
        </w:rPr>
      </w:pPr>
    </w:p>
    <w:p w:rsidR="00B202AA" w:rsidRDefault="00B202AA">
      <w:pPr>
        <w:rPr>
          <w:bCs/>
          <w:color w:val="000000"/>
          <w:shd w:val="clear" w:color="auto" w:fill="FFFFFF"/>
        </w:rPr>
      </w:pPr>
    </w:p>
    <w:p w:rsidR="00B202AA" w:rsidRDefault="00A54945">
      <w:pPr>
        <w:keepNext/>
        <w:keepLines/>
        <w:pBdr>
          <w:top w:val="single" w:sz="4" w:space="1" w:color="auto"/>
          <w:left w:val="single" w:sz="4" w:space="4" w:color="auto"/>
          <w:bottom w:val="single" w:sz="4" w:space="1" w:color="auto"/>
          <w:right w:val="single" w:sz="4" w:space="4" w:color="auto"/>
        </w:pBdr>
        <w:shd w:val="clear" w:color="auto" w:fill="D9D9D9"/>
        <w:spacing w:before="240"/>
        <w:jc w:val="center"/>
        <w:outlineLvl w:val="0"/>
        <w:rPr>
          <w:rFonts w:ascii="Cambria" w:hAnsi="Cambria"/>
          <w:b/>
          <w:color w:val="000000"/>
          <w:szCs w:val="32"/>
          <w:lang w:val="sr-Latn-ME"/>
        </w:rPr>
      </w:pPr>
      <w:r>
        <w:rPr>
          <w:rFonts w:ascii="Cambria" w:hAnsi="Cambria"/>
          <w:b/>
          <w:color w:val="000000"/>
          <w:szCs w:val="32"/>
          <w:lang w:val="sr-Latn-ME"/>
        </w:rPr>
        <w:lastRenderedPageBreak/>
        <w:t>DODATNE INFORMACIJE O PREDMETU I POSTUPKU NABAVKE</w:t>
      </w:r>
    </w:p>
    <w:p w:rsidR="00B202AA" w:rsidRDefault="00B202AA">
      <w:pPr>
        <w:rPr>
          <w:bCs/>
          <w:color w:val="000000"/>
          <w:shd w:val="clear" w:color="auto" w:fill="FFFFFF"/>
        </w:rPr>
      </w:pPr>
    </w:p>
    <w:p w:rsidR="00B202AA" w:rsidRDefault="00B202AA">
      <w:pPr>
        <w:rPr>
          <w:bCs/>
          <w:color w:val="000000"/>
          <w:shd w:val="clear" w:color="auto" w:fill="FFFFFF"/>
        </w:rPr>
      </w:pPr>
    </w:p>
    <w:p w:rsidR="00B202AA" w:rsidRDefault="00A54945">
      <w:pPr>
        <w:pStyle w:val="Heading2"/>
      </w:pPr>
      <w:r>
        <w:t>Korisničke uloge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B202AA">
        <w:trPr>
          <w:tblHeader/>
        </w:trPr>
        <w:tc>
          <w:tcPr>
            <w:tcW w:w="240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vAlign w:val="center"/>
          </w:tcPr>
          <w:p w:rsidR="00B202AA" w:rsidRDefault="00A54945">
            <w:pPr>
              <w:spacing w:before="40" w:after="40" w:line="260" w:lineRule="auto"/>
            </w:pPr>
            <w:r>
              <w:rPr>
                <w:b/>
                <w:bCs/>
                <w:sz w:val="20"/>
                <w:szCs w:val="20"/>
              </w:rPr>
              <w:t>Uloga</w:t>
            </w:r>
          </w:p>
        </w:tc>
        <w:tc>
          <w:tcPr>
            <w:tcW w:w="696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vAlign w:val="center"/>
          </w:tcPr>
          <w:p w:rsidR="00B202AA" w:rsidRDefault="00A54945">
            <w:pPr>
              <w:spacing w:before="40" w:after="40" w:line="260" w:lineRule="auto"/>
            </w:pPr>
            <w:r>
              <w:rPr>
                <w:b/>
                <w:bCs/>
                <w:sz w:val="20"/>
                <w:szCs w:val="20"/>
              </w:rPr>
              <w:t>Opis</w:t>
            </w:r>
          </w:p>
        </w:tc>
      </w:tr>
      <w:tr w:rsidR="00B202AA">
        <w:tc>
          <w:tcPr>
            <w:tcW w:w="24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Administrator sistema</w:t>
            </w:r>
          </w:p>
        </w:tc>
        <w:tc>
          <w:tcPr>
            <w:tcW w:w="6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Konfiguracija parametara sistema, izvora podataka, integracija, sigurnosnih postavki i upravljanje korisničkim nalozima.</w:t>
            </w:r>
          </w:p>
        </w:tc>
      </w:tr>
      <w:tr w:rsidR="00B202AA">
        <w:tc>
          <w:tcPr>
            <w:tcW w:w="24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Metodolog / administrator pravila</w:t>
            </w:r>
          </w:p>
        </w:tc>
        <w:tc>
          <w:tcPr>
            <w:tcW w:w="69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Kreiranje, izmjena, testiranje i objavljivanje pravila usaglašavanja; verzionisanje i deaktivacija pravila.</w:t>
            </w:r>
          </w:p>
        </w:tc>
      </w:tr>
      <w:tr w:rsidR="00B202AA">
        <w:tc>
          <w:tcPr>
            <w:tcW w:w="24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Supervizor / analitičar</w:t>
            </w:r>
          </w:p>
        </w:tc>
        <w:tc>
          <w:tcPr>
            <w:tcW w:w="6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Pregled rezultata usaglašavanja, analiza odstupanja, klasifikacija, eskalacija, dodavanje komentara i dokaza.</w:t>
            </w:r>
          </w:p>
        </w:tc>
      </w:tr>
      <w:tr w:rsidR="00B202AA">
        <w:tc>
          <w:tcPr>
            <w:tcW w:w="24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Rukovodilac</w:t>
            </w:r>
          </w:p>
        </w:tc>
        <w:tc>
          <w:tcPr>
            <w:tcW w:w="69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Pregled agregiranih rezultata, KPI prikaza i izvještaja; odobravanje statusa i odluka u skladu sa pravilima radnog toka.</w:t>
            </w:r>
          </w:p>
        </w:tc>
      </w:tr>
      <w:tr w:rsidR="00B202AA">
        <w:tc>
          <w:tcPr>
            <w:tcW w:w="24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Auditor / interna revizija</w:t>
            </w:r>
          </w:p>
        </w:tc>
        <w:tc>
          <w:tcPr>
            <w:tcW w:w="6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Pregled audit zapisa, istorije izmjena pravila i podataka, izvještaja o aktivnostima korisnika.</w:t>
            </w:r>
          </w:p>
        </w:tc>
      </w:tr>
      <w:tr w:rsidR="00B202AA">
        <w:tc>
          <w:tcPr>
            <w:tcW w:w="24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Tehnički administrator (DBA / OS)</w:t>
            </w:r>
          </w:p>
        </w:tc>
        <w:tc>
          <w:tcPr>
            <w:tcW w:w="69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Operativno upravljanje serverima, bazom i tehnološkim parametrima rješenja.</w:t>
            </w:r>
          </w:p>
        </w:tc>
      </w:tr>
    </w:tbl>
    <w:p w:rsidR="00B202AA" w:rsidRDefault="00A54945">
      <w:pPr>
        <w:pStyle w:val="Heading1"/>
        <w:rPr>
          <w:rFonts w:ascii="Calibri" w:eastAsia="Calibri" w:hAnsi="Calibri" w:cs="Calibri"/>
          <w:b/>
          <w:bCs/>
          <w:color w:val="2E75B6"/>
          <w:sz w:val="26"/>
          <w:szCs w:val="26"/>
          <w:lang w:val="zh-CN" w:eastAsia="en-GB"/>
        </w:rPr>
      </w:pPr>
      <w:r>
        <w:rPr>
          <w:rFonts w:ascii="Calibri" w:eastAsia="Calibri" w:hAnsi="Calibri" w:cs="Calibri"/>
          <w:b/>
          <w:bCs/>
          <w:color w:val="2E75B6"/>
          <w:sz w:val="26"/>
          <w:szCs w:val="26"/>
          <w:lang w:val="zh-CN" w:eastAsia="en-GB"/>
        </w:rPr>
        <w:t>Funkcionalni zahtjevi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7560"/>
      </w:tblGrid>
      <w:tr w:rsidR="00B202AA">
        <w:trPr>
          <w:tblHeader/>
        </w:trPr>
        <w:tc>
          <w:tcPr>
            <w:tcW w:w="180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vAlign w:val="center"/>
          </w:tcPr>
          <w:p w:rsidR="00B202AA" w:rsidRDefault="00A54945">
            <w:pPr>
              <w:spacing w:before="40" w:after="40" w:line="260" w:lineRule="auto"/>
            </w:pPr>
            <w:r>
              <w:rPr>
                <w:b/>
                <w:bCs/>
                <w:sz w:val="20"/>
                <w:szCs w:val="20"/>
              </w:rPr>
              <w:t>Oznaka</w:t>
            </w:r>
          </w:p>
        </w:tc>
        <w:tc>
          <w:tcPr>
            <w:tcW w:w="756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vAlign w:val="center"/>
          </w:tcPr>
          <w:p w:rsidR="00B202AA" w:rsidRDefault="00A54945">
            <w:pPr>
              <w:spacing w:before="40" w:after="40" w:line="260" w:lineRule="auto"/>
            </w:pPr>
            <w:r>
              <w:rPr>
                <w:b/>
                <w:bCs/>
                <w:sz w:val="20"/>
                <w:szCs w:val="20"/>
              </w:rPr>
              <w:t>Zahtjev</w:t>
            </w:r>
          </w:p>
        </w:tc>
      </w:tr>
      <w:tr w:rsidR="00B202AA">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REQ-VIP-001</w:t>
            </w:r>
          </w:p>
        </w:tc>
        <w:tc>
          <w:tcPr>
            <w:tcW w:w="7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Sistem mora omogućiti registraciju i upravljanje životnim ciklusom izvora podataka (kreiranje, izmjena, deaktivacija, brisanje uz potvrdu), gdje se podatkovni izvor 1, podatkovni izvor 2 i vanjski izvori podataka tretiraju kao parametarski konfigurisane instance opšteg entiteta „Izvor podataka”.</w:t>
            </w:r>
          </w:p>
        </w:tc>
      </w:tr>
      <w:tr w:rsidR="00B202AA">
        <w:tc>
          <w:tcPr>
            <w:tcW w:w="1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REQ-VIP-002</w:t>
            </w:r>
          </w:p>
        </w:tc>
        <w:tc>
          <w:tcPr>
            <w:tcW w:w="75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Za svaki izvor mora se omogućiti definisanje tipa izvora (primarni, sekundarni, vanjski), domena podataka, periodičnosti dostave (npr. dnevno, sedmično, mjesečno, kvartalno) i odgovornog organizacionog jedinice.</w:t>
            </w:r>
          </w:p>
        </w:tc>
      </w:tr>
      <w:tr w:rsidR="00B202AA">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REQ-VIP-003</w:t>
            </w:r>
          </w:p>
        </w:tc>
        <w:tc>
          <w:tcPr>
            <w:tcW w:w="7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Sistem mora podržati definisanje strukture izvora podataka (lista polja, tip podatka, dužina, obaveznost, oznaka osjetljivosti) i mapiranje polja prema unutrašnjem podatkovnom modelu Naručioca.</w:t>
            </w:r>
          </w:p>
        </w:tc>
      </w:tr>
      <w:tr w:rsidR="00B202AA">
        <w:tc>
          <w:tcPr>
            <w:tcW w:w="1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REQ-VIP-004</w:t>
            </w:r>
          </w:p>
        </w:tc>
        <w:tc>
          <w:tcPr>
            <w:tcW w:w="75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Sistem mora omogućiti konfiguraciju pristupa izvoru podataka (npr. API, fajl protokol, baza podataka, ručni unos), uz parametrizaciju autentifikacionih i mrežnih parametara, bez čuvanja lozinki u otvorenom obliku.</w:t>
            </w:r>
          </w:p>
        </w:tc>
      </w:tr>
      <w:tr w:rsidR="00B202AA">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REQ-VIP-005</w:t>
            </w:r>
          </w:p>
        </w:tc>
        <w:tc>
          <w:tcPr>
            <w:tcW w:w="7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Sistem mora omogućiti versioning konfiguracije izvora podataka, sa istorijom izmjena, autorom, datumom i razlogom izmjene.</w:t>
            </w:r>
          </w:p>
        </w:tc>
      </w:tr>
      <w:tr w:rsidR="00B202AA">
        <w:tc>
          <w:tcPr>
            <w:tcW w:w="1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REQ-VIP-006</w:t>
            </w:r>
          </w:p>
        </w:tc>
        <w:tc>
          <w:tcPr>
            <w:tcW w:w="75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Sistem mora omogućiti testiranje konekcije i probni preuzimanje uzorka podataka iz izvora prije aktiviranja u produkciji.</w:t>
            </w:r>
          </w:p>
        </w:tc>
      </w:tr>
      <w:tr w:rsidR="00B202AA">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lastRenderedPageBreak/>
              <w:t>REQ-VIP-007</w:t>
            </w:r>
          </w:p>
        </w:tc>
        <w:tc>
          <w:tcPr>
            <w:tcW w:w="7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Sistem mora omogućiti privremenu suspenziju i ponovno aktiviranje izvora podataka bez gubitka istorijske konfiguracije.</w:t>
            </w:r>
          </w:p>
        </w:tc>
      </w:tr>
    </w:tbl>
    <w:p w:rsidR="00B202AA" w:rsidRDefault="00A54945">
      <w:pPr>
        <w:pStyle w:val="Heading2"/>
      </w:pPr>
      <w:r>
        <w:t>Upravljanje pravilima usaglašavanja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7560"/>
      </w:tblGrid>
      <w:tr w:rsidR="00B202AA">
        <w:trPr>
          <w:tblHeader/>
        </w:trPr>
        <w:tc>
          <w:tcPr>
            <w:tcW w:w="180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vAlign w:val="center"/>
          </w:tcPr>
          <w:p w:rsidR="00B202AA" w:rsidRDefault="00A54945">
            <w:pPr>
              <w:spacing w:before="40" w:after="40" w:line="260" w:lineRule="auto"/>
            </w:pPr>
            <w:r>
              <w:rPr>
                <w:b/>
                <w:bCs/>
                <w:sz w:val="20"/>
                <w:szCs w:val="20"/>
              </w:rPr>
              <w:t>Oznaka</w:t>
            </w:r>
          </w:p>
        </w:tc>
        <w:tc>
          <w:tcPr>
            <w:tcW w:w="756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vAlign w:val="center"/>
          </w:tcPr>
          <w:p w:rsidR="00B202AA" w:rsidRDefault="00A54945">
            <w:pPr>
              <w:spacing w:before="40" w:after="40" w:line="260" w:lineRule="auto"/>
            </w:pPr>
            <w:r>
              <w:rPr>
                <w:b/>
                <w:bCs/>
                <w:sz w:val="20"/>
                <w:szCs w:val="20"/>
              </w:rPr>
              <w:t>Zahtjev</w:t>
            </w:r>
          </w:p>
        </w:tc>
      </w:tr>
      <w:tr w:rsidR="00B202AA">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REQ-PRA-001</w:t>
            </w:r>
          </w:p>
        </w:tc>
        <w:tc>
          <w:tcPr>
            <w:tcW w:w="7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Sistem mora omogućiti kreiranje pravila eksternog usaglašavanja podataka između najmanje dva izvora (npr. podatkovni izvor 1 i podatkovni izvor 2, ili podatkovni izvor 1 i vanjski izvor podataka).</w:t>
            </w:r>
          </w:p>
        </w:tc>
      </w:tr>
      <w:tr w:rsidR="00B202AA">
        <w:tc>
          <w:tcPr>
            <w:tcW w:w="1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REQ-PRA-002</w:t>
            </w:r>
          </w:p>
        </w:tc>
        <w:tc>
          <w:tcPr>
            <w:tcW w:w="75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Sistem mora podržati operatore poređenja: jednako, različito, manje, manje ili jednako, veće, veće ili jednako, u opsegu, izvan opsega, u skupu vrijednosti, izvan skupa vrijednosti, podstring, regularni izraz.</w:t>
            </w:r>
          </w:p>
        </w:tc>
      </w:tr>
      <w:tr w:rsidR="00B202AA">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REQ-PRA-003</w:t>
            </w:r>
          </w:p>
        </w:tc>
        <w:tc>
          <w:tcPr>
            <w:tcW w:w="7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Sistem mora podržati definisanje apsolutnih i relativnih tolerancija (npr. ±X jedinica, ±Y%), kao i kombinovane logičke uslove (AND, OR, NOT, zagrade).</w:t>
            </w:r>
          </w:p>
        </w:tc>
      </w:tr>
      <w:tr w:rsidR="00B202AA">
        <w:tc>
          <w:tcPr>
            <w:tcW w:w="1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REQ-PRA-004</w:t>
            </w:r>
          </w:p>
        </w:tc>
        <w:tc>
          <w:tcPr>
            <w:tcW w:w="75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Sistem mora omogućiti definisanje ključeva poređenja (npr. identifikator obveznika, period izvještavanja, šifra instrumenta) i prepoznavanje istog logičkog reda u različitim izvorima.</w:t>
            </w:r>
          </w:p>
        </w:tc>
      </w:tr>
      <w:tr w:rsidR="00B202AA">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REQ-PRA-005</w:t>
            </w:r>
          </w:p>
        </w:tc>
        <w:tc>
          <w:tcPr>
            <w:tcW w:w="7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Sistem mora omogućiti verzionisanje pravila, sa istorijom izmjena, datumom važenja od/do i mogućnošću retroaktivne primjene.</w:t>
            </w:r>
          </w:p>
        </w:tc>
      </w:tr>
      <w:tr w:rsidR="00B202AA">
        <w:tc>
          <w:tcPr>
            <w:tcW w:w="1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REQ-PRA-006</w:t>
            </w:r>
          </w:p>
        </w:tc>
        <w:tc>
          <w:tcPr>
            <w:tcW w:w="75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Sistem mora omogućiti testiranje pravila na uzorku istorijskih podataka prije aktiviranja u produkciji (dry-run).</w:t>
            </w:r>
          </w:p>
        </w:tc>
      </w:tr>
      <w:tr w:rsidR="00B202AA">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REQ-PRA-007</w:t>
            </w:r>
          </w:p>
        </w:tc>
        <w:tc>
          <w:tcPr>
            <w:tcW w:w="7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Sistem mora obezbijediti odobravanje pravila kroz proces „četvoro očiju” (kreator i odobrivač moraju biti različita lica).</w:t>
            </w:r>
          </w:p>
        </w:tc>
      </w:tr>
    </w:tbl>
    <w:p w:rsidR="00B202AA" w:rsidRDefault="00A54945">
      <w:pPr>
        <w:pStyle w:val="Heading2"/>
      </w:pPr>
      <w:r>
        <w:t>Tok rada i statusi usaglašavanja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7560"/>
      </w:tblGrid>
      <w:tr w:rsidR="00B202AA">
        <w:trPr>
          <w:tblHeader/>
        </w:trPr>
        <w:tc>
          <w:tcPr>
            <w:tcW w:w="180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vAlign w:val="center"/>
          </w:tcPr>
          <w:p w:rsidR="00B202AA" w:rsidRDefault="00A54945">
            <w:pPr>
              <w:spacing w:before="40" w:after="40" w:line="260" w:lineRule="auto"/>
            </w:pPr>
            <w:r>
              <w:rPr>
                <w:b/>
                <w:bCs/>
                <w:sz w:val="20"/>
                <w:szCs w:val="20"/>
              </w:rPr>
              <w:t>Oznaka</w:t>
            </w:r>
          </w:p>
        </w:tc>
        <w:tc>
          <w:tcPr>
            <w:tcW w:w="756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vAlign w:val="center"/>
          </w:tcPr>
          <w:p w:rsidR="00B202AA" w:rsidRDefault="00A54945">
            <w:pPr>
              <w:spacing w:before="40" w:after="40" w:line="260" w:lineRule="auto"/>
            </w:pPr>
            <w:r>
              <w:rPr>
                <w:b/>
                <w:bCs/>
                <w:sz w:val="20"/>
                <w:szCs w:val="20"/>
              </w:rPr>
              <w:t>Zahtjev</w:t>
            </w:r>
          </w:p>
        </w:tc>
      </w:tr>
      <w:tr w:rsidR="00B202AA">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REQ-TOK-001</w:t>
            </w:r>
          </w:p>
        </w:tc>
        <w:tc>
          <w:tcPr>
            <w:tcW w:w="7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Sistem mora podržati pokretanje procesa usaglašavanja na više načina: po rasporedu (cron), po događaju (npr. prijem novog izvještaja), ručno (ad hoc) i preko API poziva.</w:t>
            </w:r>
          </w:p>
        </w:tc>
      </w:tr>
      <w:tr w:rsidR="00B202AA">
        <w:tc>
          <w:tcPr>
            <w:tcW w:w="1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REQ-TOK-002</w:t>
            </w:r>
          </w:p>
        </w:tc>
        <w:tc>
          <w:tcPr>
            <w:tcW w:w="75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Svako poređenje mora dobiti jedinstveni identifikator, vremensku oznaku, korisnika koji je inicirao i kontekst (pravilo, izvori, period, ključ).</w:t>
            </w:r>
          </w:p>
        </w:tc>
      </w:tr>
      <w:tr w:rsidR="00B202AA">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REQ-TOK-003</w:t>
            </w:r>
          </w:p>
        </w:tc>
        <w:tc>
          <w:tcPr>
            <w:tcW w:w="7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Sistem mora podržati najmanje sljedeće statuse: „Zakazano”, „U obradi”, „Usaglašeno”, „Neusaglašeno”, „Eskalirano”, „U analizi”, „Riješeno”, „Otkazano”, „Greška”.</w:t>
            </w:r>
          </w:p>
        </w:tc>
      </w:tr>
      <w:tr w:rsidR="00B202AA">
        <w:tc>
          <w:tcPr>
            <w:tcW w:w="1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REQ-TOK-004</w:t>
            </w:r>
          </w:p>
        </w:tc>
        <w:tc>
          <w:tcPr>
            <w:tcW w:w="75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Sistem mora omogućiti automatsku klasifikaciju odstupanja po težini (npr. niska, srednja, visoka, kritična) prema parametrima pravila.</w:t>
            </w:r>
          </w:p>
        </w:tc>
      </w:tr>
      <w:tr w:rsidR="00B202AA">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REQ-TOK-005</w:t>
            </w:r>
          </w:p>
        </w:tc>
        <w:tc>
          <w:tcPr>
            <w:tcW w:w="7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Sistem mora omogućiti eskalaciju neusaglašenosti zaduženom licu/odjeljenju, sa rokovima i podsjetnicima, te notifikacijama (email i in-app).</w:t>
            </w:r>
          </w:p>
        </w:tc>
      </w:tr>
      <w:tr w:rsidR="00B202AA">
        <w:tc>
          <w:tcPr>
            <w:tcW w:w="1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lastRenderedPageBreak/>
              <w:t>REQ-TOK-006</w:t>
            </w:r>
          </w:p>
        </w:tc>
        <w:tc>
          <w:tcPr>
            <w:tcW w:w="75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Sistem mora omogućiti komentarisanje, prilaganje dokaza (npr. fajlova, snimka komunikacije sa obveznikom) i evidentiranje preduzetih mjera za svako odstupanje.</w:t>
            </w:r>
          </w:p>
        </w:tc>
      </w:tr>
      <w:tr w:rsidR="00B202AA">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REQ-TOK-007</w:t>
            </w:r>
          </w:p>
        </w:tc>
        <w:tc>
          <w:tcPr>
            <w:tcW w:w="7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Sistem mora podržati ponovno pokretanje („re-run”) usaglašavanja nakon ispravki, uz čuvanje istorije svih pokretanja i njihovih rezultata.</w:t>
            </w:r>
          </w:p>
        </w:tc>
      </w:tr>
      <w:tr w:rsidR="00B202AA">
        <w:tc>
          <w:tcPr>
            <w:tcW w:w="1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REQ-TOK-008</w:t>
            </w:r>
          </w:p>
        </w:tc>
        <w:tc>
          <w:tcPr>
            <w:tcW w:w="75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Sistem mora podržati grupna djelovanja (npr. masovno mijenjanje statusa) uz strogo evidentiranje korisnika i razloga.</w:t>
            </w:r>
          </w:p>
        </w:tc>
      </w:tr>
      <w:tr w:rsidR="00B202AA">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REQ-TOK-009</w:t>
            </w:r>
          </w:p>
        </w:tc>
        <w:tc>
          <w:tcPr>
            <w:tcW w:w="7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Sistem mora obezbijediti potpuni audit trag svih promjena statusa, komentara, odluka i radnji nad odstupanjima.</w:t>
            </w:r>
          </w:p>
        </w:tc>
      </w:tr>
    </w:tbl>
    <w:p w:rsidR="00B202AA" w:rsidRDefault="00A54945">
      <w:pPr>
        <w:pStyle w:val="Heading2"/>
      </w:pPr>
      <w:r>
        <w:t xml:space="preserve"> Rezultati, izvještavanje i pristup podacima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7560"/>
      </w:tblGrid>
      <w:tr w:rsidR="00B202AA">
        <w:trPr>
          <w:tblHeader/>
        </w:trPr>
        <w:tc>
          <w:tcPr>
            <w:tcW w:w="180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vAlign w:val="center"/>
          </w:tcPr>
          <w:p w:rsidR="00B202AA" w:rsidRDefault="00A54945">
            <w:pPr>
              <w:spacing w:before="40" w:after="40" w:line="260" w:lineRule="auto"/>
            </w:pPr>
            <w:r>
              <w:rPr>
                <w:b/>
                <w:bCs/>
                <w:sz w:val="20"/>
                <w:szCs w:val="20"/>
              </w:rPr>
              <w:t>Oznaka</w:t>
            </w:r>
          </w:p>
        </w:tc>
        <w:tc>
          <w:tcPr>
            <w:tcW w:w="756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vAlign w:val="center"/>
          </w:tcPr>
          <w:p w:rsidR="00B202AA" w:rsidRDefault="00A54945">
            <w:pPr>
              <w:spacing w:before="40" w:after="40" w:line="260" w:lineRule="auto"/>
            </w:pPr>
            <w:r>
              <w:rPr>
                <w:b/>
                <w:bCs/>
                <w:sz w:val="20"/>
                <w:szCs w:val="20"/>
              </w:rPr>
              <w:t>Zahtjev</w:t>
            </w:r>
          </w:p>
        </w:tc>
      </w:tr>
      <w:tr w:rsidR="00B202AA">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REQ-REZ-001</w:t>
            </w:r>
          </w:p>
        </w:tc>
        <w:tc>
          <w:tcPr>
            <w:tcW w:w="7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Sistem mora obezbijediti pregled rezultata usaglašavanja na nivou pojedinog poređenja, sa svim relevantnim atributima (izvor, vrijednost, pravilo, status, korisnici).</w:t>
            </w:r>
          </w:p>
        </w:tc>
      </w:tr>
      <w:tr w:rsidR="00B202AA">
        <w:tc>
          <w:tcPr>
            <w:tcW w:w="1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REQ-REZ-002</w:t>
            </w:r>
          </w:p>
        </w:tc>
        <w:tc>
          <w:tcPr>
            <w:tcW w:w="75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Sistem mora omogućiti agregirani pregled rezultata po: pravilu, periodu, obvezniku izvještavanja, paru izvora, organizacionoj jedinici.</w:t>
            </w:r>
          </w:p>
        </w:tc>
      </w:tr>
      <w:tr w:rsidR="00B202AA">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REQ-REZ-003</w:t>
            </w:r>
          </w:p>
        </w:tc>
        <w:tc>
          <w:tcPr>
            <w:tcW w:w="7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Sistem mora omogućiti filtriranje, pretragu, sortiranje, paginaciju i čuvanje korisničkih pretraga („moji pogledi”).</w:t>
            </w:r>
          </w:p>
        </w:tc>
      </w:tr>
      <w:tr w:rsidR="00B202AA">
        <w:tc>
          <w:tcPr>
            <w:tcW w:w="1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REQ-REZ-004</w:t>
            </w:r>
          </w:p>
        </w:tc>
        <w:tc>
          <w:tcPr>
            <w:tcW w:w="75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Sistem mora omogućiti izvoz rezultata u formate CSV, XLSX i PDF, uz poštovanje prava pristupa.</w:t>
            </w:r>
          </w:p>
        </w:tc>
      </w:tr>
      <w:tr w:rsidR="00B202AA">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REQ-REZ-005</w:t>
            </w:r>
          </w:p>
        </w:tc>
        <w:tc>
          <w:tcPr>
            <w:tcW w:w="7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sidRPr="00A54945">
              <w:rPr>
                <w:sz w:val="20"/>
                <w:szCs w:val="20"/>
              </w:rPr>
              <w:t>Sistem mora obezbijediti programski pristup rezultatima usaglašavanja kroz Bazu (DWHS) za potrebe naprednih analitičkih korisnika Naručioca</w:t>
            </w:r>
            <w:r>
              <w:rPr>
                <w:sz w:val="20"/>
                <w:szCs w:val="20"/>
              </w:rPr>
              <w:t>.</w:t>
            </w:r>
          </w:p>
        </w:tc>
      </w:tr>
    </w:tbl>
    <w:p w:rsidR="00B202AA" w:rsidRDefault="00A54945">
      <w:pPr>
        <w:pStyle w:val="Heading1"/>
      </w:pPr>
      <w:r>
        <w:t>Nefunkcionalni zahtjevi</w:t>
      </w:r>
    </w:p>
    <w:p w:rsidR="00B202AA" w:rsidRDefault="00A54945">
      <w:pPr>
        <w:pStyle w:val="Heading2"/>
      </w:pPr>
      <w:r>
        <w:t>Performanse i skalabilnost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7560"/>
      </w:tblGrid>
      <w:tr w:rsidR="00B202AA">
        <w:trPr>
          <w:tblHeader/>
        </w:trPr>
        <w:tc>
          <w:tcPr>
            <w:tcW w:w="180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vAlign w:val="center"/>
          </w:tcPr>
          <w:p w:rsidR="00B202AA" w:rsidRDefault="00A54945">
            <w:pPr>
              <w:spacing w:before="40" w:after="40" w:line="260" w:lineRule="auto"/>
            </w:pPr>
            <w:r>
              <w:rPr>
                <w:b/>
                <w:bCs/>
                <w:sz w:val="20"/>
                <w:szCs w:val="20"/>
              </w:rPr>
              <w:t>Oznaka</w:t>
            </w:r>
          </w:p>
        </w:tc>
        <w:tc>
          <w:tcPr>
            <w:tcW w:w="756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vAlign w:val="center"/>
          </w:tcPr>
          <w:p w:rsidR="00B202AA" w:rsidRDefault="00A54945">
            <w:pPr>
              <w:spacing w:before="40" w:after="40" w:line="260" w:lineRule="auto"/>
            </w:pPr>
            <w:r>
              <w:rPr>
                <w:b/>
                <w:bCs/>
                <w:sz w:val="20"/>
                <w:szCs w:val="20"/>
              </w:rPr>
              <w:t>Zahtjev</w:t>
            </w:r>
          </w:p>
        </w:tc>
      </w:tr>
      <w:tr w:rsidR="00B202AA">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REQ-NF-PER-001</w:t>
            </w:r>
          </w:p>
        </w:tc>
        <w:tc>
          <w:tcPr>
            <w:tcW w:w="7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Sistem mora podržati istovremeni rad najmanje 50 korisnika bez degradacije performansi ispod definisanih SLA pragova.</w:t>
            </w:r>
          </w:p>
        </w:tc>
      </w:tr>
      <w:tr w:rsidR="00B202AA">
        <w:tc>
          <w:tcPr>
            <w:tcW w:w="1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REQ-NF-PER-002</w:t>
            </w:r>
          </w:p>
        </w:tc>
        <w:tc>
          <w:tcPr>
            <w:tcW w:w="75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Vrijeme odziva ekranskih operacija u prosjeku ne smije prelaziti 3 sekunde, a u 95% slučajeva 5 sekundi, za skupove podataka definisane u tehničkim specifikacijama.</w:t>
            </w:r>
          </w:p>
        </w:tc>
      </w:tr>
      <w:tr w:rsidR="00B202AA">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REQ-NF-PER-003</w:t>
            </w:r>
          </w:p>
        </w:tc>
        <w:tc>
          <w:tcPr>
            <w:tcW w:w="7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Sistem mora obraditi minimalno 1.000.000 redova podataka u jednom procesu usaglašavanja u roku koji će biti dogovoren u fazi dizajna i prihvaćen u testovima performansi.</w:t>
            </w:r>
          </w:p>
        </w:tc>
      </w:tr>
      <w:tr w:rsidR="00B202AA">
        <w:tc>
          <w:tcPr>
            <w:tcW w:w="1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REQ-NF-PER-004</w:t>
            </w:r>
          </w:p>
        </w:tc>
        <w:tc>
          <w:tcPr>
            <w:tcW w:w="75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Arhitektura mora biti horizontalno skalabilna na nivou aplikacijskog sloja, sa mogućnošću dodavanja čvorova bez prekida rada.</w:t>
            </w:r>
          </w:p>
        </w:tc>
      </w:tr>
    </w:tbl>
    <w:p w:rsidR="00B202AA" w:rsidRDefault="00A54945">
      <w:pPr>
        <w:pStyle w:val="Heading2"/>
      </w:pPr>
      <w:r>
        <w:lastRenderedPageBreak/>
        <w:t>Bezbjednost informacija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7560"/>
      </w:tblGrid>
      <w:tr w:rsidR="00B202AA">
        <w:trPr>
          <w:tblHeader/>
        </w:trPr>
        <w:tc>
          <w:tcPr>
            <w:tcW w:w="180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vAlign w:val="center"/>
          </w:tcPr>
          <w:p w:rsidR="00B202AA" w:rsidRDefault="00A54945">
            <w:pPr>
              <w:spacing w:before="40" w:after="40" w:line="260" w:lineRule="auto"/>
            </w:pPr>
            <w:r>
              <w:rPr>
                <w:b/>
                <w:bCs/>
                <w:sz w:val="20"/>
                <w:szCs w:val="20"/>
              </w:rPr>
              <w:t>Oznaka</w:t>
            </w:r>
          </w:p>
        </w:tc>
        <w:tc>
          <w:tcPr>
            <w:tcW w:w="756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vAlign w:val="center"/>
          </w:tcPr>
          <w:p w:rsidR="00B202AA" w:rsidRDefault="00A54945">
            <w:pPr>
              <w:spacing w:before="40" w:after="40" w:line="260" w:lineRule="auto"/>
            </w:pPr>
            <w:r>
              <w:rPr>
                <w:b/>
                <w:bCs/>
                <w:sz w:val="20"/>
                <w:szCs w:val="20"/>
              </w:rPr>
              <w:t>Zahtjev</w:t>
            </w:r>
          </w:p>
        </w:tc>
      </w:tr>
      <w:tr w:rsidR="00B202AA">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REQ-NF-SIG-001</w:t>
            </w:r>
          </w:p>
        </w:tc>
        <w:tc>
          <w:tcPr>
            <w:tcW w:w="7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Sistem mora obezbijediti centralizovanu autentifikaciju i podržati integraciju sa LDAP / Active Directory / SSO rješenjem Naručioca, uključujući podršku za višefaktorsku autentifikaciju.</w:t>
            </w:r>
          </w:p>
        </w:tc>
      </w:tr>
      <w:tr w:rsidR="00B202AA">
        <w:tc>
          <w:tcPr>
            <w:tcW w:w="1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REQ-NF-SIG-002</w:t>
            </w:r>
          </w:p>
        </w:tc>
        <w:tc>
          <w:tcPr>
            <w:tcW w:w="75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Sistem mora podržati granularni model uloga i prava pristupa (RBAC), uz princip najmanjih privilegija.</w:t>
            </w:r>
          </w:p>
        </w:tc>
      </w:tr>
      <w:tr w:rsidR="00B202AA">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REQ-NF-SIG-003</w:t>
            </w:r>
          </w:p>
        </w:tc>
        <w:tc>
          <w:tcPr>
            <w:tcW w:w="7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Sistem mora obezbijediti šifrovanje podataka u prenosu (TLS 1.2 ili noviji) i u mirovanju (AES-256 ili ekvivalentno) za osjetljive podatke.</w:t>
            </w:r>
          </w:p>
        </w:tc>
      </w:tr>
      <w:tr w:rsidR="00B202AA">
        <w:tc>
          <w:tcPr>
            <w:tcW w:w="1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REQ-NF-SIG-004</w:t>
            </w:r>
          </w:p>
        </w:tc>
        <w:tc>
          <w:tcPr>
            <w:tcW w:w="75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Sistem mora obezbijediti pun audit trag svih bezbjednosno relevantnih događaja (prijave, neuspjeli pokušaji, izmjene konfiguracije, izmjene pravila, izmjene statusa, izvoz podataka), bez mogućnosti naknadne izmjene zapisa.</w:t>
            </w:r>
          </w:p>
        </w:tc>
      </w:tr>
      <w:tr w:rsidR="00B202AA">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REQ-NF-SIG-005</w:t>
            </w:r>
          </w:p>
        </w:tc>
        <w:tc>
          <w:tcPr>
            <w:tcW w:w="7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Sistem mora poštovati zahtjeve ISO/IEC 27001:2022 u dijelu koji se odnosi na razvoj, ispitivanje i predaju softvera.</w:t>
            </w:r>
          </w:p>
        </w:tc>
      </w:tr>
      <w:tr w:rsidR="00B202AA">
        <w:tc>
          <w:tcPr>
            <w:tcW w:w="1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REQ-NF-SIG-006</w:t>
            </w:r>
          </w:p>
        </w:tc>
        <w:tc>
          <w:tcPr>
            <w:tcW w:w="75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Sistem ne smije sadržati hardkodirane lozinke, ključeve ili tokene; sve tajne moraju biti u trezoru tajni (vault) ili enkriptovanoj konfiguraciji.</w:t>
            </w:r>
          </w:p>
        </w:tc>
      </w:tr>
      <w:tr w:rsidR="00B202AA">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REQ-NF-SIG-007</w:t>
            </w:r>
          </w:p>
        </w:tc>
        <w:tc>
          <w:tcPr>
            <w:tcW w:w="7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Prije puštanja u produkciju, mora se sprovesti sigurnosno ispitivanje (penetration test) na trošak Izvođača, sa otklanjanjem svih nalaza visokog i kritičnog rizika.</w:t>
            </w:r>
          </w:p>
        </w:tc>
      </w:tr>
    </w:tbl>
    <w:p w:rsidR="00B202AA" w:rsidRDefault="00A54945">
      <w:pPr>
        <w:pStyle w:val="Heading2"/>
      </w:pPr>
      <w:r>
        <w:t>Pouzdanost, raspoloživost i kontinuitet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7560"/>
      </w:tblGrid>
      <w:tr w:rsidR="00B202AA">
        <w:trPr>
          <w:tblHeader/>
        </w:trPr>
        <w:tc>
          <w:tcPr>
            <w:tcW w:w="180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vAlign w:val="center"/>
          </w:tcPr>
          <w:p w:rsidR="00B202AA" w:rsidRDefault="00A54945">
            <w:pPr>
              <w:spacing w:before="40" w:after="40" w:line="260" w:lineRule="auto"/>
            </w:pPr>
            <w:r>
              <w:rPr>
                <w:b/>
                <w:bCs/>
                <w:sz w:val="20"/>
                <w:szCs w:val="20"/>
              </w:rPr>
              <w:t>Oznaka</w:t>
            </w:r>
          </w:p>
        </w:tc>
        <w:tc>
          <w:tcPr>
            <w:tcW w:w="756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vAlign w:val="center"/>
          </w:tcPr>
          <w:p w:rsidR="00B202AA" w:rsidRDefault="00A54945">
            <w:pPr>
              <w:spacing w:before="40" w:after="40" w:line="260" w:lineRule="auto"/>
            </w:pPr>
            <w:r>
              <w:rPr>
                <w:b/>
                <w:bCs/>
                <w:sz w:val="20"/>
                <w:szCs w:val="20"/>
              </w:rPr>
              <w:t>Zahtjev</w:t>
            </w:r>
          </w:p>
        </w:tc>
      </w:tr>
      <w:tr w:rsidR="00B202AA">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REQ-NF-POU-001</w:t>
            </w:r>
          </w:p>
        </w:tc>
        <w:tc>
          <w:tcPr>
            <w:tcW w:w="7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Ciljana mjesečna raspoloživost Sistema iznosi najmanje 99,5% u radnom vremenu Naručioca.</w:t>
            </w:r>
          </w:p>
        </w:tc>
      </w:tr>
      <w:tr w:rsidR="00B202AA">
        <w:tc>
          <w:tcPr>
            <w:tcW w:w="1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REQ-NF-POU-002</w:t>
            </w:r>
          </w:p>
        </w:tc>
        <w:tc>
          <w:tcPr>
            <w:tcW w:w="75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Sistem mora podržati mehanizme failovera (active-active ili active-passive) i automatskog oporavka kritičnih komponenti.</w:t>
            </w:r>
          </w:p>
        </w:tc>
      </w:tr>
      <w:tr w:rsidR="00B202AA">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REQ-NF-POU-003</w:t>
            </w:r>
          </w:p>
        </w:tc>
        <w:tc>
          <w:tcPr>
            <w:tcW w:w="7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Recovery Time Objective (RTO) za kritične funkcionalnosti iznosi najviše 4-24 sata, a Recovery Point Objective (RPO) najviše 1 sat, osim ako se ne dogovori drugačije u fazi dizajna.</w:t>
            </w:r>
          </w:p>
        </w:tc>
      </w:tr>
      <w:tr w:rsidR="00B202AA">
        <w:tc>
          <w:tcPr>
            <w:tcW w:w="1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REQ-NF-POU-004</w:t>
            </w:r>
          </w:p>
        </w:tc>
        <w:tc>
          <w:tcPr>
            <w:tcW w:w="75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Sistem mora podržati redovne backup procedure i restore testove u skladu sa standardom ISO 22301:2019.</w:t>
            </w:r>
          </w:p>
        </w:tc>
      </w:tr>
    </w:tbl>
    <w:p w:rsidR="00B202AA" w:rsidRDefault="00A54945">
      <w:pPr>
        <w:pStyle w:val="Heading2"/>
      </w:pPr>
      <w:r>
        <w:t>4.4. Kvalitet, održivost i prenosivost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7560"/>
      </w:tblGrid>
      <w:tr w:rsidR="00B202AA">
        <w:trPr>
          <w:tblHeader/>
        </w:trPr>
        <w:tc>
          <w:tcPr>
            <w:tcW w:w="180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vAlign w:val="center"/>
          </w:tcPr>
          <w:p w:rsidR="00B202AA" w:rsidRDefault="00A54945">
            <w:pPr>
              <w:spacing w:before="40" w:after="40" w:line="260" w:lineRule="auto"/>
            </w:pPr>
            <w:r>
              <w:rPr>
                <w:b/>
                <w:bCs/>
                <w:sz w:val="20"/>
                <w:szCs w:val="20"/>
              </w:rPr>
              <w:t>Oznaka</w:t>
            </w:r>
          </w:p>
        </w:tc>
        <w:tc>
          <w:tcPr>
            <w:tcW w:w="756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vAlign w:val="center"/>
          </w:tcPr>
          <w:p w:rsidR="00B202AA" w:rsidRDefault="00A54945">
            <w:pPr>
              <w:spacing w:before="40" w:after="40" w:line="260" w:lineRule="auto"/>
            </w:pPr>
            <w:r>
              <w:rPr>
                <w:b/>
                <w:bCs/>
                <w:sz w:val="20"/>
                <w:szCs w:val="20"/>
              </w:rPr>
              <w:t>Zahtjev</w:t>
            </w:r>
          </w:p>
        </w:tc>
      </w:tr>
      <w:tr w:rsidR="00A54945" w:rsidTr="00A54945">
        <w:tc>
          <w:tcPr>
            <w:tcW w:w="1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A54945" w:rsidRDefault="00A54945" w:rsidP="00A54945">
            <w:pPr>
              <w:spacing w:before="40" w:after="40" w:line="260" w:lineRule="auto"/>
            </w:pPr>
            <w:r>
              <w:rPr>
                <w:sz w:val="20"/>
                <w:szCs w:val="20"/>
              </w:rPr>
              <w:t>REQ-NF-KVA-001</w:t>
            </w:r>
          </w:p>
        </w:tc>
        <w:tc>
          <w:tcPr>
            <w:tcW w:w="75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A54945" w:rsidRDefault="00A54945" w:rsidP="00A54945">
            <w:pPr>
              <w:spacing w:before="40" w:after="40" w:line="260" w:lineRule="auto"/>
            </w:pPr>
            <w:r>
              <w:rPr>
                <w:sz w:val="20"/>
                <w:szCs w:val="20"/>
              </w:rPr>
              <w:t>Cjelokupna konfiguracija (pravila, izvori, parametri) mora biti izvozljiva i uvozljiva u strukturisanom formatu radi prenosa između okruženja.</w:t>
            </w:r>
          </w:p>
        </w:tc>
      </w:tr>
      <w:tr w:rsidR="00A54945" w:rsidTr="00A54945">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A54945" w:rsidRDefault="00A54945" w:rsidP="00A54945">
            <w:pPr>
              <w:spacing w:before="40" w:after="40" w:line="260" w:lineRule="auto"/>
            </w:pPr>
            <w:r>
              <w:rPr>
                <w:sz w:val="20"/>
                <w:szCs w:val="20"/>
              </w:rPr>
              <w:t>REQ-NF-KVA-002</w:t>
            </w:r>
          </w:p>
        </w:tc>
        <w:tc>
          <w:tcPr>
            <w:tcW w:w="7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A54945" w:rsidRDefault="00A54945" w:rsidP="00A54945">
            <w:pPr>
              <w:spacing w:before="40" w:after="40" w:line="260" w:lineRule="auto"/>
            </w:pPr>
            <w:r>
              <w:rPr>
                <w:sz w:val="20"/>
                <w:szCs w:val="20"/>
              </w:rPr>
              <w:t>Sistem mora obezbijediti potpunu dokumentaciju: korisničku, administratorsku, tehničku (arhitektonsku, operativnu, sigurnosnu) i dokumentaciju za isporuku.</w:t>
            </w:r>
          </w:p>
        </w:tc>
      </w:tr>
    </w:tbl>
    <w:p w:rsidR="00B202AA" w:rsidRDefault="00A54945">
      <w:pPr>
        <w:pStyle w:val="Heading2"/>
      </w:pPr>
      <w:r>
        <w:lastRenderedPageBreak/>
        <w:t>Faze projekta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91"/>
        <w:gridCol w:w="1789"/>
        <w:gridCol w:w="3324"/>
        <w:gridCol w:w="3556"/>
      </w:tblGrid>
      <w:tr w:rsidR="00B202AA">
        <w:trPr>
          <w:tblHeader/>
        </w:trPr>
        <w:tc>
          <w:tcPr>
            <w:tcW w:w="60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vAlign w:val="center"/>
          </w:tcPr>
          <w:p w:rsidR="00B202AA" w:rsidRDefault="00A54945">
            <w:pPr>
              <w:spacing w:before="40" w:after="40" w:line="260" w:lineRule="auto"/>
            </w:pPr>
            <w:r>
              <w:rPr>
                <w:b/>
                <w:bCs/>
                <w:sz w:val="20"/>
                <w:szCs w:val="20"/>
              </w:rPr>
              <w:t>Faza</w:t>
            </w:r>
          </w:p>
        </w:tc>
        <w:tc>
          <w:tcPr>
            <w:tcW w:w="180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vAlign w:val="center"/>
          </w:tcPr>
          <w:p w:rsidR="00B202AA" w:rsidRDefault="00A54945">
            <w:pPr>
              <w:spacing w:before="40" w:after="40" w:line="260" w:lineRule="auto"/>
            </w:pPr>
            <w:r>
              <w:rPr>
                <w:b/>
                <w:bCs/>
                <w:sz w:val="20"/>
                <w:szCs w:val="20"/>
              </w:rPr>
              <w:t>Naziv</w:t>
            </w:r>
          </w:p>
        </w:tc>
        <w:tc>
          <w:tcPr>
            <w:tcW w:w="336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vAlign w:val="center"/>
          </w:tcPr>
          <w:p w:rsidR="00B202AA" w:rsidRDefault="00A54945">
            <w:pPr>
              <w:spacing w:before="40" w:after="40" w:line="260" w:lineRule="auto"/>
            </w:pPr>
            <w:r>
              <w:rPr>
                <w:b/>
                <w:bCs/>
                <w:sz w:val="20"/>
                <w:szCs w:val="20"/>
              </w:rPr>
              <w:t>Ključne aktivnosti</w:t>
            </w:r>
          </w:p>
        </w:tc>
        <w:tc>
          <w:tcPr>
            <w:tcW w:w="360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vAlign w:val="center"/>
          </w:tcPr>
          <w:p w:rsidR="00B202AA" w:rsidRDefault="00A54945">
            <w:pPr>
              <w:spacing w:before="40" w:after="40" w:line="260" w:lineRule="auto"/>
            </w:pPr>
            <w:r>
              <w:rPr>
                <w:b/>
                <w:bCs/>
                <w:sz w:val="20"/>
                <w:szCs w:val="20"/>
              </w:rPr>
              <w:t>Ključne isporuke</w:t>
            </w:r>
          </w:p>
        </w:tc>
      </w:tr>
      <w:tr w:rsidR="00B202AA">
        <w:tc>
          <w:tcPr>
            <w:tcW w:w="6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F1</w:t>
            </w:r>
          </w:p>
        </w:tc>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Inicijacija</w:t>
            </w:r>
          </w:p>
        </w:tc>
        <w:tc>
          <w:tcPr>
            <w:tcW w:w="3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Kick-off, projektna povelja, plan komunikacije i upravljanja rizicima</w:t>
            </w:r>
          </w:p>
        </w:tc>
        <w:tc>
          <w:tcPr>
            <w:tcW w:w="36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Plan projekta, registar rizika, plan komunikacije</w:t>
            </w:r>
          </w:p>
        </w:tc>
      </w:tr>
      <w:tr w:rsidR="00B202AA">
        <w:tc>
          <w:tcPr>
            <w:tcW w:w="6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F2</w:t>
            </w:r>
          </w:p>
        </w:tc>
        <w:tc>
          <w:tcPr>
            <w:tcW w:w="1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Analiza zahtjeva</w:t>
            </w:r>
          </w:p>
        </w:tc>
        <w:tc>
          <w:tcPr>
            <w:tcW w:w="33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Radionice, intervjui, finalizacija funkcionalnih i nefunkcionalnih zahtjeva, matrica sledljivosti</w:t>
            </w:r>
          </w:p>
        </w:tc>
        <w:tc>
          <w:tcPr>
            <w:tcW w:w="36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Dokument zahtjeva (SRS), matrica sledljivosti</w:t>
            </w:r>
          </w:p>
        </w:tc>
      </w:tr>
      <w:tr w:rsidR="00B202AA">
        <w:tc>
          <w:tcPr>
            <w:tcW w:w="6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F3</w:t>
            </w:r>
          </w:p>
        </w:tc>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Dizajn</w:t>
            </w:r>
          </w:p>
        </w:tc>
        <w:tc>
          <w:tcPr>
            <w:tcW w:w="3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Arhitektonski, funkcionalni, sigurnosni i operativni dizajn</w:t>
            </w:r>
          </w:p>
        </w:tc>
        <w:tc>
          <w:tcPr>
            <w:tcW w:w="36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Dokument arhitekture (HLD/LLD), dizajn integracija</w:t>
            </w:r>
          </w:p>
        </w:tc>
      </w:tr>
      <w:tr w:rsidR="00B202AA">
        <w:tc>
          <w:tcPr>
            <w:tcW w:w="6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F4</w:t>
            </w:r>
          </w:p>
        </w:tc>
        <w:tc>
          <w:tcPr>
            <w:tcW w:w="1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Razvoj</w:t>
            </w:r>
          </w:p>
        </w:tc>
        <w:tc>
          <w:tcPr>
            <w:tcW w:w="33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Implementacija po sprintovima, jedinično testiranje, code review, sigurnosna analiza</w:t>
            </w:r>
          </w:p>
        </w:tc>
        <w:tc>
          <w:tcPr>
            <w:tcW w:w="36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Inkrementalne verzije sistema, izvještaji o sprintu</w:t>
            </w:r>
          </w:p>
        </w:tc>
      </w:tr>
      <w:tr w:rsidR="00B202AA">
        <w:tc>
          <w:tcPr>
            <w:tcW w:w="6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F5</w:t>
            </w:r>
          </w:p>
        </w:tc>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Integracija i testiranje</w:t>
            </w:r>
          </w:p>
        </w:tc>
        <w:tc>
          <w:tcPr>
            <w:tcW w:w="3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Integracija sa modulima, integraciono i sistemsko testiranje, testovi performansi</w:t>
            </w:r>
          </w:p>
        </w:tc>
        <w:tc>
          <w:tcPr>
            <w:tcW w:w="36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Izvještaji o testiranju, plan korekcija</w:t>
            </w:r>
          </w:p>
        </w:tc>
      </w:tr>
      <w:tr w:rsidR="00B202AA">
        <w:tc>
          <w:tcPr>
            <w:tcW w:w="6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F6</w:t>
            </w:r>
          </w:p>
        </w:tc>
        <w:tc>
          <w:tcPr>
            <w:tcW w:w="1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Sigurnosno ispitivanje</w:t>
            </w:r>
          </w:p>
        </w:tc>
        <w:tc>
          <w:tcPr>
            <w:tcW w:w="33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Penetracioni testovi, analiza ranjivosti, otklanjanje nalaza</w:t>
            </w:r>
          </w:p>
        </w:tc>
        <w:tc>
          <w:tcPr>
            <w:tcW w:w="36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Izvještaj o penetracionom testu i otklanjanju</w:t>
            </w:r>
          </w:p>
        </w:tc>
      </w:tr>
      <w:tr w:rsidR="00B202AA">
        <w:tc>
          <w:tcPr>
            <w:tcW w:w="6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F7</w:t>
            </w:r>
          </w:p>
        </w:tc>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Korisničko prihvatno testiranje (UAT)</w:t>
            </w:r>
          </w:p>
        </w:tc>
        <w:tc>
          <w:tcPr>
            <w:tcW w:w="3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Priprema testnih scenarija, izvođenje UAT od strane Naručioca, otklanjanje grešaka</w:t>
            </w:r>
          </w:p>
        </w:tc>
        <w:tc>
          <w:tcPr>
            <w:tcW w:w="36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UAT izvještaj, zapisnik o prihvatanju</w:t>
            </w:r>
          </w:p>
        </w:tc>
      </w:tr>
      <w:tr w:rsidR="00B202AA">
        <w:tc>
          <w:tcPr>
            <w:tcW w:w="6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F8</w:t>
            </w:r>
          </w:p>
        </w:tc>
        <w:tc>
          <w:tcPr>
            <w:tcW w:w="1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Puštanje u produkciju i obuka</w:t>
            </w:r>
          </w:p>
        </w:tc>
        <w:tc>
          <w:tcPr>
            <w:tcW w:w="33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Migracija konfiguracije, deploy u produkciju, obuka administratora i korisnika</w:t>
            </w:r>
          </w:p>
        </w:tc>
        <w:tc>
          <w:tcPr>
            <w:tcW w:w="36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Plan migracije, materijali za obuku, lista obučenih korisnika</w:t>
            </w:r>
          </w:p>
        </w:tc>
      </w:tr>
      <w:tr w:rsidR="00B202AA">
        <w:tc>
          <w:tcPr>
            <w:tcW w:w="6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F9</w:t>
            </w:r>
          </w:p>
        </w:tc>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Stabilizacija i početak garancije</w:t>
            </w:r>
          </w:p>
        </w:tc>
        <w:tc>
          <w:tcPr>
            <w:tcW w:w="3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Pojačana podrška u stabilizacionom periodu, prelaz na garantno održavanje</w:t>
            </w:r>
          </w:p>
        </w:tc>
        <w:tc>
          <w:tcPr>
            <w:tcW w:w="36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Izvještaj o stabilizaciji, primopredajni zapisnik</w:t>
            </w:r>
          </w:p>
        </w:tc>
      </w:tr>
    </w:tbl>
    <w:p w:rsidR="00B202AA" w:rsidRDefault="00A54945">
      <w:r>
        <w:br w:type="page"/>
      </w:r>
    </w:p>
    <w:p w:rsidR="00B202AA" w:rsidRDefault="00A54945">
      <w:pPr>
        <w:pStyle w:val="Heading2"/>
      </w:pPr>
      <w:r>
        <w:lastRenderedPageBreak/>
        <w:t>SLA – nivoi prioriteta i vremena reakcije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00"/>
        <w:gridCol w:w="4060"/>
        <w:gridCol w:w="1900"/>
        <w:gridCol w:w="2100"/>
      </w:tblGrid>
      <w:tr w:rsidR="00B202AA">
        <w:trPr>
          <w:tblHeader/>
        </w:trPr>
        <w:tc>
          <w:tcPr>
            <w:tcW w:w="130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vAlign w:val="center"/>
          </w:tcPr>
          <w:p w:rsidR="00B202AA" w:rsidRDefault="00A54945">
            <w:pPr>
              <w:spacing w:before="40" w:after="40" w:line="260" w:lineRule="auto"/>
            </w:pPr>
            <w:r>
              <w:rPr>
                <w:b/>
                <w:bCs/>
                <w:sz w:val="20"/>
                <w:szCs w:val="20"/>
              </w:rPr>
              <w:t>Prioritet</w:t>
            </w:r>
          </w:p>
        </w:tc>
        <w:tc>
          <w:tcPr>
            <w:tcW w:w="406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vAlign w:val="center"/>
          </w:tcPr>
          <w:p w:rsidR="00B202AA" w:rsidRDefault="00A54945">
            <w:pPr>
              <w:spacing w:before="40" w:after="40" w:line="260" w:lineRule="auto"/>
            </w:pPr>
            <w:r>
              <w:rPr>
                <w:b/>
                <w:bCs/>
                <w:sz w:val="20"/>
                <w:szCs w:val="20"/>
              </w:rPr>
              <w:t>Opis</w:t>
            </w:r>
          </w:p>
        </w:tc>
        <w:tc>
          <w:tcPr>
            <w:tcW w:w="190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vAlign w:val="center"/>
          </w:tcPr>
          <w:p w:rsidR="00B202AA" w:rsidRDefault="00A54945">
            <w:pPr>
              <w:spacing w:before="40" w:after="40" w:line="260" w:lineRule="auto"/>
            </w:pPr>
            <w:r>
              <w:rPr>
                <w:b/>
                <w:bCs/>
                <w:sz w:val="20"/>
                <w:szCs w:val="20"/>
              </w:rPr>
              <w:t>Vrijeme reakcije</w:t>
            </w:r>
          </w:p>
        </w:tc>
        <w:tc>
          <w:tcPr>
            <w:tcW w:w="210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vAlign w:val="center"/>
          </w:tcPr>
          <w:p w:rsidR="00B202AA" w:rsidRDefault="00A54945">
            <w:pPr>
              <w:spacing w:before="40" w:after="40" w:line="260" w:lineRule="auto"/>
            </w:pPr>
            <w:r>
              <w:rPr>
                <w:b/>
                <w:bCs/>
                <w:sz w:val="20"/>
                <w:szCs w:val="20"/>
              </w:rPr>
              <w:t>Vrijeme otklanjanja</w:t>
            </w:r>
          </w:p>
        </w:tc>
      </w:tr>
      <w:tr w:rsidR="00B202AA">
        <w:tc>
          <w:tcPr>
            <w:tcW w:w="13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P1 – Kritičan</w:t>
            </w:r>
          </w:p>
        </w:tc>
        <w:tc>
          <w:tcPr>
            <w:tcW w:w="40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Potpuni prekid rada Sistema ili kritične funkcionalnosti, bez zaobilaznog rješenja</w:t>
            </w:r>
          </w:p>
        </w:tc>
        <w:tc>
          <w:tcPr>
            <w:tcW w:w="19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30 minuta</w:t>
            </w:r>
          </w:p>
        </w:tc>
        <w:tc>
          <w:tcPr>
            <w:tcW w:w="21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4 sata</w:t>
            </w:r>
          </w:p>
        </w:tc>
      </w:tr>
      <w:tr w:rsidR="00B202AA">
        <w:tc>
          <w:tcPr>
            <w:tcW w:w="13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P2 – Visok</w:t>
            </w:r>
          </w:p>
        </w:tc>
        <w:tc>
          <w:tcPr>
            <w:tcW w:w="40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Značajno narušena funkcionalnost, sa zaobilaznim rješenjem koje znatno otežava rad</w:t>
            </w:r>
          </w:p>
        </w:tc>
        <w:tc>
          <w:tcPr>
            <w:tcW w:w="19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1 sat</w:t>
            </w:r>
          </w:p>
        </w:tc>
        <w:tc>
          <w:tcPr>
            <w:tcW w:w="21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8 sati</w:t>
            </w:r>
          </w:p>
        </w:tc>
      </w:tr>
      <w:tr w:rsidR="00B202AA">
        <w:tc>
          <w:tcPr>
            <w:tcW w:w="13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P3 – Srednji</w:t>
            </w:r>
          </w:p>
        </w:tc>
        <w:tc>
          <w:tcPr>
            <w:tcW w:w="40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Greška sa ograničenim uticajem ili dostupnim zaobilaznim rješenjem</w:t>
            </w:r>
          </w:p>
        </w:tc>
        <w:tc>
          <w:tcPr>
            <w:tcW w:w="19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4 sata</w:t>
            </w:r>
          </w:p>
        </w:tc>
        <w:tc>
          <w:tcPr>
            <w:tcW w:w="21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2 radna dana</w:t>
            </w:r>
          </w:p>
        </w:tc>
      </w:tr>
      <w:tr w:rsidR="00B202AA">
        <w:tc>
          <w:tcPr>
            <w:tcW w:w="13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P4 – Nizak</w:t>
            </w:r>
          </w:p>
        </w:tc>
        <w:tc>
          <w:tcPr>
            <w:tcW w:w="40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Manje greške, kozmetička pitanja, zahtjevi za informacijama</w:t>
            </w:r>
          </w:p>
        </w:tc>
        <w:tc>
          <w:tcPr>
            <w:tcW w:w="19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1 radni dan</w:t>
            </w:r>
          </w:p>
        </w:tc>
        <w:tc>
          <w:tcPr>
            <w:tcW w:w="21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5 radnih dana</w:t>
            </w:r>
          </w:p>
        </w:tc>
      </w:tr>
    </w:tbl>
    <w:p w:rsidR="00B202AA" w:rsidRDefault="00A54945">
      <w:pPr>
        <w:pStyle w:val="Heading2"/>
      </w:pPr>
      <w:r>
        <w:t xml:space="preserve"> </w:t>
      </w:r>
      <w:r>
        <w:rPr>
          <w:lang w:val="sr-Latn-ME"/>
        </w:rPr>
        <w:t>M</w:t>
      </w:r>
      <w:r>
        <w:t>ilestones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47"/>
        <w:gridCol w:w="6048"/>
        <w:gridCol w:w="2365"/>
      </w:tblGrid>
      <w:tr w:rsidR="00B202AA">
        <w:trPr>
          <w:tblHeader/>
        </w:trPr>
        <w:tc>
          <w:tcPr>
            <w:tcW w:w="80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vAlign w:val="center"/>
          </w:tcPr>
          <w:p w:rsidR="00B202AA" w:rsidRDefault="00A54945">
            <w:pPr>
              <w:spacing w:before="40" w:after="40" w:line="260" w:lineRule="auto"/>
            </w:pPr>
            <w:r>
              <w:rPr>
                <w:b/>
                <w:bCs/>
                <w:sz w:val="20"/>
                <w:szCs w:val="20"/>
              </w:rPr>
              <w:t>Oznaka</w:t>
            </w:r>
          </w:p>
        </w:tc>
        <w:tc>
          <w:tcPr>
            <w:tcW w:w="616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vAlign w:val="center"/>
          </w:tcPr>
          <w:p w:rsidR="00B202AA" w:rsidRDefault="00A54945">
            <w:pPr>
              <w:spacing w:before="40" w:after="40" w:line="260" w:lineRule="auto"/>
            </w:pPr>
            <w:r>
              <w:rPr>
                <w:b/>
                <w:bCs/>
                <w:sz w:val="20"/>
                <w:szCs w:val="20"/>
              </w:rPr>
              <w:t>Milestone</w:t>
            </w:r>
          </w:p>
        </w:tc>
        <w:tc>
          <w:tcPr>
            <w:tcW w:w="240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vAlign w:val="center"/>
          </w:tcPr>
          <w:p w:rsidR="00B202AA" w:rsidRDefault="00A54945">
            <w:pPr>
              <w:spacing w:before="40" w:after="40" w:line="260" w:lineRule="auto"/>
            </w:pPr>
            <w:r>
              <w:rPr>
                <w:b/>
                <w:bCs/>
                <w:sz w:val="20"/>
                <w:szCs w:val="20"/>
              </w:rPr>
              <w:t>Rok (mjesec od potpisa)</w:t>
            </w:r>
          </w:p>
        </w:tc>
      </w:tr>
      <w:tr w:rsidR="00B202AA">
        <w:tc>
          <w:tcPr>
            <w:tcW w:w="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M1</w:t>
            </w:r>
          </w:p>
        </w:tc>
        <w:tc>
          <w:tcPr>
            <w:tcW w:w="61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Završetak inicijacije i odobren projektni plan</w:t>
            </w:r>
          </w:p>
        </w:tc>
        <w:tc>
          <w:tcPr>
            <w:tcW w:w="24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1</w:t>
            </w:r>
          </w:p>
        </w:tc>
      </w:tr>
      <w:tr w:rsidR="00B202AA">
        <w:tc>
          <w:tcPr>
            <w:tcW w:w="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M2</w:t>
            </w:r>
          </w:p>
        </w:tc>
        <w:tc>
          <w:tcPr>
            <w:tcW w:w="61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Odobren dokument zahtjeva (SRS) i matrica sledljivosti</w:t>
            </w:r>
          </w:p>
        </w:tc>
        <w:tc>
          <w:tcPr>
            <w:tcW w:w="24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2</w:t>
            </w:r>
          </w:p>
        </w:tc>
      </w:tr>
      <w:tr w:rsidR="00B202AA">
        <w:tc>
          <w:tcPr>
            <w:tcW w:w="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M3</w:t>
            </w:r>
          </w:p>
        </w:tc>
        <w:tc>
          <w:tcPr>
            <w:tcW w:w="61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Odobren HLD i LLD</w:t>
            </w:r>
          </w:p>
        </w:tc>
        <w:tc>
          <w:tcPr>
            <w:tcW w:w="24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3</w:t>
            </w:r>
          </w:p>
        </w:tc>
      </w:tr>
      <w:tr w:rsidR="00B202AA">
        <w:tc>
          <w:tcPr>
            <w:tcW w:w="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M4</w:t>
            </w:r>
          </w:p>
        </w:tc>
        <w:tc>
          <w:tcPr>
            <w:tcW w:w="61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Završeni razvojni sprintovi prve grupe funkcionalnosti (upravljanje izvorima i pravilima)</w:t>
            </w:r>
          </w:p>
        </w:tc>
        <w:tc>
          <w:tcPr>
            <w:tcW w:w="24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5</w:t>
            </w:r>
          </w:p>
        </w:tc>
      </w:tr>
      <w:tr w:rsidR="00B202AA">
        <w:tc>
          <w:tcPr>
            <w:tcW w:w="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M5</w:t>
            </w:r>
          </w:p>
        </w:tc>
        <w:tc>
          <w:tcPr>
            <w:tcW w:w="61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Završeni razvojni sprintovi druge grupe funkcionalnosti (tok rada i rezultati)</w:t>
            </w:r>
          </w:p>
        </w:tc>
        <w:tc>
          <w:tcPr>
            <w:tcW w:w="24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6</w:t>
            </w:r>
          </w:p>
        </w:tc>
      </w:tr>
      <w:tr w:rsidR="00B202AA">
        <w:tc>
          <w:tcPr>
            <w:tcW w:w="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M6</w:t>
            </w:r>
          </w:p>
        </w:tc>
        <w:tc>
          <w:tcPr>
            <w:tcW w:w="61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Završeno integraciono i sistemsko testiranje</w:t>
            </w:r>
          </w:p>
        </w:tc>
        <w:tc>
          <w:tcPr>
            <w:tcW w:w="24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7</w:t>
            </w:r>
          </w:p>
        </w:tc>
      </w:tr>
      <w:tr w:rsidR="00B202AA">
        <w:tc>
          <w:tcPr>
            <w:tcW w:w="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M7</w:t>
            </w:r>
          </w:p>
        </w:tc>
        <w:tc>
          <w:tcPr>
            <w:tcW w:w="61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Završen UAT i penetracioni test</w:t>
            </w:r>
          </w:p>
        </w:tc>
        <w:tc>
          <w:tcPr>
            <w:tcW w:w="24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8</w:t>
            </w:r>
          </w:p>
        </w:tc>
      </w:tr>
      <w:tr w:rsidR="00B202AA">
        <w:tc>
          <w:tcPr>
            <w:tcW w:w="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M8</w:t>
            </w:r>
          </w:p>
        </w:tc>
        <w:tc>
          <w:tcPr>
            <w:tcW w:w="61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Puštanje u produkciju i početak garantnog perioda</w:t>
            </w:r>
          </w:p>
        </w:tc>
        <w:tc>
          <w:tcPr>
            <w:tcW w:w="24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9</w:t>
            </w:r>
          </w:p>
        </w:tc>
      </w:tr>
    </w:tbl>
    <w:p w:rsidR="00B202AA" w:rsidRDefault="00B202AA">
      <w:pPr>
        <w:spacing w:before="60" w:after="60" w:line="300" w:lineRule="auto"/>
        <w:jc w:val="both"/>
      </w:pPr>
    </w:p>
    <w:p w:rsidR="00B202AA" w:rsidRDefault="00A54945">
      <w:r>
        <w:br w:type="page"/>
      </w:r>
    </w:p>
    <w:p w:rsidR="00B202AA" w:rsidRDefault="00A54945">
      <w:pPr>
        <w:pStyle w:val="Heading2"/>
      </w:pPr>
      <w:r>
        <w:lastRenderedPageBreak/>
        <w:t>Rječnik termina i skraćenica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60"/>
        <w:gridCol w:w="6000"/>
      </w:tblGrid>
      <w:tr w:rsidR="00B202AA">
        <w:trPr>
          <w:tblHeader/>
        </w:trPr>
        <w:tc>
          <w:tcPr>
            <w:tcW w:w="336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vAlign w:val="center"/>
          </w:tcPr>
          <w:p w:rsidR="00B202AA" w:rsidRDefault="00A54945">
            <w:pPr>
              <w:spacing w:before="40" w:after="40" w:line="260" w:lineRule="auto"/>
            </w:pPr>
            <w:r>
              <w:rPr>
                <w:b/>
                <w:bCs/>
                <w:sz w:val="20"/>
                <w:szCs w:val="20"/>
              </w:rPr>
              <w:t>Termin / Skraćenica</w:t>
            </w:r>
          </w:p>
        </w:tc>
        <w:tc>
          <w:tcPr>
            <w:tcW w:w="600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vAlign w:val="center"/>
          </w:tcPr>
          <w:p w:rsidR="00B202AA" w:rsidRDefault="00A54945">
            <w:pPr>
              <w:spacing w:before="40" w:after="40" w:line="260" w:lineRule="auto"/>
            </w:pPr>
            <w:r>
              <w:rPr>
                <w:b/>
                <w:bCs/>
                <w:sz w:val="20"/>
                <w:szCs w:val="20"/>
              </w:rPr>
              <w:t>Značenje</w:t>
            </w:r>
          </w:p>
        </w:tc>
      </w:tr>
      <w:tr w:rsidR="00B202AA">
        <w:tc>
          <w:tcPr>
            <w:tcW w:w="3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Naručilac / Komisija / CMA CG</w:t>
            </w:r>
          </w:p>
        </w:tc>
        <w:tc>
          <w:tcPr>
            <w:tcW w:w="60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Komisija za tržište kapitala Crne Gore</w:t>
            </w:r>
          </w:p>
        </w:tc>
      </w:tr>
      <w:tr w:rsidR="00B202AA">
        <w:tc>
          <w:tcPr>
            <w:tcW w:w="33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Sistem</w:t>
            </w:r>
          </w:p>
        </w:tc>
        <w:tc>
          <w:tcPr>
            <w:tcW w:w="60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Informaciono rješenje za vanjsko usaglašavanje podataka koje je predmet ove nabavke</w:t>
            </w:r>
          </w:p>
        </w:tc>
      </w:tr>
      <w:tr w:rsidR="00B202AA">
        <w:tc>
          <w:tcPr>
            <w:tcW w:w="3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Izvor podataka</w:t>
            </w:r>
          </w:p>
        </w:tc>
        <w:tc>
          <w:tcPr>
            <w:tcW w:w="60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Generička parametarska entitet koji obuhvata podatkovni izvor 1, podatkovni izvor 2 i vanjske izvore podataka</w:t>
            </w:r>
          </w:p>
        </w:tc>
      </w:tr>
      <w:tr w:rsidR="00B202AA">
        <w:tc>
          <w:tcPr>
            <w:tcW w:w="33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Podatkovni izvor 1 (primarni)</w:t>
            </w:r>
          </w:p>
        </w:tc>
        <w:tc>
          <w:tcPr>
            <w:tcW w:w="60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Skup primarnih regulatornih izvještaja Naručioca</w:t>
            </w:r>
          </w:p>
        </w:tc>
      </w:tr>
      <w:tr w:rsidR="00B202AA">
        <w:tc>
          <w:tcPr>
            <w:tcW w:w="3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Podatkovni izvor 2 (sekundarni)</w:t>
            </w:r>
          </w:p>
        </w:tc>
        <w:tc>
          <w:tcPr>
            <w:tcW w:w="60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Skup sekundarnih, paralelnih izvještaja iste ili druge prirode korišćenih za unakrsnu provjeru</w:t>
            </w:r>
          </w:p>
        </w:tc>
      </w:tr>
      <w:tr w:rsidR="00B202AA">
        <w:tc>
          <w:tcPr>
            <w:tcW w:w="33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Vanjski izvor podataka</w:t>
            </w:r>
          </w:p>
        </w:tc>
        <w:tc>
          <w:tcPr>
            <w:tcW w:w="60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Treća strana / eksterni sistem (npr. drugi regulator, depozitar, berza, statistička institucija) koji se koristi za nezavisno poređenje</w:t>
            </w:r>
          </w:p>
        </w:tc>
      </w:tr>
      <w:tr w:rsidR="00B202AA">
        <w:tc>
          <w:tcPr>
            <w:tcW w:w="3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Obveznik izvještavanja</w:t>
            </w:r>
          </w:p>
        </w:tc>
        <w:tc>
          <w:tcPr>
            <w:tcW w:w="60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Subjekt tržišta kapitala koji ima zakonsku obavezu dostave izvještaja Naručiocu</w:t>
            </w:r>
          </w:p>
        </w:tc>
      </w:tr>
      <w:tr w:rsidR="00B202AA">
        <w:tc>
          <w:tcPr>
            <w:tcW w:w="33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Usaglašavanje (rekonsilijacija)</w:t>
            </w:r>
          </w:p>
        </w:tc>
        <w:tc>
          <w:tcPr>
            <w:tcW w:w="60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Postupak poređenja vrijednosti istog ili logički ekvivalentnog podatka iz dva ili više izvora</w:t>
            </w:r>
          </w:p>
        </w:tc>
      </w:tr>
      <w:tr w:rsidR="00B202AA">
        <w:tc>
          <w:tcPr>
            <w:tcW w:w="3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Pravilo usaglašavanja</w:t>
            </w:r>
          </w:p>
        </w:tc>
        <w:tc>
          <w:tcPr>
            <w:tcW w:w="60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Parametarska definicija logike poređenja, tolerancija i ključeva poređenja</w:t>
            </w:r>
          </w:p>
        </w:tc>
      </w:tr>
      <w:tr w:rsidR="00B202AA">
        <w:tc>
          <w:tcPr>
            <w:tcW w:w="33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Odstupanje (neusaglašenost)</w:t>
            </w:r>
          </w:p>
        </w:tc>
        <w:tc>
          <w:tcPr>
            <w:tcW w:w="60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Razlika između vrijednosti istog logičkog podatka u dva ili više izvora, izvan dozvoljene tolerancije</w:t>
            </w:r>
          </w:p>
        </w:tc>
      </w:tr>
      <w:tr w:rsidR="00B202AA">
        <w:tc>
          <w:tcPr>
            <w:tcW w:w="3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RBAC</w:t>
            </w:r>
          </w:p>
        </w:tc>
        <w:tc>
          <w:tcPr>
            <w:tcW w:w="60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Role-Based Access Control – model pristupa zasnovan na ulogama</w:t>
            </w:r>
          </w:p>
        </w:tc>
      </w:tr>
      <w:tr w:rsidR="00B202AA">
        <w:tc>
          <w:tcPr>
            <w:tcW w:w="33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SLA</w:t>
            </w:r>
          </w:p>
        </w:tc>
        <w:tc>
          <w:tcPr>
            <w:tcW w:w="60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Service Level Agreement – ugovor o nivou usluge</w:t>
            </w:r>
          </w:p>
        </w:tc>
      </w:tr>
      <w:tr w:rsidR="00B202AA">
        <w:tc>
          <w:tcPr>
            <w:tcW w:w="3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SRS</w:t>
            </w:r>
          </w:p>
        </w:tc>
        <w:tc>
          <w:tcPr>
            <w:tcW w:w="60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Software Requirements Specification – specifikacija zahtjeva sistema</w:t>
            </w:r>
          </w:p>
        </w:tc>
      </w:tr>
      <w:tr w:rsidR="00B202AA">
        <w:tc>
          <w:tcPr>
            <w:tcW w:w="33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HLD / LLD</w:t>
            </w:r>
          </w:p>
        </w:tc>
        <w:tc>
          <w:tcPr>
            <w:tcW w:w="60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High-Level Design / Low-Level Design</w:t>
            </w:r>
          </w:p>
        </w:tc>
      </w:tr>
      <w:tr w:rsidR="00B202AA">
        <w:tc>
          <w:tcPr>
            <w:tcW w:w="3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UAT</w:t>
            </w:r>
          </w:p>
        </w:tc>
        <w:tc>
          <w:tcPr>
            <w:tcW w:w="60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User Acceptance Testing – korisničko prihvatno testiranje</w:t>
            </w:r>
          </w:p>
        </w:tc>
      </w:tr>
      <w:tr w:rsidR="00B202AA">
        <w:tc>
          <w:tcPr>
            <w:tcW w:w="33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RTO / RPO</w:t>
            </w:r>
          </w:p>
        </w:tc>
        <w:tc>
          <w:tcPr>
            <w:tcW w:w="60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Recovery Time Objective / Recovery Point Objective</w:t>
            </w:r>
          </w:p>
        </w:tc>
      </w:tr>
      <w:tr w:rsidR="00B202AA">
        <w:tc>
          <w:tcPr>
            <w:tcW w:w="3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SupTech</w:t>
            </w:r>
          </w:p>
        </w:tc>
        <w:tc>
          <w:tcPr>
            <w:tcW w:w="60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Supervisory Technology – tehnologija za podršku supervizorskim aktivnostima</w:t>
            </w:r>
          </w:p>
        </w:tc>
      </w:tr>
      <w:tr w:rsidR="00B202AA">
        <w:tc>
          <w:tcPr>
            <w:tcW w:w="33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RegTech</w:t>
            </w:r>
          </w:p>
        </w:tc>
        <w:tc>
          <w:tcPr>
            <w:tcW w:w="60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Regulatory Technology – tehnologija za podršku ispunjenju regulatornih obaveza</w:t>
            </w:r>
          </w:p>
        </w:tc>
      </w:tr>
      <w:tr w:rsidR="00B202AA">
        <w:tc>
          <w:tcPr>
            <w:tcW w:w="3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P1 / P2 / P3 / P4</w:t>
            </w:r>
          </w:p>
        </w:tc>
        <w:tc>
          <w:tcPr>
            <w:tcW w:w="60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rsidR="00B202AA" w:rsidRDefault="00A54945">
            <w:pPr>
              <w:spacing w:before="40" w:after="40" w:line="260" w:lineRule="auto"/>
            </w:pPr>
            <w:r>
              <w:rPr>
                <w:sz w:val="20"/>
                <w:szCs w:val="20"/>
              </w:rPr>
              <w:t>Nivoi prioriteta incidenta u okviru SLA</w:t>
            </w:r>
          </w:p>
        </w:tc>
      </w:tr>
      <w:tr w:rsidR="00B202AA">
        <w:tc>
          <w:tcPr>
            <w:tcW w:w="336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lastRenderedPageBreak/>
              <w:t>Service Desk</w:t>
            </w:r>
          </w:p>
        </w:tc>
        <w:tc>
          <w:tcPr>
            <w:tcW w:w="60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vAlign w:val="center"/>
          </w:tcPr>
          <w:p w:rsidR="00B202AA" w:rsidRDefault="00A54945">
            <w:pPr>
              <w:spacing w:before="40" w:after="40" w:line="260" w:lineRule="auto"/>
            </w:pPr>
            <w:r>
              <w:rPr>
                <w:sz w:val="20"/>
                <w:szCs w:val="20"/>
              </w:rPr>
              <w:t>Centralna tačka prijave incidenata i zahtjeva Izvođača</w:t>
            </w:r>
          </w:p>
        </w:tc>
      </w:tr>
    </w:tbl>
    <w:p w:rsidR="00B202AA" w:rsidRDefault="00B202AA">
      <w:pPr>
        <w:rPr>
          <w:bCs/>
          <w:color w:val="000000"/>
          <w:shd w:val="clear" w:color="auto" w:fill="FFFFFF"/>
        </w:rPr>
      </w:pPr>
    </w:p>
    <w:p w:rsidR="00B202AA" w:rsidRDefault="00B202AA">
      <w:pPr>
        <w:spacing w:after="160" w:line="259" w:lineRule="auto"/>
        <w:rPr>
          <w:rFonts w:eastAsiaTheme="majorEastAsia"/>
          <w:b/>
          <w:spacing w:val="5"/>
          <w:kern w:val="28"/>
          <w:sz w:val="28"/>
          <w:szCs w:val="28"/>
          <w:lang w:val="sr-Latn-RS"/>
        </w:rPr>
      </w:pPr>
    </w:p>
    <w:p w:rsidR="00B202AA" w:rsidRDefault="00A54945">
      <w:pPr>
        <w:pBdr>
          <w:top w:val="single" w:sz="4" w:space="1" w:color="auto"/>
          <w:left w:val="single" w:sz="4" w:space="4" w:color="auto"/>
          <w:bottom w:val="single" w:sz="4" w:space="1" w:color="auto"/>
          <w:right w:val="single" w:sz="4" w:space="4" w:color="auto"/>
        </w:pBdr>
        <w:shd w:val="clear" w:color="auto" w:fill="D9D9D9"/>
        <w:rPr>
          <w:rFonts w:ascii="Cambria" w:hAnsi="Cambria" w:cs="Arial"/>
          <w:b/>
          <w:bCs/>
          <w:color w:val="000000"/>
        </w:rPr>
      </w:pPr>
      <w:r>
        <w:rPr>
          <w:rFonts w:ascii="Cambria" w:hAnsi="Cambria" w:cs="Arial"/>
          <w:b/>
          <w:bCs/>
          <w:color w:val="000000"/>
        </w:rPr>
        <w:t>Procijenjena vrijednost predmenta nabavke:</w:t>
      </w:r>
    </w:p>
    <w:p w:rsidR="00B202AA" w:rsidRDefault="00B202AA">
      <w:pPr>
        <w:jc w:val="both"/>
        <w:rPr>
          <w:rFonts w:ascii="Cambria" w:hAnsi="Cambria" w:cs="Arial"/>
          <w:color w:val="000000"/>
        </w:rPr>
      </w:pPr>
    </w:p>
    <w:p w:rsidR="00B202AA" w:rsidRDefault="00A54945">
      <w:pPr>
        <w:jc w:val="both"/>
        <w:rPr>
          <w:rFonts w:ascii="Cambria" w:hAnsi="Cambria"/>
          <w:b/>
          <w:bCs/>
          <w:color w:val="000000"/>
        </w:rPr>
      </w:pPr>
      <w:r>
        <w:rPr>
          <w:rFonts w:ascii="Cambria" w:hAnsi="Cambria"/>
          <w:color w:val="000000"/>
        </w:rPr>
        <w:sym w:font="Wingdings" w:char="F0A8"/>
      </w:r>
      <w:r>
        <w:rPr>
          <w:rFonts w:ascii="Cambria" w:hAnsi="Cambria"/>
          <w:color w:val="000000"/>
        </w:rPr>
        <w:t xml:space="preserve"> </w:t>
      </w:r>
      <w:r>
        <w:rPr>
          <w:rFonts w:ascii="Cambria" w:hAnsi="Cambria"/>
          <w:b/>
          <w:bCs/>
          <w:color w:val="000000"/>
        </w:rPr>
        <w:t>Procijenjena vrijednost predmeta nabavke</w:t>
      </w:r>
      <w:r>
        <w:rPr>
          <w:rFonts w:ascii="Cambria" w:hAnsi="Cambria"/>
          <w:color w:val="000000"/>
        </w:rPr>
        <w:t>:</w:t>
      </w:r>
    </w:p>
    <w:p w:rsidR="00B202AA" w:rsidRDefault="00B202AA">
      <w:pPr>
        <w:jc w:val="both"/>
        <w:rPr>
          <w:rFonts w:ascii="Cambria" w:hAnsi="Cambria"/>
          <w:color w:val="000000"/>
        </w:rPr>
      </w:pPr>
    </w:p>
    <w:p w:rsidR="00B202AA" w:rsidRDefault="00A54945">
      <w:pPr>
        <w:jc w:val="both"/>
        <w:rPr>
          <w:color w:val="000000"/>
        </w:rPr>
      </w:pPr>
      <w:r>
        <w:rPr>
          <w:color w:val="000000"/>
        </w:rPr>
        <w:sym w:font="Wingdings" w:char="F0A8"/>
      </w:r>
      <w:r>
        <w:rPr>
          <w:color w:val="000000"/>
        </w:rPr>
        <w:t xml:space="preserve"> kao cjeline je </w:t>
      </w:r>
      <w:r>
        <w:rPr>
          <w:color w:val="000000"/>
          <w:lang w:val="sr-Latn-ME"/>
        </w:rPr>
        <w:t>175</w:t>
      </w:r>
      <w:r>
        <w:rPr>
          <w:color w:val="000000"/>
        </w:rPr>
        <w:t>.</w:t>
      </w:r>
      <w:r>
        <w:rPr>
          <w:color w:val="000000"/>
          <w:lang w:val="sr-Latn-ME"/>
        </w:rPr>
        <w:t>000</w:t>
      </w:r>
      <w:r>
        <w:rPr>
          <w:color w:val="000000"/>
        </w:rPr>
        <w:t>,</w:t>
      </w:r>
      <w:r>
        <w:rPr>
          <w:color w:val="000000"/>
          <w:lang w:val="sr-Latn-ME"/>
        </w:rPr>
        <w:t>00</w:t>
      </w:r>
      <w:r>
        <w:rPr>
          <w:color w:val="000000"/>
        </w:rPr>
        <w:t xml:space="preserve"> € </w:t>
      </w:r>
    </w:p>
    <w:p w:rsidR="00B202AA" w:rsidRDefault="00B202AA">
      <w:pPr>
        <w:jc w:val="both"/>
        <w:rPr>
          <w:rFonts w:ascii="Cambria" w:hAnsi="Cambria"/>
          <w:color w:val="000000"/>
        </w:rPr>
      </w:pPr>
    </w:p>
    <w:p w:rsidR="00B202AA" w:rsidRDefault="00A54945">
      <w:pPr>
        <w:pBdr>
          <w:top w:val="single" w:sz="4" w:space="1" w:color="auto"/>
          <w:left w:val="single" w:sz="4" w:space="4" w:color="auto"/>
          <w:bottom w:val="single" w:sz="4" w:space="1" w:color="auto"/>
          <w:right w:val="single" w:sz="4" w:space="4" w:color="auto"/>
        </w:pBdr>
        <w:shd w:val="clear" w:color="auto" w:fill="D9D9D9"/>
        <w:rPr>
          <w:rFonts w:ascii="Cambria" w:hAnsi="Cambria" w:cs="Arial"/>
          <w:b/>
          <w:bCs/>
          <w:color w:val="000000"/>
        </w:rPr>
      </w:pPr>
      <w:r>
        <w:rPr>
          <w:rFonts w:ascii="Cambria" w:hAnsi="Cambria" w:cs="Arial"/>
          <w:b/>
          <w:bCs/>
          <w:color w:val="000000"/>
        </w:rPr>
        <w:t>Obrazloženje razloga zašto predmet nabavke nije podijeljen na partije:</w:t>
      </w:r>
    </w:p>
    <w:p w:rsidR="00B202AA" w:rsidRDefault="00B202AA">
      <w:pPr>
        <w:tabs>
          <w:tab w:val="center" w:leader="underscore" w:pos="5387"/>
          <w:tab w:val="left" w:pos="5954"/>
          <w:tab w:val="right" w:pos="9639"/>
        </w:tabs>
        <w:rPr>
          <w:rFonts w:ascii="Arial" w:eastAsia="PMingLiU" w:hAnsi="Arial" w:cs="Arial"/>
          <w:b/>
          <w:lang w:val="pl-PL" w:eastAsia="zh-TW"/>
        </w:rPr>
      </w:pPr>
    </w:p>
    <w:p w:rsidR="00B202AA" w:rsidRDefault="00A54945">
      <w:pPr>
        <w:tabs>
          <w:tab w:val="center" w:leader="underscore" w:pos="5387"/>
          <w:tab w:val="left" w:pos="5954"/>
          <w:tab w:val="right" w:pos="9639"/>
        </w:tabs>
        <w:jc w:val="both"/>
        <w:rPr>
          <w:bCs/>
          <w:color w:val="000000"/>
          <w:shd w:val="clear" w:color="auto" w:fill="FFFFFF"/>
        </w:rPr>
      </w:pPr>
      <w:r>
        <w:rPr>
          <w:bCs/>
          <w:color w:val="000000"/>
          <w:shd w:val="clear" w:color="auto" w:fill="FFFFFF"/>
        </w:rPr>
        <w:t xml:space="preserve">U konkretnom slučaju radi se o nabavci koja predstavlja jedinstveni cijelinu, obzirom da </w:t>
      </w:r>
      <w:r>
        <w:t xml:space="preserve">se vrši </w:t>
      </w:r>
      <w:r>
        <w:rPr>
          <w:lang w:val="sr-Latn-ME"/>
        </w:rPr>
        <w:t>unapređenje</w:t>
      </w:r>
      <w:r>
        <w:t xml:space="preserve"> jedinstvenog </w:t>
      </w:r>
      <w:r>
        <w:rPr>
          <w:bCs/>
          <w:color w:val="000000"/>
          <w:shd w:val="clear" w:color="auto" w:fill="FFFFFF"/>
        </w:rPr>
        <w:t>informacionog sistema.</w:t>
      </w:r>
    </w:p>
    <w:p w:rsidR="00B202AA" w:rsidRDefault="00B202AA">
      <w:pPr>
        <w:jc w:val="both"/>
        <w:rPr>
          <w:rFonts w:ascii="Cambria" w:hAnsi="Cambria"/>
          <w:color w:val="000000"/>
        </w:rPr>
      </w:pPr>
    </w:p>
    <w:p w:rsidR="00B202AA" w:rsidRDefault="00B202AA">
      <w:pPr>
        <w:jc w:val="both"/>
        <w:rPr>
          <w:rFonts w:ascii="Cambria" w:hAnsi="Cambria" w:cs="Arial"/>
        </w:rPr>
      </w:pPr>
    </w:p>
    <w:p w:rsidR="00B202AA" w:rsidRDefault="00A54945">
      <w:pPr>
        <w:pBdr>
          <w:top w:val="single" w:sz="4" w:space="1" w:color="auto"/>
          <w:left w:val="single" w:sz="4" w:space="4" w:color="auto"/>
          <w:bottom w:val="single" w:sz="4" w:space="1" w:color="auto"/>
          <w:right w:val="single" w:sz="4" w:space="4" w:color="auto"/>
        </w:pBdr>
        <w:shd w:val="clear" w:color="auto" w:fill="D9D9D9"/>
        <w:rPr>
          <w:rFonts w:ascii="Cambria" w:hAnsi="Cambria" w:cs="Arial"/>
          <w:b/>
          <w:color w:val="000000"/>
          <w:lang w:val="sr-Latn-ME"/>
        </w:rPr>
      </w:pPr>
      <w:r>
        <w:rPr>
          <w:rFonts w:ascii="Cambria" w:hAnsi="Cambria" w:cs="Arial"/>
          <w:b/>
          <w:color w:val="000000"/>
          <w:lang w:val="sr-Latn-ME"/>
        </w:rPr>
        <w:t>ZAKLJUČIVANJE OKVIRNOG SPORAZUMA</w:t>
      </w:r>
    </w:p>
    <w:p w:rsidR="00B202AA" w:rsidRDefault="00B202AA">
      <w:pPr>
        <w:jc w:val="both"/>
        <w:rPr>
          <w:rFonts w:ascii="Cambria" w:hAnsi="Cambria" w:cs="Arial"/>
          <w:color w:val="000000"/>
          <w:lang w:val="sr-Latn-ME"/>
        </w:rPr>
      </w:pPr>
    </w:p>
    <w:p w:rsidR="00B202AA" w:rsidRDefault="00A54945">
      <w:pPr>
        <w:jc w:val="both"/>
        <w:rPr>
          <w:rFonts w:ascii="Cambria" w:hAnsi="Cambria"/>
          <w:color w:val="000000"/>
        </w:rPr>
      </w:pPr>
      <w:r>
        <w:rPr>
          <w:rFonts w:ascii="Cambria" w:hAnsi="Cambria"/>
          <w:color w:val="000000"/>
        </w:rPr>
        <w:t>Zaključiće se okvirni sporazum:</w:t>
      </w:r>
    </w:p>
    <w:p w:rsidR="00B202AA" w:rsidRDefault="00B202AA">
      <w:pPr>
        <w:jc w:val="both"/>
        <w:rPr>
          <w:rFonts w:ascii="Cambria" w:hAnsi="Cambria"/>
          <w:color w:val="000000"/>
        </w:rPr>
      </w:pPr>
    </w:p>
    <w:p w:rsidR="00B202AA" w:rsidRDefault="00A54945">
      <w:pPr>
        <w:jc w:val="both"/>
        <w:rPr>
          <w:rFonts w:ascii="Cambria" w:hAnsi="Cambria"/>
          <w:color w:val="000000"/>
        </w:rPr>
      </w:pPr>
      <w:r>
        <w:rPr>
          <w:rFonts w:ascii="Cambria" w:hAnsi="Cambria"/>
          <w:color w:val="000000"/>
        </w:rPr>
        <w:sym w:font="Wingdings" w:char="F0A8"/>
      </w:r>
      <w:r>
        <w:rPr>
          <w:rFonts w:ascii="Cambria" w:hAnsi="Cambria"/>
          <w:color w:val="000000"/>
        </w:rPr>
        <w:t xml:space="preserve"> ne </w:t>
      </w:r>
    </w:p>
    <w:p w:rsidR="00B202AA" w:rsidRDefault="00B202AA">
      <w:pPr>
        <w:jc w:val="both"/>
        <w:rPr>
          <w:rFonts w:ascii="Cambria" w:hAnsi="Cambria" w:cs="Arial"/>
          <w:color w:val="000000"/>
        </w:rPr>
      </w:pPr>
    </w:p>
    <w:p w:rsidR="00B202AA" w:rsidRDefault="00A54945">
      <w:pPr>
        <w:pBdr>
          <w:top w:val="single" w:sz="4" w:space="1" w:color="auto"/>
          <w:left w:val="single" w:sz="4" w:space="4" w:color="auto"/>
          <w:bottom w:val="single" w:sz="4" w:space="1" w:color="auto"/>
          <w:right w:val="single" w:sz="4" w:space="4" w:color="auto"/>
        </w:pBdr>
        <w:shd w:val="clear" w:color="auto" w:fill="D9D9D9"/>
        <w:rPr>
          <w:rFonts w:ascii="Cambria" w:hAnsi="Cambria" w:cs="Arial"/>
          <w:b/>
          <w:lang w:val="sr-Latn-ME"/>
        </w:rPr>
      </w:pPr>
      <w:r>
        <w:rPr>
          <w:rFonts w:ascii="Cambria" w:hAnsi="Cambria" w:cs="Arial"/>
          <w:b/>
          <w:lang w:val="sr-Latn-ME"/>
        </w:rPr>
        <w:t>PONUDA SA VARIJANTAMA</w:t>
      </w:r>
    </w:p>
    <w:p w:rsidR="00B202AA" w:rsidRDefault="00B202AA">
      <w:pPr>
        <w:jc w:val="both"/>
        <w:rPr>
          <w:rFonts w:ascii="Cambria" w:hAnsi="Cambria"/>
          <w:color w:val="000000"/>
        </w:rPr>
      </w:pPr>
    </w:p>
    <w:p w:rsidR="00B202AA" w:rsidRDefault="00A54945">
      <w:pPr>
        <w:jc w:val="both"/>
        <w:rPr>
          <w:rFonts w:ascii="Cambria" w:hAnsi="Cambria"/>
          <w:color w:val="000000"/>
        </w:rPr>
      </w:pPr>
      <w:r>
        <w:rPr>
          <w:rFonts w:ascii="Cambria" w:hAnsi="Cambria"/>
          <w:color w:val="000000"/>
        </w:rPr>
        <w:t>Mogućnost podnošenja ponude sa varijantama</w:t>
      </w:r>
    </w:p>
    <w:p w:rsidR="00B202AA" w:rsidRDefault="00B202AA">
      <w:pPr>
        <w:jc w:val="both"/>
        <w:rPr>
          <w:rFonts w:ascii="Cambria" w:hAnsi="Cambria"/>
          <w:color w:val="000000"/>
        </w:rPr>
      </w:pPr>
    </w:p>
    <w:p w:rsidR="00B202AA" w:rsidRDefault="00A54945">
      <w:pPr>
        <w:jc w:val="both"/>
        <w:rPr>
          <w:rFonts w:ascii="Cambria" w:hAnsi="Cambria"/>
          <w:color w:val="000000"/>
        </w:rPr>
      </w:pPr>
      <w:r>
        <w:rPr>
          <w:rFonts w:ascii="Cambria" w:hAnsi="Cambria"/>
          <w:color w:val="000000"/>
        </w:rPr>
        <w:sym w:font="Wingdings" w:char="F0A8"/>
      </w:r>
      <w:r>
        <w:rPr>
          <w:rFonts w:ascii="Cambria" w:hAnsi="Cambria"/>
          <w:color w:val="000000"/>
        </w:rPr>
        <w:t xml:space="preserve"> Varijante ponude nijesu dozvoljene i neće biti razmatrane.</w:t>
      </w:r>
    </w:p>
    <w:p w:rsidR="00B202AA" w:rsidRDefault="00B202AA">
      <w:pPr>
        <w:jc w:val="both"/>
        <w:rPr>
          <w:rFonts w:ascii="Cambria" w:hAnsi="Cambria" w:cs="Arial"/>
          <w:color w:val="000000"/>
          <w:lang w:val="sr-Latn-ME"/>
        </w:rPr>
      </w:pPr>
    </w:p>
    <w:p w:rsidR="00B202AA" w:rsidRDefault="00B202AA">
      <w:pPr>
        <w:jc w:val="both"/>
        <w:rPr>
          <w:rFonts w:ascii="Cambria" w:hAnsi="Cambria" w:cs="Arial"/>
          <w:lang w:val="sr-Latn-ME"/>
        </w:rPr>
      </w:pPr>
    </w:p>
    <w:p w:rsidR="00B202AA" w:rsidRDefault="00A54945">
      <w:pPr>
        <w:pBdr>
          <w:top w:val="single" w:sz="4" w:space="1" w:color="auto"/>
          <w:left w:val="single" w:sz="4" w:space="4" w:color="auto"/>
          <w:bottom w:val="single" w:sz="4" w:space="1" w:color="auto"/>
          <w:right w:val="single" w:sz="4" w:space="4" w:color="auto"/>
        </w:pBdr>
        <w:shd w:val="clear" w:color="auto" w:fill="D9D9D9"/>
        <w:jc w:val="both"/>
        <w:rPr>
          <w:rFonts w:ascii="Cambria" w:hAnsi="Cambria" w:cs="Arial"/>
          <w:b/>
          <w:bCs/>
          <w:color w:val="FF0000"/>
          <w:lang w:val="sr-Latn-ME"/>
        </w:rPr>
      </w:pPr>
      <w:r>
        <w:rPr>
          <w:rFonts w:ascii="Cambria" w:hAnsi="Cambria" w:cs="Arial"/>
          <w:b/>
          <w:lang w:val="sr-Latn-ME"/>
        </w:rPr>
        <w:t>REZERVISANA NABAVKA</w:t>
      </w:r>
    </w:p>
    <w:p w:rsidR="00B202AA" w:rsidRDefault="00B202AA">
      <w:pPr>
        <w:jc w:val="both"/>
        <w:rPr>
          <w:rFonts w:ascii="Cambria" w:hAnsi="Cambria" w:cs="Arial"/>
          <w:lang w:val="sr-Latn-ME"/>
        </w:rPr>
      </w:pPr>
    </w:p>
    <w:p w:rsidR="00B202AA" w:rsidRDefault="00A54945">
      <w:pPr>
        <w:jc w:val="both"/>
        <w:rPr>
          <w:rFonts w:ascii="Cambria" w:hAnsi="Cambria"/>
          <w:color w:val="000000"/>
        </w:rPr>
      </w:pPr>
      <w:r>
        <w:rPr>
          <w:rFonts w:ascii="Cambria" w:hAnsi="Cambria"/>
          <w:color w:val="000000"/>
        </w:rPr>
        <w:sym w:font="Wingdings" w:char="F0A8"/>
      </w:r>
      <w:r>
        <w:rPr>
          <w:rFonts w:ascii="Cambria" w:hAnsi="Cambria"/>
          <w:color w:val="000000"/>
        </w:rPr>
        <w:t xml:space="preserve"> Ne</w:t>
      </w:r>
    </w:p>
    <w:p w:rsidR="00B202AA" w:rsidRDefault="00B202AA">
      <w:pPr>
        <w:jc w:val="both"/>
        <w:rPr>
          <w:rFonts w:ascii="Cambria" w:hAnsi="Cambria"/>
          <w:color w:val="000000"/>
        </w:rPr>
      </w:pPr>
    </w:p>
    <w:p w:rsidR="00B202AA" w:rsidRDefault="00B202AA">
      <w:pPr>
        <w:jc w:val="both"/>
        <w:rPr>
          <w:rFonts w:ascii="Cambria" w:hAnsi="Cambria"/>
          <w:color w:val="000000"/>
        </w:rPr>
      </w:pPr>
    </w:p>
    <w:p w:rsidR="00B202AA" w:rsidRDefault="00A54945">
      <w:pPr>
        <w:pBdr>
          <w:top w:val="single" w:sz="4" w:space="1" w:color="auto"/>
          <w:left w:val="single" w:sz="4" w:space="4" w:color="auto"/>
          <w:bottom w:val="single" w:sz="4" w:space="1" w:color="auto"/>
          <w:right w:val="single" w:sz="4" w:space="4" w:color="auto"/>
        </w:pBdr>
        <w:shd w:val="clear" w:color="auto" w:fill="BFBFBF"/>
        <w:jc w:val="both"/>
        <w:rPr>
          <w:rFonts w:ascii="Cambria" w:hAnsi="Cambria"/>
          <w:b/>
        </w:rPr>
      </w:pPr>
      <w:r>
        <w:rPr>
          <w:rFonts w:ascii="Cambria" w:hAnsi="Cambria"/>
          <w:b/>
        </w:rPr>
        <w:t>Osnovi za obavezno isključenje iz postupka javne nabavke</w:t>
      </w:r>
    </w:p>
    <w:p w:rsidR="00B202AA" w:rsidRDefault="00B202AA">
      <w:pPr>
        <w:jc w:val="both"/>
        <w:rPr>
          <w:rFonts w:ascii="Cambria" w:hAnsi="Cambria"/>
        </w:rPr>
      </w:pPr>
    </w:p>
    <w:p w:rsidR="00B202AA" w:rsidRDefault="00A54945">
      <w:pPr>
        <w:jc w:val="both"/>
        <w:rPr>
          <w:rFonts w:ascii="Cambria" w:hAnsi="Cambria"/>
        </w:rPr>
      </w:pPr>
      <w:r>
        <w:rPr>
          <w:rFonts w:ascii="Cambria" w:hAnsi="Cambria"/>
        </w:rPr>
        <w:t xml:space="preserve">Privredni subjekat će se isključiti iz postupka javne nabavke, ako: </w:t>
      </w:r>
    </w:p>
    <w:p w:rsidR="00B202AA" w:rsidRDefault="00A54945">
      <w:pPr>
        <w:jc w:val="both"/>
        <w:rPr>
          <w:rFonts w:ascii="Cambria" w:hAnsi="Cambria"/>
        </w:rPr>
      </w:pPr>
      <w:r>
        <w:rPr>
          <w:rFonts w:ascii="Cambria" w:hAnsi="Cambria"/>
        </w:rPr>
        <w:t xml:space="preserve">1) </w:t>
      </w:r>
      <w:r>
        <w:rPr>
          <w:rFonts w:ascii="Cambria" w:eastAsiaTheme="minorHAnsi" w:hAnsi="Cambria" w:cs="TimesNewRoman"/>
        </w:rPr>
        <w:t xml:space="preserve">je vršio neprimjeren uticaj u smislu člana 38 stav 2 tačka 1 </w:t>
      </w:r>
      <w:r>
        <w:rPr>
          <w:rFonts w:ascii="Cambria" w:hAnsi="Cambria"/>
        </w:rPr>
        <w:t>Zakona o javnim nabavkama</w:t>
      </w:r>
      <w:r>
        <w:rPr>
          <w:rFonts w:ascii="Cambria" w:eastAsiaTheme="minorHAnsi" w:hAnsi="Cambria" w:cs="TimesNewRoman"/>
        </w:rPr>
        <w:t>;</w:t>
      </w:r>
    </w:p>
    <w:p w:rsidR="00B202AA" w:rsidRDefault="00A54945">
      <w:pPr>
        <w:jc w:val="both"/>
        <w:rPr>
          <w:rFonts w:ascii="Cambria" w:hAnsi="Cambria"/>
        </w:rPr>
      </w:pPr>
      <w:r>
        <w:rPr>
          <w:rFonts w:ascii="Cambria" w:hAnsi="Cambria"/>
        </w:rPr>
        <w:t xml:space="preserve">2) postoji sukob interesa iz člana 41 stav 1 tačka 2 ili člana 42 </w:t>
      </w:r>
      <w:r>
        <w:rPr>
          <w:rFonts w:ascii="Cambria" w:eastAsiaTheme="minorHAnsi" w:hAnsi="Cambria" w:cs="TimesNewRoman"/>
        </w:rPr>
        <w:t>ovog zakona</w:t>
      </w:r>
      <w:r>
        <w:rPr>
          <w:rFonts w:ascii="Cambria" w:hAnsi="Cambria"/>
        </w:rPr>
        <w:t>;</w:t>
      </w:r>
    </w:p>
    <w:p w:rsidR="00B202AA" w:rsidRDefault="00A54945">
      <w:pPr>
        <w:jc w:val="both"/>
        <w:rPr>
          <w:rFonts w:ascii="Cambria" w:hAnsi="Cambria"/>
        </w:rPr>
      </w:pPr>
      <w:r>
        <w:rPr>
          <w:rFonts w:ascii="Cambria" w:hAnsi="Cambria"/>
        </w:rPr>
        <w:t xml:space="preserve">3) ne ispunjava </w:t>
      </w:r>
      <w:r>
        <w:rPr>
          <w:rFonts w:ascii="Cambria" w:hAnsi="Cambria"/>
          <w:iCs/>
        </w:rPr>
        <w:t>obavezne uslove</w:t>
      </w:r>
      <w:r>
        <w:rPr>
          <w:rFonts w:ascii="Cambria" w:hAnsi="Cambria"/>
        </w:rPr>
        <w:t xml:space="preserve"> i </w:t>
      </w:r>
      <w:r>
        <w:rPr>
          <w:rFonts w:ascii="Cambria" w:hAnsi="Cambria"/>
          <w:iCs/>
        </w:rPr>
        <w:t>uslove sposobnosti privrednog subjekta</w:t>
      </w:r>
      <w:r>
        <w:rPr>
          <w:rFonts w:ascii="Cambria" w:hAnsi="Cambria"/>
        </w:rPr>
        <w:t xml:space="preserve"> predviđene tenderskom dokumentacijom;</w:t>
      </w:r>
    </w:p>
    <w:p w:rsidR="00B202AA" w:rsidRDefault="00A54945">
      <w:pPr>
        <w:autoSpaceDE w:val="0"/>
        <w:autoSpaceDN w:val="0"/>
        <w:adjustRightInd w:val="0"/>
        <w:jc w:val="both"/>
        <w:rPr>
          <w:rFonts w:ascii="Cambria" w:eastAsiaTheme="minorHAnsi" w:hAnsi="Cambria" w:cs="TimesNewRoman"/>
        </w:rPr>
      </w:pPr>
      <w:r>
        <w:rPr>
          <w:rFonts w:ascii="Cambria" w:hAnsi="Cambria"/>
        </w:rPr>
        <w:t xml:space="preserve">4) </w:t>
      </w:r>
      <w:r>
        <w:rPr>
          <w:rFonts w:ascii="Cambria" w:eastAsiaTheme="minorHAnsi" w:hAnsi="Cambria" w:cs="TimesNewRoman"/>
        </w:rPr>
        <w:t>nije dostavio izjavu privrednog subjekta ili dostavljena izjava ne sadrži informacije i podatke tražene tenderskom dokumentacijom ili je nepravilno sačinjena;</w:t>
      </w:r>
    </w:p>
    <w:p w:rsidR="00B202AA" w:rsidRDefault="00A54945">
      <w:pPr>
        <w:autoSpaceDE w:val="0"/>
        <w:autoSpaceDN w:val="0"/>
        <w:adjustRightInd w:val="0"/>
        <w:rPr>
          <w:rFonts w:ascii="Cambria" w:eastAsiaTheme="minorHAnsi" w:hAnsi="Cambria" w:cs="TimesNewRoman"/>
        </w:rPr>
      </w:pPr>
      <w:r>
        <w:rPr>
          <w:rFonts w:ascii="Cambria" w:eastAsiaTheme="minorHAnsi" w:hAnsi="Cambria" w:cs="TimesNewRoman"/>
        </w:rPr>
        <w:lastRenderedPageBreak/>
        <w:t>5) postoji razlog na osnovu kojeg se smatra da je odustao od prijave, odnosno ponude, a koji je propisan članom 120 stav 15 ovog zakona;</w:t>
      </w:r>
    </w:p>
    <w:p w:rsidR="00B202AA" w:rsidRDefault="00A54945">
      <w:pPr>
        <w:autoSpaceDE w:val="0"/>
        <w:autoSpaceDN w:val="0"/>
        <w:adjustRightInd w:val="0"/>
        <w:jc w:val="both"/>
        <w:rPr>
          <w:rFonts w:ascii="Cambria" w:eastAsiaTheme="minorHAnsi" w:hAnsi="Cambria" w:cs="TimesNewRoman"/>
        </w:rPr>
      </w:pPr>
      <w:r>
        <w:rPr>
          <w:rFonts w:ascii="Cambria" w:eastAsiaTheme="minorHAnsi" w:hAnsi="Cambria" w:cs="TimesNewRoman"/>
        </w:rPr>
        <w:t>6) nije dostavio garanciju ponude ili nije dostavio garanciju ponude na način predviđen tenderskom dokumentacijom u skladu sa članom 122 st. 2, 3 ili 4 ovog zakona ili je dostavio garanciju ponude na manji iznos od traženog ili je ta garancija neispravna; i/ili</w:t>
      </w:r>
    </w:p>
    <w:p w:rsidR="00B202AA" w:rsidRDefault="00A54945">
      <w:pPr>
        <w:jc w:val="both"/>
        <w:rPr>
          <w:rFonts w:ascii="Cambria" w:hAnsi="Cambria" w:cs="Arial"/>
        </w:rPr>
      </w:pPr>
      <w:r>
        <w:rPr>
          <w:rFonts w:ascii="Cambria" w:hAnsi="Cambria"/>
        </w:rPr>
        <w:t>7) postoji drugi razlog propisan ovim zakonom</w:t>
      </w:r>
      <w:r>
        <w:rPr>
          <w:rFonts w:ascii="Cambria" w:hAnsi="Cambria" w:cs="Arial"/>
        </w:rPr>
        <w:t>.</w:t>
      </w:r>
    </w:p>
    <w:p w:rsidR="00B202AA" w:rsidRDefault="00B202AA">
      <w:pPr>
        <w:jc w:val="both"/>
        <w:rPr>
          <w:rFonts w:ascii="Cambria" w:hAnsi="Cambria" w:cs="Arial"/>
          <w:color w:val="000000"/>
          <w:lang w:val="sr-Latn-ME"/>
        </w:rPr>
      </w:pPr>
    </w:p>
    <w:p w:rsidR="00B202AA" w:rsidRDefault="00B202AA">
      <w:pPr>
        <w:jc w:val="both"/>
        <w:rPr>
          <w:rFonts w:ascii="Cambria" w:hAnsi="Cambria" w:cs="Arial"/>
          <w:color w:val="000000"/>
        </w:rPr>
      </w:pPr>
    </w:p>
    <w:p w:rsidR="00B202AA" w:rsidRDefault="00A54945">
      <w:pPr>
        <w:pBdr>
          <w:top w:val="single" w:sz="4" w:space="1" w:color="auto"/>
          <w:left w:val="single" w:sz="4" w:space="4" w:color="auto"/>
          <w:bottom w:val="single" w:sz="4" w:space="1" w:color="auto"/>
          <w:right w:val="single" w:sz="4" w:space="4" w:color="auto"/>
        </w:pBdr>
        <w:shd w:val="clear" w:color="auto" w:fill="D9D9D9"/>
        <w:jc w:val="both"/>
        <w:rPr>
          <w:rFonts w:ascii="Cambria" w:hAnsi="Cambria" w:cs="Arial"/>
          <w:b/>
          <w:bCs/>
          <w:color w:val="000000"/>
        </w:rPr>
      </w:pPr>
      <w:r>
        <w:rPr>
          <w:rFonts w:ascii="Cambria" w:hAnsi="Cambria" w:cs="Arial"/>
          <w:b/>
          <w:bCs/>
          <w:color w:val="000000"/>
        </w:rPr>
        <w:t>SREDSTVA FINANSIJSKOG OBEZBJEĐENJA UGOVORA O JAVNOJ NABAVCI</w:t>
      </w:r>
    </w:p>
    <w:p w:rsidR="00B202AA" w:rsidRDefault="00B202AA">
      <w:pPr>
        <w:jc w:val="both"/>
        <w:rPr>
          <w:rFonts w:ascii="Cambria" w:hAnsi="Cambria" w:cs="Arial"/>
          <w:color w:val="000000"/>
        </w:rPr>
      </w:pPr>
    </w:p>
    <w:p w:rsidR="00B202AA" w:rsidRDefault="00B202AA">
      <w:pPr>
        <w:jc w:val="both"/>
        <w:rPr>
          <w:rFonts w:ascii="Cambria" w:hAnsi="Cambria"/>
          <w:color w:val="000000"/>
        </w:rPr>
      </w:pPr>
    </w:p>
    <w:p w:rsidR="00B202AA" w:rsidRDefault="00A54945">
      <w:pPr>
        <w:rPr>
          <w:rFonts w:ascii="Cambria" w:hAnsi="Cambria"/>
          <w:color w:val="000000"/>
        </w:rPr>
      </w:pPr>
      <w:r>
        <w:rPr>
          <w:rFonts w:ascii="Cambria" w:hAnsi="Cambria"/>
          <w:color w:val="000000"/>
        </w:rPr>
        <w:t>Ponuđač čija ponuda bude izabrana kao najpovoljnija je dužan da uz potpisan ugovor o javnoj nabavci dostavi naručiocu:</w:t>
      </w:r>
    </w:p>
    <w:p w:rsidR="00B202AA" w:rsidRDefault="00B202AA">
      <w:pPr>
        <w:rPr>
          <w:rFonts w:ascii="Cambria" w:hAnsi="Cambria"/>
          <w:color w:val="000000"/>
        </w:rPr>
      </w:pPr>
    </w:p>
    <w:p w:rsidR="00B202AA" w:rsidRDefault="00A54945">
      <w:pPr>
        <w:jc w:val="both"/>
        <w:rPr>
          <w:rFonts w:ascii="Cambria" w:hAnsi="Cambria"/>
          <w:color w:val="000000"/>
        </w:rPr>
      </w:pPr>
      <w:r>
        <w:rPr>
          <w:rFonts w:ascii="Cambria" w:eastAsiaTheme="minorHAnsi" w:hAnsi="Cambria"/>
          <w:color w:val="000000"/>
          <w:lang w:val="en-GB"/>
        </w:rPr>
        <w:sym w:font="Wingdings" w:char="F078"/>
      </w:r>
      <w:r>
        <w:rPr>
          <w:rFonts w:ascii="Cambria" w:hAnsi="Cambria"/>
          <w:color w:val="000000"/>
        </w:rPr>
        <w:t xml:space="preserve">garanciju, neopozivu i bezuslovno plativu na prvi poziv za dobro izvršenje ugovora, za slučaj povrede ugovorenih obaveza u iznosu od 10 % od vrijednosti ugovora. Garancija za dobro izvršenje ugovora treba da važi sedam dana duže od ponuđenog roka izvršenja ugovora. </w:t>
      </w:r>
    </w:p>
    <w:p w:rsidR="00B202AA" w:rsidRDefault="00A54945">
      <w:pPr>
        <w:jc w:val="both"/>
        <w:rPr>
          <w:rFonts w:ascii="Cambria" w:hAnsi="Cambria"/>
          <w:color w:val="000000"/>
        </w:rPr>
      </w:pPr>
      <w:r>
        <w:rPr>
          <w:rFonts w:ascii="Cambria" w:hAnsi="Cambria"/>
          <w:color w:val="000000"/>
        </w:rPr>
        <w:t>U slučaju prekoračenja roka iz prethodnog stava, izvršilac je dužan da, na zahtjev naručioca, prije isteka roka važenja, produži garanciju za dobro izvršenje ugovora.</w:t>
      </w:r>
    </w:p>
    <w:p w:rsidR="00B202AA" w:rsidRDefault="00A54945">
      <w:pPr>
        <w:keepNext/>
        <w:keepLines/>
        <w:pBdr>
          <w:top w:val="single" w:sz="4" w:space="1" w:color="auto"/>
          <w:left w:val="single" w:sz="4" w:space="4" w:color="auto"/>
          <w:bottom w:val="single" w:sz="4" w:space="1" w:color="auto"/>
          <w:right w:val="single" w:sz="4" w:space="4" w:color="auto"/>
        </w:pBdr>
        <w:shd w:val="clear" w:color="auto" w:fill="D9D9D9"/>
        <w:spacing w:before="240"/>
        <w:outlineLvl w:val="0"/>
        <w:rPr>
          <w:rFonts w:ascii="Cambria" w:hAnsi="Cambria"/>
          <w:b/>
          <w:color w:val="000000"/>
          <w:szCs w:val="32"/>
          <w:lang w:val="sr-Latn-ME"/>
        </w:rPr>
      </w:pPr>
      <w:r>
        <w:rPr>
          <w:rFonts w:ascii="Cambria" w:hAnsi="Cambria"/>
          <w:b/>
          <w:szCs w:val="32"/>
          <w:lang w:val="sr-Latn-ME"/>
        </w:rPr>
        <w:t>METODOLOGIJA VREDNOVANJA PONUDA</w:t>
      </w:r>
    </w:p>
    <w:p w:rsidR="00B202AA" w:rsidRDefault="00B202AA">
      <w:pPr>
        <w:jc w:val="both"/>
        <w:rPr>
          <w:rFonts w:ascii="Cambria" w:hAnsi="Cambria" w:cs="Arial"/>
          <w:color w:val="000000"/>
        </w:rPr>
      </w:pPr>
    </w:p>
    <w:p w:rsidR="00B202AA" w:rsidRDefault="00B202AA">
      <w:pPr>
        <w:rPr>
          <w:rFonts w:ascii="Cambria" w:hAnsi="Cambria"/>
          <w:b/>
        </w:rPr>
      </w:pPr>
    </w:p>
    <w:p w:rsidR="00B202AA" w:rsidRDefault="00A54945">
      <w:pPr>
        <w:jc w:val="both"/>
      </w:pPr>
      <w:r>
        <w:t xml:space="preserve">Naručilac će u postupku javne nabavki izabrati ekonomski najpovoljniju ponudu, po osnovu kriterijuma: </w:t>
      </w:r>
    </w:p>
    <w:p w:rsidR="00B202AA" w:rsidRDefault="00B202AA">
      <w:pPr>
        <w:jc w:val="both"/>
      </w:pPr>
    </w:p>
    <w:p w:rsidR="00B202AA" w:rsidRDefault="00A54945">
      <w:pPr>
        <w:numPr>
          <w:ilvl w:val="0"/>
          <w:numId w:val="6"/>
        </w:numPr>
        <w:rPr>
          <w:b/>
        </w:rPr>
      </w:pPr>
      <w:r>
        <w:rPr>
          <w:b/>
        </w:rPr>
        <w:t>Odnos cijene i kvaliteta</w:t>
      </w:r>
    </w:p>
    <w:p w:rsidR="00B202AA" w:rsidRDefault="00A54945">
      <w:pPr>
        <w:numPr>
          <w:ilvl w:val="0"/>
          <w:numId w:val="7"/>
        </w:numPr>
        <w:rPr>
          <w:b/>
        </w:rPr>
      </w:pPr>
      <w:r>
        <w:rPr>
          <w:b/>
        </w:rPr>
        <w:t>Parametar cijena ………………………………</w:t>
      </w:r>
      <w:r>
        <w:rPr>
          <w:b/>
          <w:lang w:val="sr-Latn-ME"/>
        </w:rPr>
        <w:t>7</w:t>
      </w:r>
      <w:r>
        <w:rPr>
          <w:b/>
        </w:rPr>
        <w:t>0 bodova</w:t>
      </w:r>
    </w:p>
    <w:p w:rsidR="00B202AA" w:rsidRDefault="00A54945">
      <w:pPr>
        <w:numPr>
          <w:ilvl w:val="0"/>
          <w:numId w:val="7"/>
        </w:numPr>
        <w:rPr>
          <w:b/>
        </w:rPr>
      </w:pPr>
      <w:r>
        <w:rPr>
          <w:b/>
        </w:rPr>
        <w:t>Parametar kvalitet – reference…………….</w:t>
      </w:r>
      <w:r>
        <w:rPr>
          <w:b/>
          <w:lang w:val="sr-Latn-ME"/>
        </w:rPr>
        <w:t>3</w:t>
      </w:r>
      <w:r>
        <w:rPr>
          <w:b/>
        </w:rPr>
        <w:t>0 bodova</w:t>
      </w:r>
    </w:p>
    <w:p w:rsidR="00B202AA" w:rsidRDefault="00B202AA">
      <w:pPr>
        <w:ind w:left="720"/>
        <w:rPr>
          <w:b/>
        </w:rPr>
      </w:pPr>
    </w:p>
    <w:p w:rsidR="00B202AA" w:rsidRDefault="00B202AA"/>
    <w:p w:rsidR="00B202AA" w:rsidRDefault="00B202AA">
      <w:pPr>
        <w:pBdr>
          <w:top w:val="single" w:sz="4" w:space="1" w:color="auto"/>
          <w:left w:val="single" w:sz="4" w:space="4" w:color="auto"/>
          <w:bottom w:val="single" w:sz="4" w:space="1" w:color="auto"/>
          <w:right w:val="single" w:sz="4" w:space="4" w:color="auto"/>
        </w:pBdr>
        <w:jc w:val="both"/>
        <w:rPr>
          <w:i/>
          <w:color w:val="000000"/>
        </w:rPr>
      </w:pPr>
    </w:p>
    <w:p w:rsidR="00B202AA" w:rsidRDefault="00A54945">
      <w:pPr>
        <w:pBdr>
          <w:top w:val="single" w:sz="4" w:space="1" w:color="auto"/>
          <w:left w:val="single" w:sz="4" w:space="4" w:color="auto"/>
          <w:bottom w:val="single" w:sz="4" w:space="1" w:color="auto"/>
          <w:right w:val="single" w:sz="4" w:space="4" w:color="auto"/>
        </w:pBdr>
        <w:jc w:val="both"/>
        <w:rPr>
          <w:i/>
          <w:color w:val="000000"/>
        </w:rPr>
      </w:pPr>
      <w:r>
        <w:rPr>
          <w:i/>
          <w:color w:val="000000"/>
        </w:rPr>
        <w:t>Broj bodova po osnovu vrednovanja cijene:</w:t>
      </w:r>
    </w:p>
    <w:p w:rsidR="00B202AA" w:rsidRDefault="00A54945">
      <w:pPr>
        <w:pBdr>
          <w:top w:val="single" w:sz="4" w:space="1" w:color="auto"/>
          <w:left w:val="single" w:sz="4" w:space="4" w:color="auto"/>
          <w:bottom w:val="single" w:sz="4" w:space="1" w:color="auto"/>
          <w:right w:val="single" w:sz="4" w:space="4" w:color="auto"/>
        </w:pBdr>
        <w:jc w:val="both"/>
        <w:rPr>
          <w:i/>
          <w:color w:val="000000"/>
        </w:rPr>
      </w:pPr>
      <w:r>
        <w:rPr>
          <w:i/>
          <w:color w:val="000000"/>
        </w:rPr>
        <w:t xml:space="preserve">Najniža ponuđena cijena = </w:t>
      </w:r>
      <w:r>
        <w:rPr>
          <w:i/>
          <w:color w:val="000000"/>
          <w:lang w:val="sr-Latn-ME"/>
        </w:rPr>
        <w:t>7</w:t>
      </w:r>
      <w:r>
        <w:rPr>
          <w:i/>
          <w:color w:val="000000"/>
        </w:rPr>
        <w:t>0 bodova</w:t>
      </w:r>
    </w:p>
    <w:p w:rsidR="00B202AA" w:rsidRDefault="00A54945">
      <w:pPr>
        <w:pBdr>
          <w:top w:val="single" w:sz="4" w:space="1" w:color="auto"/>
          <w:left w:val="single" w:sz="4" w:space="4" w:color="auto"/>
          <w:bottom w:val="single" w:sz="4" w:space="1" w:color="auto"/>
          <w:right w:val="single" w:sz="4" w:space="4" w:color="auto"/>
        </w:pBdr>
        <w:jc w:val="both"/>
        <w:rPr>
          <w:i/>
          <w:color w:val="000000"/>
        </w:rPr>
      </w:pPr>
      <w:r>
        <w:rPr>
          <w:i/>
          <w:color w:val="000000"/>
        </w:rPr>
        <w:t xml:space="preserve">Broj bodova za ponuđenu cijenu konkretnog ponuđača = najniža ponuđena cijena / ponuđena cijena konkretnog ponuđača x </w:t>
      </w:r>
      <w:r>
        <w:rPr>
          <w:i/>
          <w:color w:val="000000"/>
          <w:lang w:val="sr-Latn-ME"/>
        </w:rPr>
        <w:t>7</w:t>
      </w:r>
      <w:r>
        <w:rPr>
          <w:i/>
          <w:color w:val="000000"/>
        </w:rPr>
        <w:t>0</w:t>
      </w:r>
    </w:p>
    <w:p w:rsidR="00B202AA" w:rsidRDefault="00A54945">
      <w:pPr>
        <w:pBdr>
          <w:top w:val="single" w:sz="4" w:space="1" w:color="auto"/>
          <w:left w:val="single" w:sz="4" w:space="4" w:color="auto"/>
          <w:bottom w:val="single" w:sz="4" w:space="1" w:color="auto"/>
          <w:right w:val="single" w:sz="4" w:space="4" w:color="auto"/>
        </w:pBdr>
        <w:jc w:val="both"/>
        <w:rPr>
          <w:i/>
          <w:color w:val="000000"/>
        </w:rPr>
      </w:pPr>
      <w:r>
        <w:rPr>
          <w:i/>
          <w:color w:val="000000"/>
        </w:rPr>
        <w:t xml:space="preserve">Broj bodova po osnovu vrednovanja roka kao mjerila kvaliteta: </w:t>
      </w:r>
    </w:p>
    <w:p w:rsidR="00B202AA" w:rsidRDefault="00B202AA">
      <w:pPr>
        <w:pBdr>
          <w:top w:val="single" w:sz="4" w:space="1" w:color="auto"/>
          <w:left w:val="single" w:sz="4" w:space="4" w:color="auto"/>
          <w:bottom w:val="single" w:sz="4" w:space="1" w:color="auto"/>
          <w:right w:val="single" w:sz="4" w:space="4" w:color="auto"/>
        </w:pBdr>
        <w:jc w:val="both"/>
        <w:rPr>
          <w:i/>
          <w:color w:val="000000"/>
        </w:rPr>
      </w:pPr>
    </w:p>
    <w:p w:rsidR="00B202AA" w:rsidRDefault="00A54945">
      <w:pPr>
        <w:pBdr>
          <w:top w:val="single" w:sz="4" w:space="1" w:color="auto"/>
          <w:left w:val="single" w:sz="4" w:space="4" w:color="auto"/>
          <w:bottom w:val="single" w:sz="4" w:space="1" w:color="auto"/>
          <w:right w:val="single" w:sz="4" w:space="4" w:color="auto"/>
        </w:pBdr>
        <w:jc w:val="both"/>
        <w:rPr>
          <w:i/>
          <w:color w:val="000000"/>
        </w:rPr>
      </w:pPr>
      <w:r>
        <w:rPr>
          <w:i/>
          <w:color w:val="000000"/>
        </w:rPr>
        <w:t xml:space="preserve">Parametar kvaliteta: Bodovanje će se vrši na osnovu broja uspješno realizovanih projekata implementacije i konfiguracije ili unapređenja komercijalnih (COTS) softverskih rješenja za nadzor (SupTech) </w:t>
      </w:r>
      <w:proofErr w:type="gramStart"/>
      <w:r>
        <w:rPr>
          <w:i/>
          <w:color w:val="000000"/>
        </w:rPr>
        <w:t>a</w:t>
      </w:r>
      <w:proofErr w:type="gramEnd"/>
      <w:r>
        <w:rPr>
          <w:i/>
          <w:color w:val="000000"/>
        </w:rPr>
        <w:t xml:space="preserve"> obuhvataju implementaciju modula za izvještavanje prema EBA okvirima izvještavanja (npr. DORA, COREP/FINREP) preko EUCLID pristupnika od regulatora odgovornog za nadzor takvih informacija sa bankarskim ili nebankarskim regulatorom, ili ESMA okvirima izvještavanja (npr. ESEF, AIFMD, MiFIR) ili EIOPA IORP okvirima regulatora penzijskih fondova. Referentni projekti moraju biti za finansijske regulatorne organe (regulatori tržišta kapitala ilicentralne banke ili agencije za nadzor osiguranja ili berze) u posljednjih 5 godina, a koji su iznad minimuma traženog u uslovima za učešće. </w:t>
      </w:r>
      <w:r>
        <w:rPr>
          <w:i/>
          <w:color w:val="000000"/>
        </w:rPr>
        <w:lastRenderedPageBreak/>
        <w:t>Ponuđač sa najvećim brojem relevantnih referenci dobija 30 bodova. Ostali ponuđači dobijaju bodove po formuli: Broj bodova = (broj referenci ponuđača / najveći broj referenci) x 30.</w:t>
      </w:r>
    </w:p>
    <w:p w:rsidR="00B202AA" w:rsidRDefault="00B202AA">
      <w:pPr>
        <w:pBdr>
          <w:top w:val="single" w:sz="4" w:space="1" w:color="auto"/>
          <w:left w:val="single" w:sz="4" w:space="4" w:color="auto"/>
          <w:bottom w:val="single" w:sz="4" w:space="1" w:color="auto"/>
          <w:right w:val="single" w:sz="4" w:space="4" w:color="auto"/>
        </w:pBdr>
        <w:jc w:val="both"/>
        <w:rPr>
          <w:rFonts w:ascii="sans-serif" w:eastAsia="sans-serif" w:hAnsi="sans-serif" w:cs="sans-serif"/>
          <w:color w:val="666666"/>
          <w:sz w:val="14"/>
          <w:szCs w:val="14"/>
          <w:shd w:val="clear" w:color="auto" w:fill="E8E8E8"/>
        </w:rPr>
      </w:pPr>
    </w:p>
    <w:p w:rsidR="00B202AA" w:rsidRDefault="00A54945">
      <w:pPr>
        <w:pBdr>
          <w:top w:val="single" w:sz="4" w:space="1" w:color="auto"/>
          <w:left w:val="single" w:sz="4" w:space="4" w:color="auto"/>
          <w:bottom w:val="single" w:sz="4" w:space="1" w:color="auto"/>
          <w:right w:val="single" w:sz="4" w:space="4" w:color="auto"/>
        </w:pBdr>
        <w:jc w:val="both"/>
        <w:rPr>
          <w:b/>
          <w:i/>
          <w:color w:val="000000"/>
        </w:rPr>
      </w:pPr>
      <w:r>
        <w:rPr>
          <w:b/>
          <w:i/>
          <w:color w:val="000000"/>
        </w:rPr>
        <w:t>Odnos cijene i kvaliteta = Cijena + Kvalitet</w:t>
      </w:r>
    </w:p>
    <w:p w:rsidR="00B202AA" w:rsidRDefault="00B202AA">
      <w:pPr>
        <w:rPr>
          <w:rFonts w:ascii="Cambria" w:hAnsi="Cambria"/>
          <w:color w:val="000000" w:themeColor="text1"/>
        </w:rPr>
      </w:pPr>
    </w:p>
    <w:p w:rsidR="00B202AA" w:rsidRDefault="00B202AA">
      <w:pPr>
        <w:jc w:val="both"/>
        <w:rPr>
          <w:rFonts w:ascii="Cambria" w:hAnsi="Cambria" w:cs="Arial"/>
          <w:color w:val="000000"/>
        </w:rPr>
      </w:pPr>
    </w:p>
    <w:p w:rsidR="00B202AA" w:rsidRDefault="00B202AA">
      <w:pPr>
        <w:jc w:val="both"/>
        <w:rPr>
          <w:rFonts w:ascii="Cambria" w:hAnsi="Cambria" w:cs="Arial"/>
          <w:color w:val="000000"/>
        </w:rPr>
      </w:pPr>
    </w:p>
    <w:p w:rsidR="00B202AA" w:rsidRDefault="00B202AA">
      <w:pPr>
        <w:jc w:val="both"/>
        <w:rPr>
          <w:rFonts w:ascii="Cambria" w:hAnsi="Cambria" w:cs="Arial"/>
          <w:color w:val="000000"/>
        </w:rPr>
      </w:pPr>
    </w:p>
    <w:p w:rsidR="00B202AA" w:rsidRDefault="00A54945">
      <w:pPr>
        <w:pBdr>
          <w:top w:val="single" w:sz="4" w:space="1" w:color="auto"/>
          <w:left w:val="single" w:sz="4" w:space="4" w:color="auto"/>
          <w:bottom w:val="single" w:sz="4" w:space="1" w:color="auto"/>
          <w:right w:val="single" w:sz="4" w:space="4" w:color="auto"/>
        </w:pBdr>
        <w:shd w:val="clear" w:color="auto" w:fill="D9D9D9"/>
        <w:rPr>
          <w:rFonts w:ascii="Cambria" w:hAnsi="Cambria" w:cs="Arial"/>
          <w:b/>
        </w:rPr>
      </w:pPr>
      <w:r>
        <w:rPr>
          <w:rFonts w:ascii="Cambria" w:hAnsi="Cambria" w:cs="Arial"/>
          <w:b/>
        </w:rPr>
        <w:t>JEZIK PONUDE</w:t>
      </w:r>
    </w:p>
    <w:p w:rsidR="00B202AA" w:rsidRDefault="00B202AA">
      <w:pPr>
        <w:jc w:val="both"/>
        <w:rPr>
          <w:rFonts w:ascii="Cambria" w:hAnsi="Cambria" w:cs="Arial"/>
          <w:b/>
          <w:bCs/>
          <w:color w:val="000000"/>
        </w:rPr>
      </w:pPr>
    </w:p>
    <w:p w:rsidR="00B202AA" w:rsidRDefault="00A54945">
      <w:pPr>
        <w:jc w:val="both"/>
        <w:rPr>
          <w:rFonts w:ascii="Cambria" w:hAnsi="Cambria"/>
          <w:color w:val="000000"/>
        </w:rPr>
      </w:pPr>
      <w:r>
        <w:rPr>
          <w:rFonts w:ascii="Cambria" w:hAnsi="Cambria"/>
          <w:color w:val="000000"/>
        </w:rPr>
        <w:t>Ponuda se sačinjava na:</w:t>
      </w:r>
    </w:p>
    <w:p w:rsidR="00B202AA" w:rsidRDefault="00B202AA">
      <w:pPr>
        <w:jc w:val="both"/>
        <w:rPr>
          <w:rFonts w:ascii="Cambria" w:hAnsi="Cambria"/>
          <w:color w:val="000000"/>
        </w:rPr>
      </w:pPr>
    </w:p>
    <w:p w:rsidR="00B202AA" w:rsidRDefault="00A54945">
      <w:pPr>
        <w:jc w:val="both"/>
        <w:rPr>
          <w:rFonts w:ascii="Cambria" w:hAnsi="Cambria"/>
          <w:color w:val="000000"/>
        </w:rPr>
      </w:pPr>
      <w:r>
        <w:rPr>
          <w:rFonts w:ascii="Cambria" w:hAnsi="Cambria"/>
          <w:color w:val="000000"/>
        </w:rPr>
        <w:t>• crnogorski jezik i drugi jezik koji je u službenoj upotrebi u Crnoj Gori, u skladu sa Ustavom i zakonom</w:t>
      </w:r>
    </w:p>
    <w:p w:rsidR="00B202AA" w:rsidRDefault="00B202AA">
      <w:pPr>
        <w:jc w:val="both"/>
        <w:rPr>
          <w:rFonts w:ascii="Cambria" w:hAnsi="Cambria"/>
          <w:color w:val="000000"/>
        </w:rPr>
      </w:pPr>
    </w:p>
    <w:p w:rsidR="00B202AA" w:rsidRDefault="00B202AA">
      <w:pPr>
        <w:jc w:val="both"/>
        <w:rPr>
          <w:rFonts w:ascii="Cambria" w:hAnsi="Cambria" w:cs="Arial"/>
          <w:b/>
          <w:bCs/>
          <w:color w:val="000000"/>
        </w:rPr>
      </w:pPr>
    </w:p>
    <w:p w:rsidR="00B202AA" w:rsidRDefault="00A54945">
      <w:pPr>
        <w:keepNext/>
        <w:keepLines/>
        <w:pBdr>
          <w:top w:val="single" w:sz="4" w:space="1" w:color="auto"/>
          <w:left w:val="single" w:sz="4" w:space="4" w:color="auto"/>
          <w:bottom w:val="single" w:sz="4" w:space="1" w:color="auto"/>
          <w:right w:val="single" w:sz="4" w:space="4" w:color="auto"/>
        </w:pBdr>
        <w:shd w:val="clear" w:color="auto" w:fill="D9D9D9"/>
        <w:spacing w:before="240"/>
        <w:outlineLvl w:val="0"/>
        <w:rPr>
          <w:rFonts w:ascii="Cambria" w:hAnsi="Cambria"/>
          <w:b/>
          <w:szCs w:val="32"/>
          <w:lang w:val="sr-Latn-ME"/>
        </w:rPr>
      </w:pPr>
      <w:r>
        <w:rPr>
          <w:rFonts w:ascii="Cambria" w:hAnsi="Cambria"/>
          <w:b/>
          <w:szCs w:val="32"/>
          <w:lang w:val="sr-Latn-ME"/>
        </w:rPr>
        <w:t>NAČIN, MJESTO I VRIJEME PODNOŠENJA PONUDA I OTVARANJA PONUDA</w:t>
      </w:r>
    </w:p>
    <w:p w:rsidR="00B202AA" w:rsidRDefault="00B202AA">
      <w:pPr>
        <w:jc w:val="both"/>
        <w:rPr>
          <w:rFonts w:ascii="Cambria" w:hAnsi="Cambria" w:cs="Arial"/>
          <w:color w:val="000000"/>
          <w:lang w:val="sr-Latn-ME"/>
        </w:rPr>
      </w:pPr>
    </w:p>
    <w:p w:rsidR="00B202AA" w:rsidRDefault="00A54945">
      <w:pPr>
        <w:jc w:val="both"/>
        <w:rPr>
          <w:color w:val="FF0000"/>
          <w:lang w:val="sr-Latn-ME"/>
        </w:rPr>
      </w:pPr>
      <w:r>
        <w:rPr>
          <w:color w:val="000000"/>
          <w:lang w:val="sr-Latn-ME"/>
        </w:rPr>
        <w:t xml:space="preserve">Ponude se podnose preko ESJN-a zaključno sa </w:t>
      </w:r>
      <w:r>
        <w:rPr>
          <w:lang w:val="sr-Latn-ME"/>
        </w:rPr>
        <w:t>danom  2</w:t>
      </w:r>
      <w:r w:rsidR="00D839BF">
        <w:rPr>
          <w:lang w:val="sr-Latn-ME"/>
        </w:rPr>
        <w:t>5</w:t>
      </w:r>
      <w:r>
        <w:rPr>
          <w:lang w:val="sr-Latn-ME"/>
        </w:rPr>
        <w:t>.06.2026. godine do 13 sati.</w:t>
      </w:r>
    </w:p>
    <w:p w:rsidR="00B202AA" w:rsidRDefault="00B202AA">
      <w:pPr>
        <w:jc w:val="both"/>
        <w:rPr>
          <w:color w:val="FF0000"/>
          <w:lang w:val="sr-Latn-ME"/>
        </w:rPr>
      </w:pPr>
    </w:p>
    <w:p w:rsidR="00B202AA" w:rsidRDefault="00A54945">
      <w:pPr>
        <w:jc w:val="both"/>
        <w:rPr>
          <w:color w:val="000000"/>
          <w:lang w:val="sr-Latn-ME"/>
        </w:rPr>
      </w:pPr>
      <w:r>
        <w:rPr>
          <w:color w:val="000000"/>
          <w:lang w:val="sr-Latn-ME"/>
        </w:rPr>
        <w:t>Izjva privrednog subjekta i garancija banke podnose se u elektronskom obliku putem ESJN .</w:t>
      </w:r>
    </w:p>
    <w:p w:rsidR="00B202AA" w:rsidRDefault="00B202AA">
      <w:pPr>
        <w:jc w:val="both"/>
        <w:rPr>
          <w:color w:val="000000"/>
          <w:lang w:val="sr-Latn-ME"/>
        </w:rPr>
      </w:pPr>
    </w:p>
    <w:p w:rsidR="00B202AA" w:rsidRDefault="00A54945">
      <w:pPr>
        <w:jc w:val="both"/>
        <w:rPr>
          <w:color w:val="000000"/>
          <w:lang w:val="sr-Latn-ME"/>
        </w:rPr>
      </w:pPr>
      <w:r>
        <w:rPr>
          <w:color w:val="000000"/>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rsidR="00B202AA" w:rsidRDefault="00B202AA">
      <w:pPr>
        <w:jc w:val="both"/>
        <w:rPr>
          <w:color w:val="000000"/>
          <w:lang w:val="sr-Latn-ME"/>
        </w:rPr>
      </w:pPr>
    </w:p>
    <w:p w:rsidR="00B202AA" w:rsidRDefault="00A54945">
      <w:pPr>
        <w:jc w:val="both"/>
        <w:rPr>
          <w:color w:val="000000"/>
          <w:lang w:val="sr-Latn-ME"/>
        </w:rPr>
      </w:pPr>
      <w:r>
        <w:rPr>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B202AA" w:rsidRDefault="00B202AA">
      <w:pPr>
        <w:jc w:val="both"/>
        <w:rPr>
          <w:color w:val="000000"/>
          <w:lang w:val="sr-Latn-ME"/>
        </w:rPr>
      </w:pPr>
    </w:p>
    <w:p w:rsidR="00B202AA" w:rsidRDefault="00A54945">
      <w:pPr>
        <w:jc w:val="both"/>
        <w:rPr>
          <w:color w:val="000000"/>
          <w:lang w:val="sr-Latn-ME"/>
        </w:rPr>
      </w:pPr>
      <w:r>
        <w:rPr>
          <w:color w:val="000000"/>
          <w:lang w:val="sr-Latn-ME"/>
        </w:rPr>
        <w:t>Original garancije ponude u pisanom obliku dostavlja se u koverti, na kojoj se navodi: naziv i sjedište naručioca, broj tenderske dokumentacije za koju se podnosi garancija, naziv, sjedište i adresa ponuđača i naznaka „ garancija ponude“  i „ne otvaraj prije roka za otvaranje ponuda“.</w:t>
      </w:r>
    </w:p>
    <w:p w:rsidR="00B202AA" w:rsidRDefault="00A54945">
      <w:pPr>
        <w:jc w:val="both"/>
        <w:rPr>
          <w:color w:val="000000"/>
          <w:lang w:val="sr-Latn-ME"/>
        </w:rPr>
      </w:pPr>
      <w:r>
        <w:rPr>
          <w:color w:val="000000"/>
          <w:lang w:val="sr-Latn-ME"/>
        </w:rPr>
        <w:t>ESJN ć izvršiti automatsko otvaranje ponuda istovremeno sa istekom roka za dostavljanje ponuda iz prethodnog stava, generisati zapisnik o otvaranju ponuda i izvršiti njegovu automatsku dostavu svim ponuđačima koji su podnijeli ponude.</w:t>
      </w:r>
    </w:p>
    <w:p w:rsidR="00B202AA" w:rsidRDefault="00B202AA">
      <w:pPr>
        <w:jc w:val="both"/>
        <w:rPr>
          <w:color w:val="000000"/>
          <w:lang w:val="sr-Latn-ME"/>
        </w:rPr>
      </w:pPr>
    </w:p>
    <w:p w:rsidR="00B202AA" w:rsidRDefault="00A54945">
      <w:pPr>
        <w:jc w:val="both"/>
        <w:rPr>
          <w:color w:val="000000"/>
          <w:lang w:val="sr-Latn-ME"/>
        </w:rPr>
      </w:pPr>
      <w:r>
        <w:rPr>
          <w:color w:val="000000"/>
          <w:lang w:val="sr-Latn-ME"/>
        </w:rPr>
        <w:t>O dostavljanju garancije ponude, naručilac će sačiniti potvrdu i uz zapisnik o otvaranju o otvaranju ponuda priložiti kao skeniranu kopiju u ESJN, istog dana kada je izvršeno otvaranje ponuda.</w:t>
      </w:r>
    </w:p>
    <w:p w:rsidR="00B202AA" w:rsidRDefault="00B202AA">
      <w:pPr>
        <w:jc w:val="both"/>
        <w:rPr>
          <w:color w:val="000000"/>
          <w:lang w:val="sr-Latn-ME"/>
        </w:rPr>
      </w:pPr>
    </w:p>
    <w:p w:rsidR="00B202AA" w:rsidRDefault="00A54945">
      <w:pPr>
        <w:jc w:val="both"/>
        <w:rPr>
          <w:color w:val="000000"/>
          <w:lang w:val="sr-Latn-ME"/>
        </w:rPr>
      </w:pPr>
      <w:r>
        <w:rPr>
          <w:color w:val="000000"/>
          <w:lang w:val="sr-Latn-ME"/>
        </w:rPr>
        <w:sym w:font="Wingdings" w:char="F0A8"/>
      </w:r>
      <w:r>
        <w:rPr>
          <w:color w:val="000000"/>
          <w:lang w:val="sr-Latn-ME"/>
        </w:rPr>
        <w:t xml:space="preserve"> Original garancije ponude u pisanom obliku dostavlja se: </w:t>
      </w:r>
    </w:p>
    <w:p w:rsidR="00B202AA" w:rsidRDefault="00B202AA">
      <w:pPr>
        <w:jc w:val="both"/>
        <w:rPr>
          <w:color w:val="000000"/>
          <w:lang w:val="sr-Latn-ME"/>
        </w:rPr>
      </w:pPr>
    </w:p>
    <w:p w:rsidR="00B202AA" w:rsidRDefault="00A54945">
      <w:pPr>
        <w:jc w:val="both"/>
        <w:rPr>
          <w:rFonts w:ascii="Cambria" w:hAnsi="Cambria"/>
          <w:color w:val="000000"/>
        </w:rPr>
      </w:pPr>
      <w:r>
        <w:rPr>
          <w:rFonts w:ascii="Cambria" w:hAnsi="Cambria"/>
          <w:color w:val="000000"/>
        </w:rPr>
        <w:t xml:space="preserve">• neposrednom predajom na arhivi naručioca na adresi Naručioca, </w:t>
      </w:r>
      <w:r>
        <w:rPr>
          <w:rFonts w:ascii="Cambria" w:hAnsi="Cambria"/>
          <w:color w:val="000000"/>
          <w:lang w:val="sr-Latn-ME"/>
        </w:rPr>
        <w:t xml:space="preserve">Komisija za tržište </w:t>
      </w:r>
      <w:proofErr w:type="gramStart"/>
      <w:r>
        <w:rPr>
          <w:rFonts w:ascii="Cambria" w:hAnsi="Cambria"/>
          <w:color w:val="000000"/>
          <w:lang w:val="sr-Latn-ME"/>
        </w:rPr>
        <w:t>kapitala,Kralja</w:t>
      </w:r>
      <w:proofErr w:type="gramEnd"/>
      <w:r>
        <w:rPr>
          <w:rFonts w:ascii="Cambria" w:hAnsi="Cambria"/>
          <w:color w:val="000000"/>
          <w:lang w:val="sr-Latn-ME"/>
        </w:rPr>
        <w:t xml:space="preserve"> Nikole 27A/III , 8100 Podgorica.</w:t>
      </w:r>
    </w:p>
    <w:p w:rsidR="00B202AA" w:rsidRDefault="00A54945">
      <w:pPr>
        <w:jc w:val="both"/>
        <w:rPr>
          <w:rFonts w:ascii="Cambria" w:hAnsi="Cambria"/>
          <w:color w:val="000000"/>
        </w:rPr>
      </w:pPr>
      <w:r>
        <w:rPr>
          <w:rFonts w:ascii="Cambria" w:hAnsi="Cambria"/>
          <w:color w:val="000000"/>
        </w:rPr>
        <w:t xml:space="preserve"> </w:t>
      </w:r>
    </w:p>
    <w:p w:rsidR="00B202AA" w:rsidRDefault="00A54945">
      <w:pPr>
        <w:jc w:val="both"/>
        <w:rPr>
          <w:color w:val="000000"/>
          <w:lang w:val="sr-Latn-ME"/>
        </w:rPr>
      </w:pPr>
      <w:r>
        <w:rPr>
          <w:rFonts w:ascii="Cambria" w:hAnsi="Cambria"/>
          <w:color w:val="000000"/>
        </w:rPr>
        <w:lastRenderedPageBreak/>
        <w:t xml:space="preserve">• preporučenom pošiljkom sa povratnicom na adresi </w:t>
      </w:r>
      <w:r>
        <w:rPr>
          <w:rFonts w:ascii="Cambria" w:hAnsi="Cambria"/>
          <w:color w:val="000000"/>
          <w:lang w:val="sr-Latn-ME"/>
        </w:rPr>
        <w:t xml:space="preserve">Komisija za tržište </w:t>
      </w:r>
      <w:proofErr w:type="gramStart"/>
      <w:r>
        <w:rPr>
          <w:rFonts w:ascii="Cambria" w:hAnsi="Cambria"/>
          <w:color w:val="000000"/>
          <w:lang w:val="sr-Latn-ME"/>
        </w:rPr>
        <w:t>kapitala,Kralja</w:t>
      </w:r>
      <w:proofErr w:type="gramEnd"/>
      <w:r>
        <w:rPr>
          <w:rFonts w:ascii="Cambria" w:hAnsi="Cambria"/>
          <w:color w:val="000000"/>
          <w:lang w:val="sr-Latn-ME"/>
        </w:rPr>
        <w:t xml:space="preserve"> Nikole 27A/III , 8100 Podgorica.</w:t>
      </w:r>
    </w:p>
    <w:p w:rsidR="00B202AA" w:rsidRDefault="00B202AA">
      <w:pPr>
        <w:spacing w:before="96"/>
        <w:ind w:left="720"/>
        <w:jc w:val="both"/>
        <w:rPr>
          <w:b/>
          <w:color w:val="000000"/>
        </w:rPr>
      </w:pPr>
    </w:p>
    <w:p w:rsidR="00B202AA" w:rsidRDefault="00A54945">
      <w:pPr>
        <w:jc w:val="both"/>
        <w:rPr>
          <w:lang w:val="sr-Latn-ME"/>
        </w:rPr>
      </w:pPr>
      <w:r>
        <w:rPr>
          <w:lang w:val="sr-Latn-ME"/>
        </w:rPr>
        <w:t>radnim danima od 09.00 do 14.00 sati, zaključno sa danom 2</w:t>
      </w:r>
      <w:r w:rsidR="00D839BF">
        <w:rPr>
          <w:lang w:val="sr-Latn-ME"/>
        </w:rPr>
        <w:t>5</w:t>
      </w:r>
      <w:r>
        <w:rPr>
          <w:lang w:val="sr-Latn-ME"/>
        </w:rPr>
        <w:t>.06.2026. godine do 13 sati.</w:t>
      </w:r>
    </w:p>
    <w:p w:rsidR="00B202AA" w:rsidRDefault="00B202AA">
      <w:pPr>
        <w:jc w:val="both"/>
        <w:rPr>
          <w:color w:val="FF0000"/>
          <w:lang w:val="sr-Latn-ME"/>
        </w:rPr>
      </w:pPr>
    </w:p>
    <w:p w:rsidR="00B202AA" w:rsidRDefault="00A54945">
      <w:pPr>
        <w:jc w:val="both"/>
        <w:rPr>
          <w:lang w:val="sr-Latn-ME"/>
        </w:rPr>
      </w:pPr>
      <w:r>
        <w:rPr>
          <w:lang w:val="sr-Latn-ME"/>
        </w:rPr>
        <w:t>Otvaranje ponuda održaće se dana 2</w:t>
      </w:r>
      <w:r w:rsidR="00D839BF">
        <w:rPr>
          <w:lang w:val="sr-Latn-ME"/>
        </w:rPr>
        <w:t>5</w:t>
      </w:r>
      <w:r>
        <w:rPr>
          <w:lang w:val="sr-Latn-ME"/>
        </w:rPr>
        <w:t>.06.2026. godine u 13:30 sati.</w:t>
      </w:r>
    </w:p>
    <w:p w:rsidR="00B202AA" w:rsidRDefault="00B202AA">
      <w:pPr>
        <w:rPr>
          <w:i/>
          <w:iCs/>
          <w:lang w:val="sr-Latn-ME"/>
        </w:rPr>
      </w:pPr>
    </w:p>
    <w:p w:rsidR="00B202AA" w:rsidRDefault="00B202AA">
      <w:pPr>
        <w:jc w:val="both"/>
        <w:rPr>
          <w:rFonts w:ascii="Cambria" w:hAnsi="Cambria" w:cs="Arial"/>
          <w:color w:val="000000"/>
          <w:lang w:val="sr-Latn-ME"/>
        </w:rPr>
      </w:pPr>
    </w:p>
    <w:p w:rsidR="00B202AA" w:rsidRDefault="00B202AA">
      <w:pPr>
        <w:jc w:val="both"/>
        <w:rPr>
          <w:rFonts w:ascii="Cambria" w:hAnsi="Cambria" w:cs="Arial"/>
          <w:b/>
          <w:color w:val="000000"/>
          <w:lang w:val="sr-Latn-ME"/>
        </w:rPr>
      </w:pPr>
    </w:p>
    <w:p w:rsidR="00B202AA" w:rsidRDefault="00A54945">
      <w:pPr>
        <w:keepNext/>
        <w:keepLines/>
        <w:pBdr>
          <w:top w:val="single" w:sz="4" w:space="1" w:color="auto"/>
          <w:left w:val="single" w:sz="4" w:space="4" w:color="auto"/>
          <w:bottom w:val="single" w:sz="4" w:space="1" w:color="auto"/>
          <w:right w:val="single" w:sz="4" w:space="4" w:color="auto"/>
        </w:pBdr>
        <w:shd w:val="clear" w:color="auto" w:fill="D9D9D9"/>
        <w:spacing w:before="240"/>
        <w:outlineLvl w:val="0"/>
        <w:rPr>
          <w:rFonts w:ascii="Cambria" w:hAnsi="Cambria"/>
          <w:b/>
          <w:szCs w:val="32"/>
          <w:lang w:val="sr-Latn-ME"/>
        </w:rPr>
      </w:pPr>
      <w:r>
        <w:rPr>
          <w:rFonts w:ascii="Cambria" w:hAnsi="Cambria"/>
          <w:b/>
          <w:szCs w:val="32"/>
          <w:lang w:val="sr-Latn-ME"/>
        </w:rPr>
        <w:t>TAJNOST PODATAKA</w:t>
      </w:r>
    </w:p>
    <w:p w:rsidR="00B202AA" w:rsidRDefault="00A54945">
      <w:pPr>
        <w:jc w:val="both"/>
        <w:rPr>
          <w:rFonts w:ascii="Cambria" w:hAnsi="Cambria" w:cs="Arial"/>
          <w:color w:val="000000"/>
          <w:lang w:val="sr-Latn-ME"/>
        </w:rPr>
      </w:pPr>
      <w:r>
        <w:rPr>
          <w:rFonts w:ascii="Cambria" w:hAnsi="Cambria" w:cs="Arial"/>
          <w:color w:val="000000"/>
          <w:lang w:val="sr-Latn-ME"/>
        </w:rPr>
        <w:t xml:space="preserve"> </w:t>
      </w:r>
    </w:p>
    <w:p w:rsidR="00B202AA" w:rsidRDefault="00A54945">
      <w:pPr>
        <w:jc w:val="both"/>
        <w:rPr>
          <w:rFonts w:ascii="Cambria" w:hAnsi="Cambria"/>
        </w:rPr>
      </w:pPr>
      <w:r>
        <w:rPr>
          <w:rFonts w:ascii="Cambria" w:hAnsi="Cambria"/>
        </w:rPr>
        <w:t>Tenderska dokumentacija sadrži tajne podatke</w:t>
      </w:r>
    </w:p>
    <w:p w:rsidR="00B202AA" w:rsidRDefault="00B202AA">
      <w:pPr>
        <w:jc w:val="both"/>
        <w:rPr>
          <w:rFonts w:ascii="Cambria" w:hAnsi="Cambria"/>
        </w:rPr>
      </w:pPr>
    </w:p>
    <w:p w:rsidR="00B202AA" w:rsidRDefault="00A54945">
      <w:pPr>
        <w:jc w:val="both"/>
        <w:rPr>
          <w:rFonts w:ascii="Cambria" w:hAnsi="Cambria"/>
        </w:rPr>
      </w:pPr>
      <w:r>
        <w:rPr>
          <w:rFonts w:ascii="Cambria" w:hAnsi="Cambria"/>
        </w:rPr>
        <w:sym w:font="Wingdings" w:char="F0A8"/>
      </w:r>
      <w:r>
        <w:rPr>
          <w:rFonts w:ascii="Cambria" w:hAnsi="Cambria"/>
        </w:rPr>
        <w:t xml:space="preserve"> ne</w:t>
      </w:r>
    </w:p>
    <w:p w:rsidR="00B202AA" w:rsidRDefault="00B202AA">
      <w:pPr>
        <w:jc w:val="both"/>
        <w:rPr>
          <w:rFonts w:ascii="Cambria" w:hAnsi="Cambria" w:cs="Arial"/>
          <w:color w:val="000000"/>
          <w:lang w:val="sr-Latn-ME"/>
        </w:rPr>
      </w:pPr>
    </w:p>
    <w:p w:rsidR="00B202AA" w:rsidRDefault="00A54945">
      <w:pPr>
        <w:keepNext/>
        <w:keepLines/>
        <w:pBdr>
          <w:top w:val="single" w:sz="4" w:space="1" w:color="auto"/>
          <w:left w:val="single" w:sz="4" w:space="4" w:color="auto"/>
          <w:bottom w:val="single" w:sz="4" w:space="1" w:color="auto"/>
          <w:right w:val="single" w:sz="4" w:space="4" w:color="auto"/>
        </w:pBdr>
        <w:shd w:val="clear" w:color="auto" w:fill="D9D9D9"/>
        <w:spacing w:before="240"/>
        <w:outlineLvl w:val="0"/>
        <w:rPr>
          <w:rFonts w:ascii="Cambria" w:hAnsi="Cambria"/>
          <w:b/>
          <w:szCs w:val="32"/>
          <w:lang w:val="sr-Latn-ME"/>
        </w:rPr>
      </w:pPr>
      <w:r>
        <w:rPr>
          <w:rFonts w:ascii="Cambria" w:hAnsi="Cambria"/>
          <w:b/>
          <w:szCs w:val="32"/>
          <w:lang w:val="sr-Latn-ME"/>
        </w:rPr>
        <w:t>UPUTSTVO ZA SAČINJAVANJE PONUDE</w:t>
      </w:r>
    </w:p>
    <w:p w:rsidR="00B202AA" w:rsidRDefault="00B202AA">
      <w:pPr>
        <w:rPr>
          <w:rFonts w:ascii="Cambria" w:hAnsi="Cambria" w:cs="Arial"/>
          <w:lang w:val="sr-Latn-ME"/>
        </w:rPr>
      </w:pPr>
    </w:p>
    <w:p w:rsidR="00B202AA" w:rsidRDefault="00A54945">
      <w:pPr>
        <w:jc w:val="both"/>
        <w:rPr>
          <w:rFonts w:ascii="Cambria" w:hAnsi="Cambria"/>
        </w:rPr>
      </w:pPr>
      <w:r>
        <w:rPr>
          <w:rFonts w:ascii="Cambria" w:hAnsi="Cambria"/>
        </w:rPr>
        <w:t xml:space="preserve">Ponude se sačinjava u ESJN u skladu sa tenderskom dokumentacijom i važećim Pravilnikom o sadržaju ponude i uputstvu za sačinjavanje i podnošenje ponude. </w:t>
      </w:r>
    </w:p>
    <w:p w:rsidR="00B202AA" w:rsidRDefault="00A54945">
      <w:pPr>
        <w:jc w:val="both"/>
        <w:rPr>
          <w:rFonts w:ascii="Cambria" w:hAnsi="Cambria"/>
        </w:rPr>
      </w:pPr>
      <w:r>
        <w:rPr>
          <w:rFonts w:ascii="Cambria" w:hAnsi="Cambria"/>
        </w:rPr>
        <w:t>Ispunjenost uslova za učešće u postupku javne nabavke dokazuje se izjavom privrednog subjekta, koja se sačinjava na obrascu datom u Pravilniku o obrascu izjave privrednog subjekta.</w:t>
      </w:r>
    </w:p>
    <w:p w:rsidR="00B202AA" w:rsidRDefault="00A54945">
      <w:pPr>
        <w:jc w:val="both"/>
        <w:rPr>
          <w:rFonts w:ascii="Cambria" w:hAnsi="Cambria"/>
        </w:rPr>
      </w:pPr>
      <w:r>
        <w:rPr>
          <w:rFonts w:ascii="Cambria" w:hAnsi="Cambria"/>
        </w:rPr>
        <w:t>Ponuđač je dužan da tačno i nedvosmisleno popuni Izjavu privrednog subjekta u skladu sa zahtjevima iz tenderske dokumentacije.</w:t>
      </w:r>
    </w:p>
    <w:p w:rsidR="00B202AA" w:rsidRDefault="00B202AA">
      <w:pPr>
        <w:jc w:val="both"/>
        <w:rPr>
          <w:rFonts w:ascii="Cambria" w:hAnsi="Cambria"/>
        </w:rPr>
      </w:pPr>
    </w:p>
    <w:p w:rsidR="00B202AA" w:rsidRDefault="00B202AA">
      <w:pPr>
        <w:jc w:val="both"/>
        <w:rPr>
          <w:rFonts w:ascii="Cambria" w:hAnsi="Cambria"/>
        </w:rPr>
      </w:pPr>
    </w:p>
    <w:p w:rsidR="00B202AA" w:rsidRDefault="00B202AA">
      <w:pPr>
        <w:jc w:val="both"/>
        <w:rPr>
          <w:rFonts w:ascii="Cambria" w:hAnsi="Cambria"/>
        </w:rPr>
      </w:pPr>
    </w:p>
    <w:p w:rsidR="00B202AA" w:rsidRDefault="00B202AA">
      <w:pPr>
        <w:jc w:val="both"/>
        <w:rPr>
          <w:rFonts w:ascii="Cambria" w:hAnsi="Cambria"/>
        </w:rPr>
      </w:pPr>
    </w:p>
    <w:p w:rsidR="00B202AA" w:rsidRDefault="00B202AA">
      <w:pPr>
        <w:jc w:val="both"/>
        <w:rPr>
          <w:rFonts w:ascii="Cambria" w:hAnsi="Cambria" w:cs="Arial"/>
          <w:i/>
          <w:iCs/>
          <w:color w:val="000000"/>
        </w:rPr>
      </w:pPr>
    </w:p>
    <w:p w:rsidR="00B202AA" w:rsidRDefault="00B202AA">
      <w:pPr>
        <w:jc w:val="both"/>
        <w:rPr>
          <w:rFonts w:ascii="Cambria" w:hAnsi="Cambria" w:cs="Arial"/>
          <w:i/>
          <w:iCs/>
          <w:color w:val="000000"/>
        </w:rPr>
      </w:pPr>
    </w:p>
    <w:p w:rsidR="00B202AA" w:rsidRDefault="00A54945">
      <w:pPr>
        <w:keepNext/>
        <w:pBdr>
          <w:top w:val="single" w:sz="4" w:space="1" w:color="auto"/>
          <w:left w:val="single" w:sz="4" w:space="4" w:color="auto"/>
          <w:bottom w:val="single" w:sz="4" w:space="1" w:color="auto"/>
          <w:right w:val="single" w:sz="4" w:space="4" w:color="auto"/>
        </w:pBdr>
        <w:shd w:val="clear" w:color="auto" w:fill="D9D9D9"/>
        <w:outlineLvl w:val="0"/>
        <w:rPr>
          <w:rFonts w:ascii="Cambria" w:hAnsi="Cambria" w:cs="Arial"/>
          <w:b/>
          <w:bCs/>
        </w:rPr>
      </w:pPr>
      <w:r>
        <w:rPr>
          <w:rFonts w:ascii="Cambria" w:hAnsi="Cambria" w:cs="Arial"/>
          <w:b/>
          <w:bCs/>
        </w:rPr>
        <w:t>NAČIN ZAKLJUČIVANJA I IZMJENE UGOVORA O JAVNOJ NABACI</w:t>
      </w:r>
    </w:p>
    <w:p w:rsidR="00B202AA" w:rsidRDefault="00B202AA">
      <w:pPr>
        <w:jc w:val="both"/>
        <w:rPr>
          <w:rFonts w:ascii="Cambria" w:hAnsi="Cambria" w:cs="Arial"/>
          <w:i/>
        </w:rPr>
      </w:pPr>
    </w:p>
    <w:p w:rsidR="00B202AA" w:rsidRDefault="00A54945">
      <w:pPr>
        <w:jc w:val="both"/>
      </w:pPr>
      <w:r>
        <w:t xml:space="preserve">Naručilac zaključuje ugovor o javnoj nabavci u pisanom ili elektronskom obliku sa ponuđačem čija je ponuda izabrana kao najpovoljnija, nakon izvršnosti odluke o izboru najpovoljnije ponude. </w:t>
      </w:r>
    </w:p>
    <w:p w:rsidR="00B202AA" w:rsidRDefault="00B202AA">
      <w:pPr>
        <w:jc w:val="both"/>
      </w:pPr>
    </w:p>
    <w:p w:rsidR="00B202AA" w:rsidRDefault="00A54945">
      <w:pPr>
        <w:jc w:val="both"/>
      </w:pPr>
      <w:r>
        <w:t>Ugovor o javnoj nabavci mora da bude u skladu sa uslovima utvrđenim tenderskom dokumentacijom, izabranom ponudom i odlukom o izboru najpovoljnije ponude, osim u pogledu iskazivanja PDV-a.</w:t>
      </w:r>
    </w:p>
    <w:p w:rsidR="00B202AA" w:rsidRDefault="00B202AA">
      <w:pPr>
        <w:jc w:val="both"/>
      </w:pPr>
    </w:p>
    <w:p w:rsidR="00B202AA" w:rsidRDefault="00A54945">
      <w:pPr>
        <w:jc w:val="both"/>
        <w:rPr>
          <w:b/>
          <w:bCs/>
          <w:color w:val="000000"/>
        </w:rPr>
      </w:pPr>
      <w:r>
        <w:rPr>
          <w:color w:val="000000"/>
        </w:rPr>
        <w:t>Ugovor između naručioca i ponuđača čija je ponuda izabrana kao najpovoljnija, pored uslova koji su propisani ovom tenderskom dokumentacijom, će sadržati i sljedeće:</w:t>
      </w:r>
    </w:p>
    <w:p w:rsidR="00B202AA" w:rsidRDefault="00B202AA">
      <w:pPr>
        <w:spacing w:before="96"/>
        <w:ind w:left="720"/>
        <w:jc w:val="both"/>
        <w:rPr>
          <w:rFonts w:eastAsia="Calibri"/>
          <w:color w:val="FF0000"/>
        </w:rPr>
      </w:pPr>
    </w:p>
    <w:p w:rsidR="00B202AA" w:rsidRDefault="00A54945">
      <w:pPr>
        <w:widowControl w:val="0"/>
        <w:kinsoku w:val="0"/>
        <w:overflowPunct w:val="0"/>
        <w:jc w:val="both"/>
        <w:textAlignment w:val="baseline"/>
        <w:rPr>
          <w:lang w:val="sr-Latn-ME" w:eastAsia="sr-Latn-CS"/>
        </w:rPr>
      </w:pPr>
      <w:r>
        <w:rPr>
          <w:lang w:val="sr-Latn-ME" w:eastAsia="sr-Latn-CS"/>
        </w:rPr>
        <w:t>Izvršilac se obavezuje:</w:t>
      </w:r>
    </w:p>
    <w:p w:rsidR="00B202AA" w:rsidRDefault="00A54945">
      <w:pPr>
        <w:widowControl w:val="0"/>
        <w:numPr>
          <w:ilvl w:val="0"/>
          <w:numId w:val="8"/>
        </w:numPr>
        <w:kinsoku w:val="0"/>
        <w:overflowPunct w:val="0"/>
        <w:jc w:val="both"/>
        <w:textAlignment w:val="baseline"/>
        <w:rPr>
          <w:lang w:val="sr-Latn-ME" w:eastAsia="sr-Latn-CS"/>
        </w:rPr>
      </w:pPr>
      <w:r>
        <w:rPr>
          <w:lang w:val="sr-Latn-ME" w:eastAsia="sr-Latn-CS"/>
        </w:rPr>
        <w:t>da rukovodi izvršenjem svih usluga;</w:t>
      </w:r>
    </w:p>
    <w:p w:rsidR="00B202AA" w:rsidRDefault="00A54945">
      <w:pPr>
        <w:widowControl w:val="0"/>
        <w:numPr>
          <w:ilvl w:val="0"/>
          <w:numId w:val="8"/>
        </w:numPr>
        <w:kinsoku w:val="0"/>
        <w:overflowPunct w:val="0"/>
        <w:jc w:val="both"/>
        <w:textAlignment w:val="baseline"/>
        <w:rPr>
          <w:lang w:val="sr-Latn-ME" w:eastAsia="sr-Latn-CS"/>
        </w:rPr>
      </w:pPr>
      <w:r>
        <w:rPr>
          <w:lang w:val="sr-Latn-ME" w:eastAsia="sr-Latn-CS"/>
        </w:rPr>
        <w:t>da obezbijedi kompletnu dokumentaciju po kojoj se izvode usluge;</w:t>
      </w:r>
    </w:p>
    <w:p w:rsidR="00B202AA" w:rsidRDefault="00A54945">
      <w:pPr>
        <w:widowControl w:val="0"/>
        <w:numPr>
          <w:ilvl w:val="0"/>
          <w:numId w:val="8"/>
        </w:numPr>
        <w:kinsoku w:val="0"/>
        <w:overflowPunct w:val="0"/>
        <w:jc w:val="both"/>
        <w:textAlignment w:val="baseline"/>
        <w:rPr>
          <w:lang w:val="sr-Latn-ME" w:eastAsia="sr-Latn-CS"/>
        </w:rPr>
      </w:pPr>
      <w:r>
        <w:rPr>
          <w:lang w:val="sr-Latn-ME" w:eastAsia="sr-Latn-CS"/>
        </w:rPr>
        <w:lastRenderedPageBreak/>
        <w:t>da snosi troškove naknade korišćenja patenata i odgovoran je za povredu zaštićenih prava intelektualne svojine trećih lica,</w:t>
      </w:r>
    </w:p>
    <w:p w:rsidR="00B202AA" w:rsidRDefault="00A54945">
      <w:pPr>
        <w:pStyle w:val="NoSpacing"/>
        <w:numPr>
          <w:ilvl w:val="0"/>
          <w:numId w:val="8"/>
        </w:numPr>
        <w:jc w:val="both"/>
        <w:rPr>
          <w:rFonts w:ascii="Times New Roman" w:hAnsi="Times New Roman" w:cs="Times New Roman"/>
          <w:lang w:val="it-IT" w:eastAsia="ar-SA"/>
        </w:rPr>
      </w:pPr>
      <w:r>
        <w:rPr>
          <w:rFonts w:ascii="Times New Roman" w:hAnsi="Times New Roman" w:cs="Times New Roman"/>
          <w:lang w:val="it-IT" w:eastAsia="ar-SA"/>
        </w:rPr>
        <w:t xml:space="preserve">da u slučaju problema utvrdi nivo problema sa Naručiocem, i u skladu sa istim uskladi vrijeme odziva i restauraciju, </w:t>
      </w:r>
    </w:p>
    <w:p w:rsidR="00B202AA" w:rsidRDefault="00B202AA">
      <w:pPr>
        <w:widowControl w:val="0"/>
        <w:kinsoku w:val="0"/>
        <w:overflowPunct w:val="0"/>
        <w:textAlignment w:val="baseline"/>
        <w:rPr>
          <w:lang w:val="sr-Latn-ME" w:eastAsia="sr-Latn-CS"/>
        </w:rPr>
      </w:pPr>
    </w:p>
    <w:p w:rsidR="00B202AA" w:rsidRDefault="00A54945">
      <w:pPr>
        <w:widowControl w:val="0"/>
        <w:kinsoku w:val="0"/>
        <w:overflowPunct w:val="0"/>
        <w:jc w:val="both"/>
        <w:textAlignment w:val="baseline"/>
        <w:rPr>
          <w:lang w:val="sr-Latn-ME" w:eastAsia="sr-Latn-CS"/>
        </w:rPr>
      </w:pPr>
      <w:r>
        <w:rPr>
          <w:lang w:val="sr-Latn-ME" w:eastAsia="sr-Latn-CS"/>
        </w:rPr>
        <w:t>Naručilac se obavezuje da blagovremeno Izvršioca uvede u posao. Pod uvođenjem u posao podrazumijeva se obezbeđivanje svih potrebnih uslova i obavljanje prethodnih radnji od strane Naručioca, neophodnih za nesmetano obavljanje posla.</w:t>
      </w:r>
    </w:p>
    <w:p w:rsidR="00B202AA" w:rsidRDefault="00B202AA">
      <w:pPr>
        <w:jc w:val="both"/>
        <w:rPr>
          <w:rFonts w:ascii="Cambria" w:hAnsi="Cambria"/>
          <w:lang w:val="pl-PL" w:eastAsia="zh-TW"/>
        </w:rPr>
      </w:pPr>
    </w:p>
    <w:p w:rsidR="00B202AA" w:rsidRDefault="00A54945">
      <w:pPr>
        <w:widowControl w:val="0"/>
        <w:kinsoku w:val="0"/>
        <w:overflowPunct w:val="0"/>
        <w:jc w:val="both"/>
        <w:textAlignment w:val="baseline"/>
        <w:rPr>
          <w:lang w:val="sr-Latn-ME" w:eastAsia="sr-Latn-CS"/>
        </w:rPr>
      </w:pPr>
      <w:r>
        <w:rPr>
          <w:lang w:val="sr-Latn-ME" w:eastAsia="sr-Latn-CS"/>
        </w:rPr>
        <w:t>Ugovorne strane su saglasne da do raskida ovog Ugovora može doći ako Izvršilac ne bude izvršavao svoje obaveze u rokovima i na način predviđen Ugovorom.</w:t>
      </w:r>
    </w:p>
    <w:p w:rsidR="00B202AA" w:rsidRDefault="00A54945">
      <w:pPr>
        <w:widowControl w:val="0"/>
        <w:kinsoku w:val="0"/>
        <w:overflowPunct w:val="0"/>
        <w:jc w:val="both"/>
        <w:textAlignment w:val="baseline"/>
        <w:rPr>
          <w:lang w:val="sr-Latn-ME" w:eastAsia="sr-Latn-CS"/>
        </w:rPr>
      </w:pPr>
      <w:r>
        <w:rPr>
          <w:lang w:val="sr-Latn-ME" w:eastAsia="sr-Latn-CS"/>
        </w:rPr>
        <w:t xml:space="preserve">Naručilac je obavezan da u slučaju uočavanja propusta u obavljanju posla pisanim putem pozove Izvršioca i da putem Zapisnika zajednički konstatuju uzrok i obim uočenih propusta. </w:t>
      </w:r>
    </w:p>
    <w:p w:rsidR="00B202AA" w:rsidRDefault="00B202AA">
      <w:pPr>
        <w:widowControl w:val="0"/>
        <w:kinsoku w:val="0"/>
        <w:overflowPunct w:val="0"/>
        <w:jc w:val="both"/>
        <w:textAlignment w:val="baseline"/>
        <w:rPr>
          <w:lang w:val="sr-Latn-ME" w:eastAsia="sr-Latn-CS"/>
        </w:rPr>
      </w:pPr>
    </w:p>
    <w:p w:rsidR="00B202AA" w:rsidRDefault="00A54945">
      <w:pPr>
        <w:widowControl w:val="0"/>
        <w:kinsoku w:val="0"/>
        <w:overflowPunct w:val="0"/>
        <w:jc w:val="both"/>
        <w:textAlignment w:val="baseline"/>
        <w:rPr>
          <w:lang w:val="sr-Latn-ME" w:eastAsia="sr-Latn-CS"/>
        </w:rPr>
      </w:pPr>
      <w:r>
        <w:rPr>
          <w:lang w:val="sr-Latn-ME" w:eastAsia="sr-Latn-CS"/>
        </w:rPr>
        <w:t>Izvršilac se obavezuje da u toku trajanja ovog Ugovora, kao i po isteku istog, ne iznose bilo kakve službene ili povjerljive informacije u vezi ovog Ugovora, poslova i aktivnosti Naručioca, bez prethodne pisane saglasnosti Naručioca.</w:t>
      </w:r>
    </w:p>
    <w:p w:rsidR="00B202AA" w:rsidRDefault="00B202AA">
      <w:pPr>
        <w:jc w:val="both"/>
        <w:rPr>
          <w:rFonts w:ascii="Cambria" w:hAnsi="Cambria" w:cs="Arial"/>
          <w:b/>
          <w:bCs/>
          <w:color w:val="FF0000"/>
        </w:rPr>
      </w:pPr>
    </w:p>
    <w:p w:rsidR="00B202AA" w:rsidRDefault="00A54945">
      <w:pPr>
        <w:keepNext/>
        <w:numPr>
          <w:ilvl w:val="0"/>
          <w:numId w:val="9"/>
        </w:numPr>
        <w:pBdr>
          <w:top w:val="single" w:sz="4" w:space="1" w:color="auto"/>
          <w:left w:val="single" w:sz="4" w:space="4" w:color="auto"/>
          <w:bottom w:val="single" w:sz="4" w:space="1" w:color="auto"/>
          <w:right w:val="single" w:sz="4" w:space="4" w:color="auto"/>
        </w:pBdr>
        <w:shd w:val="clear" w:color="auto" w:fill="D9D9D9"/>
        <w:spacing w:after="160" w:line="259" w:lineRule="auto"/>
        <w:outlineLvl w:val="0"/>
        <w:rPr>
          <w:rFonts w:ascii="Cambria" w:hAnsi="Cambria" w:cs="Arial"/>
          <w:b/>
          <w:bCs/>
        </w:rPr>
      </w:pPr>
      <w:r>
        <w:rPr>
          <w:rFonts w:ascii="Cambria" w:hAnsi="Cambria" w:cs="Arial"/>
          <w:b/>
          <w:bCs/>
        </w:rPr>
        <w:t>ZAHTJEV ZA POJAŠNJENJE ILI IZMJENU I DOPUNU TENDERSKE DOKUMENTACIJE</w:t>
      </w:r>
    </w:p>
    <w:p w:rsidR="00B202AA" w:rsidRDefault="00B202AA">
      <w:pPr>
        <w:jc w:val="both"/>
        <w:rPr>
          <w:rFonts w:ascii="Cambria" w:hAnsi="Cambria" w:cs="Arial"/>
        </w:rPr>
      </w:pPr>
    </w:p>
    <w:p w:rsidR="00B202AA" w:rsidRDefault="00A54945">
      <w:pPr>
        <w:widowControl w:val="0"/>
        <w:kinsoku w:val="0"/>
        <w:overflowPunct w:val="0"/>
        <w:jc w:val="both"/>
        <w:textAlignment w:val="baseline"/>
        <w:rPr>
          <w:rFonts w:ascii="Cambria" w:hAnsi="Cambria"/>
          <w:lang w:val="sr-Latn-ME" w:eastAsia="sr-Latn-CS"/>
        </w:rPr>
      </w:pPr>
      <w:r>
        <w:rPr>
          <w:rFonts w:ascii="Cambria" w:hAnsi="Cambria"/>
          <w:lang w:val="sr-Latn-ME" w:eastAsia="sr-Latn-CS"/>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B202AA" w:rsidRDefault="00B202AA">
      <w:pPr>
        <w:widowControl w:val="0"/>
        <w:kinsoku w:val="0"/>
        <w:overflowPunct w:val="0"/>
        <w:jc w:val="both"/>
        <w:textAlignment w:val="baseline"/>
        <w:rPr>
          <w:rFonts w:ascii="Cambria" w:hAnsi="Cambria"/>
          <w:lang w:val="sr-Latn-ME" w:eastAsia="sr-Latn-CS"/>
        </w:rPr>
      </w:pPr>
    </w:p>
    <w:p w:rsidR="00B202AA" w:rsidRDefault="00A54945">
      <w:pPr>
        <w:widowControl w:val="0"/>
        <w:kinsoku w:val="0"/>
        <w:overflowPunct w:val="0"/>
        <w:jc w:val="both"/>
        <w:textAlignment w:val="baseline"/>
        <w:rPr>
          <w:rFonts w:ascii="Cambria" w:hAnsi="Cambria"/>
          <w:lang w:val="sr-Latn-ME" w:eastAsia="sr-Latn-CS"/>
        </w:rPr>
      </w:pPr>
      <w:r>
        <w:rPr>
          <w:rFonts w:ascii="Cambria" w:hAnsi="Cambria"/>
          <w:lang w:val="sr-Latn-ME" w:eastAsia="sr-Latn-CS"/>
        </w:rPr>
        <w:t>Privredni subjekat ima pravo da pisanim zahtjevom traži od naručioca pojašnjenje tenderske dokumentacije najkasnije deset dana prije isteka roka određenog za dostavljanje ponuda.</w:t>
      </w:r>
    </w:p>
    <w:p w:rsidR="00B202AA" w:rsidRDefault="00B202AA">
      <w:pPr>
        <w:widowControl w:val="0"/>
        <w:kinsoku w:val="0"/>
        <w:overflowPunct w:val="0"/>
        <w:jc w:val="both"/>
        <w:textAlignment w:val="baseline"/>
        <w:rPr>
          <w:rFonts w:ascii="Cambria" w:hAnsi="Cambria"/>
          <w:lang w:val="sr-Latn-ME" w:eastAsia="sr-Latn-CS"/>
        </w:rPr>
      </w:pPr>
    </w:p>
    <w:p w:rsidR="00B202AA" w:rsidRDefault="00A54945">
      <w:pPr>
        <w:widowControl w:val="0"/>
        <w:kinsoku w:val="0"/>
        <w:overflowPunct w:val="0"/>
        <w:jc w:val="both"/>
        <w:textAlignment w:val="baseline"/>
        <w:rPr>
          <w:rFonts w:ascii="Cambria" w:hAnsi="Cambria"/>
          <w:lang w:val="sr-Latn-ME" w:eastAsia="sr-Latn-CS"/>
        </w:rPr>
      </w:pPr>
      <w:r>
        <w:rPr>
          <w:rFonts w:ascii="Cambria" w:hAnsi="Cambria"/>
          <w:lang w:val="sr-Latn-ME" w:eastAsia="sr-Latn-CS"/>
        </w:rPr>
        <w:t>Zahtjev se podnosi isključivo putem ESJN-a.</w:t>
      </w:r>
    </w:p>
    <w:p w:rsidR="00B202AA" w:rsidRDefault="00B202AA">
      <w:pPr>
        <w:widowControl w:val="0"/>
        <w:kinsoku w:val="0"/>
        <w:overflowPunct w:val="0"/>
        <w:jc w:val="both"/>
        <w:textAlignment w:val="baseline"/>
        <w:rPr>
          <w:rFonts w:ascii="Cambria" w:hAnsi="Cambria"/>
          <w:lang w:val="sr-Latn-ME" w:eastAsia="sr-Latn-CS"/>
        </w:rPr>
      </w:pPr>
    </w:p>
    <w:p w:rsidR="00B202AA" w:rsidRDefault="00B202AA">
      <w:pPr>
        <w:widowControl w:val="0"/>
        <w:kinsoku w:val="0"/>
        <w:overflowPunct w:val="0"/>
        <w:jc w:val="both"/>
        <w:textAlignment w:val="baseline"/>
        <w:rPr>
          <w:rFonts w:ascii="Cambria" w:hAnsi="Cambria"/>
          <w:lang w:val="sr-Latn-ME" w:eastAsia="sr-Latn-CS"/>
        </w:rPr>
      </w:pPr>
    </w:p>
    <w:p w:rsidR="00B202AA" w:rsidRDefault="00B202AA">
      <w:pPr>
        <w:widowControl w:val="0"/>
        <w:kinsoku w:val="0"/>
        <w:overflowPunct w:val="0"/>
        <w:jc w:val="both"/>
        <w:textAlignment w:val="baseline"/>
        <w:rPr>
          <w:rFonts w:ascii="Cambria" w:hAnsi="Cambria"/>
          <w:lang w:val="sr-Latn-ME" w:eastAsia="sr-Latn-CS"/>
        </w:rPr>
      </w:pPr>
    </w:p>
    <w:p w:rsidR="00B202AA" w:rsidRDefault="00B202AA">
      <w:pPr>
        <w:widowControl w:val="0"/>
        <w:kinsoku w:val="0"/>
        <w:overflowPunct w:val="0"/>
        <w:jc w:val="both"/>
        <w:textAlignment w:val="baseline"/>
        <w:rPr>
          <w:rFonts w:ascii="Cambria" w:hAnsi="Cambria"/>
          <w:lang w:val="sr-Latn-ME" w:eastAsia="sr-Latn-CS"/>
        </w:rPr>
      </w:pPr>
    </w:p>
    <w:p w:rsidR="00B202AA" w:rsidRDefault="00B202AA">
      <w:pPr>
        <w:widowControl w:val="0"/>
        <w:kinsoku w:val="0"/>
        <w:overflowPunct w:val="0"/>
        <w:jc w:val="both"/>
        <w:textAlignment w:val="baseline"/>
        <w:rPr>
          <w:rFonts w:ascii="Cambria" w:hAnsi="Cambria"/>
          <w:lang w:val="sr-Latn-ME" w:eastAsia="sr-Latn-CS"/>
        </w:rPr>
      </w:pPr>
    </w:p>
    <w:p w:rsidR="00B202AA" w:rsidRDefault="00B202AA">
      <w:pPr>
        <w:widowControl w:val="0"/>
        <w:kinsoku w:val="0"/>
        <w:overflowPunct w:val="0"/>
        <w:jc w:val="both"/>
        <w:textAlignment w:val="baseline"/>
        <w:rPr>
          <w:rFonts w:ascii="Cambria" w:hAnsi="Cambria"/>
          <w:lang w:val="sr-Latn-ME" w:eastAsia="sr-Latn-CS"/>
        </w:rPr>
      </w:pPr>
    </w:p>
    <w:p w:rsidR="00B202AA" w:rsidRDefault="00B202AA">
      <w:pPr>
        <w:widowControl w:val="0"/>
        <w:kinsoku w:val="0"/>
        <w:overflowPunct w:val="0"/>
        <w:jc w:val="both"/>
        <w:textAlignment w:val="baseline"/>
        <w:rPr>
          <w:rFonts w:ascii="Cambria" w:hAnsi="Cambria"/>
          <w:lang w:val="sr-Latn-ME" w:eastAsia="sr-Latn-CS"/>
        </w:rPr>
      </w:pPr>
    </w:p>
    <w:p w:rsidR="00B202AA" w:rsidRDefault="00B202AA">
      <w:pPr>
        <w:widowControl w:val="0"/>
        <w:kinsoku w:val="0"/>
        <w:overflowPunct w:val="0"/>
        <w:jc w:val="both"/>
        <w:textAlignment w:val="baseline"/>
        <w:rPr>
          <w:rFonts w:ascii="Cambria" w:hAnsi="Cambria"/>
          <w:lang w:val="sr-Latn-ME" w:eastAsia="sr-Latn-CS"/>
        </w:rPr>
      </w:pPr>
    </w:p>
    <w:p w:rsidR="00B202AA" w:rsidRDefault="00B202AA">
      <w:pPr>
        <w:widowControl w:val="0"/>
        <w:kinsoku w:val="0"/>
        <w:overflowPunct w:val="0"/>
        <w:jc w:val="both"/>
        <w:textAlignment w:val="baseline"/>
        <w:rPr>
          <w:rFonts w:ascii="Cambria" w:hAnsi="Cambria"/>
          <w:lang w:val="sr-Latn-ME" w:eastAsia="sr-Latn-CS"/>
        </w:rPr>
      </w:pPr>
    </w:p>
    <w:p w:rsidR="00B202AA" w:rsidRDefault="00B202AA">
      <w:pPr>
        <w:widowControl w:val="0"/>
        <w:kinsoku w:val="0"/>
        <w:overflowPunct w:val="0"/>
        <w:jc w:val="both"/>
        <w:textAlignment w:val="baseline"/>
        <w:rPr>
          <w:rFonts w:ascii="Cambria" w:hAnsi="Cambria"/>
          <w:lang w:val="sr-Latn-ME" w:eastAsia="sr-Latn-CS"/>
        </w:rPr>
      </w:pPr>
    </w:p>
    <w:p w:rsidR="00B202AA" w:rsidRDefault="00B202AA">
      <w:pPr>
        <w:widowControl w:val="0"/>
        <w:kinsoku w:val="0"/>
        <w:overflowPunct w:val="0"/>
        <w:jc w:val="both"/>
        <w:textAlignment w:val="baseline"/>
        <w:rPr>
          <w:rFonts w:ascii="Cambria" w:hAnsi="Cambria"/>
          <w:lang w:val="sr-Latn-ME" w:eastAsia="sr-Latn-CS"/>
        </w:rPr>
      </w:pPr>
    </w:p>
    <w:p w:rsidR="00B202AA" w:rsidRDefault="00B202AA">
      <w:pPr>
        <w:widowControl w:val="0"/>
        <w:kinsoku w:val="0"/>
        <w:overflowPunct w:val="0"/>
        <w:jc w:val="both"/>
        <w:textAlignment w:val="baseline"/>
        <w:rPr>
          <w:rFonts w:ascii="Cambria" w:hAnsi="Cambria"/>
          <w:lang w:val="sr-Latn-ME" w:eastAsia="sr-Latn-CS"/>
        </w:rPr>
      </w:pPr>
    </w:p>
    <w:p w:rsidR="00B202AA" w:rsidRDefault="00B202AA">
      <w:pPr>
        <w:widowControl w:val="0"/>
        <w:kinsoku w:val="0"/>
        <w:overflowPunct w:val="0"/>
        <w:jc w:val="both"/>
        <w:textAlignment w:val="baseline"/>
        <w:rPr>
          <w:rFonts w:ascii="Cambria" w:hAnsi="Cambria"/>
          <w:lang w:val="sr-Latn-ME" w:eastAsia="sr-Latn-CS"/>
        </w:rPr>
      </w:pPr>
    </w:p>
    <w:p w:rsidR="00B202AA" w:rsidRDefault="00B202AA">
      <w:pPr>
        <w:widowControl w:val="0"/>
        <w:kinsoku w:val="0"/>
        <w:overflowPunct w:val="0"/>
        <w:jc w:val="both"/>
        <w:textAlignment w:val="baseline"/>
        <w:rPr>
          <w:rFonts w:ascii="Cambria" w:hAnsi="Cambria"/>
          <w:lang w:val="sr-Latn-ME" w:eastAsia="sr-Latn-CS"/>
        </w:rPr>
      </w:pPr>
    </w:p>
    <w:p w:rsidR="00B202AA" w:rsidRDefault="00B202AA">
      <w:pPr>
        <w:widowControl w:val="0"/>
        <w:kinsoku w:val="0"/>
        <w:overflowPunct w:val="0"/>
        <w:jc w:val="both"/>
        <w:textAlignment w:val="baseline"/>
        <w:rPr>
          <w:rFonts w:ascii="Cambria" w:hAnsi="Cambria"/>
          <w:lang w:val="sr-Latn-ME" w:eastAsia="sr-Latn-CS"/>
        </w:rPr>
      </w:pPr>
    </w:p>
    <w:p w:rsidR="00B202AA" w:rsidRDefault="00B202AA">
      <w:pPr>
        <w:spacing w:after="160" w:line="259" w:lineRule="auto"/>
        <w:rPr>
          <w:rFonts w:ascii="Cambria" w:eastAsiaTheme="minorHAnsi" w:hAnsi="Cambria" w:cstheme="minorBidi"/>
          <w:sz w:val="22"/>
          <w:szCs w:val="22"/>
        </w:rPr>
      </w:pPr>
    </w:p>
    <w:p w:rsidR="00B202AA" w:rsidRDefault="00A54945">
      <w:pPr>
        <w:keepNext/>
        <w:numPr>
          <w:ilvl w:val="0"/>
          <w:numId w:val="9"/>
        </w:numPr>
        <w:pBdr>
          <w:top w:val="single" w:sz="4" w:space="1" w:color="auto"/>
          <w:left w:val="single" w:sz="4" w:space="4" w:color="auto"/>
          <w:bottom w:val="single" w:sz="4" w:space="1" w:color="auto"/>
          <w:right w:val="single" w:sz="4" w:space="4" w:color="auto"/>
        </w:pBdr>
        <w:shd w:val="clear" w:color="auto" w:fill="BFBFBF" w:themeFill="background1" w:themeFillShade="BF"/>
        <w:spacing w:after="160" w:line="259" w:lineRule="auto"/>
        <w:ind w:left="0" w:firstLine="0"/>
        <w:outlineLvl w:val="0"/>
        <w:rPr>
          <w:rFonts w:ascii="Cambria" w:hAnsi="Cambria"/>
          <w:b/>
          <w:bCs/>
          <w:color w:val="000000"/>
        </w:rPr>
      </w:pPr>
      <w:r>
        <w:rPr>
          <w:rFonts w:ascii="Cambria" w:hAnsi="Cambria"/>
          <w:b/>
          <w:bCs/>
        </w:rPr>
        <w:lastRenderedPageBreak/>
        <w:t>IZJAVA NARUČIOCA O NEPOSTOJANJU SUKOBA INTERESA</w:t>
      </w:r>
    </w:p>
    <w:p w:rsidR="00B202AA" w:rsidRDefault="00A54945">
      <w:pPr>
        <w:widowControl w:val="0"/>
        <w:kinsoku w:val="0"/>
        <w:overflowPunct w:val="0"/>
        <w:jc w:val="center"/>
        <w:textAlignment w:val="baseline"/>
        <w:rPr>
          <w:rFonts w:ascii="Arial" w:hAnsi="Arial" w:cs="Arial"/>
          <w:b/>
          <w:sz w:val="22"/>
          <w:lang w:val="sr-Latn-ME" w:eastAsia="sr-Latn-CS"/>
        </w:rPr>
      </w:pPr>
      <w:r>
        <w:rPr>
          <w:rFonts w:ascii="Arial" w:hAnsi="Arial" w:cs="Arial"/>
          <w:b/>
          <w:sz w:val="22"/>
          <w:lang w:val="sr-Latn-ME" w:eastAsia="sr-Latn-CS"/>
        </w:rPr>
        <w:t>KOMISIJA ZA TRŽIŽTE KAPITALA</w:t>
      </w:r>
    </w:p>
    <w:p w:rsidR="00B202AA" w:rsidRDefault="00B202AA">
      <w:pPr>
        <w:widowControl w:val="0"/>
        <w:kinsoku w:val="0"/>
        <w:overflowPunct w:val="0"/>
        <w:jc w:val="center"/>
        <w:textAlignment w:val="baseline"/>
        <w:rPr>
          <w:rFonts w:ascii="Arial" w:hAnsi="Arial" w:cs="Arial"/>
          <w:b/>
          <w:sz w:val="22"/>
          <w:lang w:val="sr-Latn-ME" w:eastAsia="sr-Latn-CS"/>
        </w:rPr>
      </w:pPr>
    </w:p>
    <w:p w:rsidR="00D839BF" w:rsidRDefault="00A54945">
      <w:pPr>
        <w:widowControl w:val="0"/>
        <w:kinsoku w:val="0"/>
        <w:overflowPunct w:val="0"/>
        <w:textAlignment w:val="baseline"/>
        <w:rPr>
          <w:rFonts w:ascii="Arial" w:hAnsi="Arial" w:cs="Arial"/>
          <w:sz w:val="22"/>
          <w:lang w:val="sr-Latn-ME" w:eastAsia="sr-Latn-CS"/>
        </w:rPr>
      </w:pPr>
      <w:r>
        <w:rPr>
          <w:rFonts w:ascii="Arial" w:hAnsi="Arial" w:cs="Arial"/>
          <w:sz w:val="22"/>
          <w:lang w:val="sr-Latn-ME" w:eastAsia="sr-Latn-CS"/>
        </w:rPr>
        <w:t>Br.01/7-475/2-26</w:t>
      </w:r>
      <w:r>
        <w:rPr>
          <w:rFonts w:ascii="Arial" w:hAnsi="Arial" w:cs="Arial"/>
          <w:sz w:val="22"/>
          <w:lang w:val="sr-Latn-ME" w:eastAsia="sr-Latn-CS"/>
        </w:rPr>
        <w:tab/>
      </w:r>
      <w:r>
        <w:rPr>
          <w:rFonts w:ascii="Arial" w:hAnsi="Arial" w:cs="Arial"/>
          <w:sz w:val="22"/>
          <w:lang w:val="sr-Latn-ME" w:eastAsia="sr-Latn-CS"/>
        </w:rPr>
        <w:tab/>
      </w:r>
      <w:r>
        <w:rPr>
          <w:rFonts w:ascii="Arial" w:hAnsi="Arial" w:cs="Arial"/>
          <w:sz w:val="22"/>
          <w:lang w:val="sr-Latn-ME" w:eastAsia="sr-Latn-CS"/>
        </w:rPr>
        <w:tab/>
      </w:r>
      <w:r>
        <w:rPr>
          <w:rFonts w:ascii="Arial" w:hAnsi="Arial" w:cs="Arial"/>
          <w:sz w:val="22"/>
          <w:lang w:val="sr-Latn-ME" w:eastAsia="sr-Latn-CS"/>
        </w:rPr>
        <w:tab/>
      </w:r>
      <w:r>
        <w:rPr>
          <w:rFonts w:ascii="Arial" w:hAnsi="Arial" w:cs="Arial"/>
          <w:sz w:val="22"/>
          <w:lang w:val="sr-Latn-ME" w:eastAsia="sr-Latn-CS"/>
        </w:rPr>
        <w:tab/>
        <w:t xml:space="preserve">                  </w:t>
      </w:r>
      <w:r w:rsidR="00D839BF">
        <w:rPr>
          <w:rFonts w:ascii="Arial" w:hAnsi="Arial" w:cs="Arial"/>
          <w:sz w:val="22"/>
          <w:lang w:val="sr-Latn-ME" w:eastAsia="sr-Latn-CS"/>
        </w:rPr>
        <w:t xml:space="preserve">            </w:t>
      </w:r>
      <w:bookmarkStart w:id="0" w:name="_GoBack"/>
      <w:bookmarkEnd w:id="0"/>
      <w:r>
        <w:rPr>
          <w:rFonts w:ascii="Arial" w:hAnsi="Arial" w:cs="Arial"/>
          <w:sz w:val="22"/>
          <w:lang w:val="sr-Latn-ME" w:eastAsia="sr-Latn-CS"/>
        </w:rPr>
        <w:t xml:space="preserve">Podgorica, 14.05.2026. </w:t>
      </w:r>
    </w:p>
    <w:p w:rsidR="00B202AA" w:rsidRDefault="00A54945">
      <w:pPr>
        <w:widowControl w:val="0"/>
        <w:kinsoku w:val="0"/>
        <w:overflowPunct w:val="0"/>
        <w:textAlignment w:val="baseline"/>
        <w:rPr>
          <w:rFonts w:ascii="Arial" w:hAnsi="Arial" w:cs="Arial"/>
          <w:sz w:val="22"/>
          <w:lang w:val="sr-Latn-ME" w:eastAsia="sr-Latn-CS"/>
        </w:rPr>
      </w:pPr>
      <w:r>
        <w:rPr>
          <w:rFonts w:ascii="Arial" w:hAnsi="Arial" w:cs="Arial"/>
          <w:sz w:val="22"/>
          <w:lang w:val="sr-Latn-ME" w:eastAsia="sr-Latn-CS"/>
        </w:rPr>
        <w:t>godine</w:t>
      </w:r>
    </w:p>
    <w:p w:rsidR="00B202AA" w:rsidRDefault="00B202AA">
      <w:pPr>
        <w:widowControl w:val="0"/>
        <w:kinsoku w:val="0"/>
        <w:overflowPunct w:val="0"/>
        <w:textAlignment w:val="baseline"/>
        <w:rPr>
          <w:rFonts w:ascii="Arial" w:hAnsi="Arial" w:cs="Arial"/>
          <w:b/>
          <w:color w:val="FF0000"/>
          <w:sz w:val="22"/>
          <w:lang w:val="sr-Latn-ME" w:eastAsia="sr-Latn-CS"/>
        </w:rPr>
      </w:pPr>
    </w:p>
    <w:p w:rsidR="00B202AA" w:rsidRDefault="00A54945">
      <w:pPr>
        <w:widowControl w:val="0"/>
        <w:kinsoku w:val="0"/>
        <w:overflowPunct w:val="0"/>
        <w:ind w:firstLine="720"/>
        <w:jc w:val="both"/>
        <w:textAlignment w:val="baseline"/>
        <w:rPr>
          <w:rFonts w:ascii="Arial" w:hAnsi="Arial" w:cs="Arial"/>
          <w:sz w:val="22"/>
          <w:lang w:val="sr-Latn-ME" w:eastAsia="sr-Latn-CS"/>
        </w:rPr>
      </w:pPr>
      <w:r>
        <w:rPr>
          <w:rFonts w:ascii="Arial" w:hAnsi="Arial" w:cs="Arial"/>
          <w:sz w:val="22"/>
          <w:lang w:val="sr-Latn-ME" w:eastAsia="sr-Latn-CS"/>
        </w:rPr>
        <w:t xml:space="preserve">U skladu sa članom 43 stav 1 Zakona o javnim nabavkama </w:t>
      </w:r>
      <w:r>
        <w:rPr>
          <w:rFonts w:ascii="Arial" w:hAnsi="Arial" w:cs="Arial"/>
          <w:lang w:val="sr-Latn-CS"/>
        </w:rPr>
        <w:t>(“Sl. list CG” br. 74/19, 03/23 i 11/23)</w:t>
      </w:r>
    </w:p>
    <w:p w:rsidR="00B202AA" w:rsidRDefault="00A54945">
      <w:pPr>
        <w:widowControl w:val="0"/>
        <w:kinsoku w:val="0"/>
        <w:overflowPunct w:val="0"/>
        <w:jc w:val="center"/>
        <w:textAlignment w:val="baseline"/>
        <w:rPr>
          <w:rFonts w:ascii="Arial" w:hAnsi="Arial" w:cs="Arial"/>
          <w:b/>
          <w:sz w:val="22"/>
          <w:lang w:val="sr-Latn-ME" w:eastAsia="sr-Latn-CS"/>
        </w:rPr>
      </w:pPr>
      <w:r>
        <w:rPr>
          <w:rFonts w:ascii="Arial" w:hAnsi="Arial" w:cs="Arial"/>
          <w:b/>
          <w:sz w:val="22"/>
          <w:lang w:val="sr-Latn-ME" w:eastAsia="sr-Latn-CS"/>
        </w:rPr>
        <w:t>IZJAVLJUJEM</w:t>
      </w:r>
    </w:p>
    <w:p w:rsidR="00B202AA" w:rsidRDefault="00B202AA">
      <w:pPr>
        <w:widowControl w:val="0"/>
        <w:kinsoku w:val="0"/>
        <w:overflowPunct w:val="0"/>
        <w:jc w:val="both"/>
        <w:textAlignment w:val="baseline"/>
        <w:rPr>
          <w:rFonts w:ascii="Arial" w:hAnsi="Arial" w:cs="Arial"/>
          <w:sz w:val="22"/>
          <w:lang w:val="sr-Latn-ME" w:eastAsia="sr-Latn-CS"/>
        </w:rPr>
      </w:pPr>
    </w:p>
    <w:p w:rsidR="00B202AA" w:rsidRDefault="00A54945">
      <w:pPr>
        <w:jc w:val="both"/>
        <w:rPr>
          <w:rFonts w:ascii="Arial" w:hAnsi="Arial" w:cs="Arial"/>
          <w:lang w:val="sr-Latn-CS"/>
        </w:rPr>
      </w:pPr>
      <w:r>
        <w:rPr>
          <w:rFonts w:ascii="Arial" w:hAnsi="Arial" w:cs="Arial"/>
          <w:sz w:val="22"/>
          <w:szCs w:val="22"/>
          <w:lang w:val="sr-Latn-ME" w:eastAsia="sr-Latn-CS"/>
        </w:rPr>
        <w:t xml:space="preserve">da u postupku javne nabavke redni broj </w:t>
      </w:r>
      <w:r w:rsidR="009721C1">
        <w:rPr>
          <w:rFonts w:ascii="Arial" w:hAnsi="Arial" w:cs="Arial"/>
          <w:sz w:val="22"/>
          <w:szCs w:val="22"/>
          <w:lang w:val="sr-Latn-ME" w:eastAsia="sr-Latn-CS"/>
        </w:rPr>
        <w:t>7</w:t>
      </w:r>
      <w:r>
        <w:rPr>
          <w:rFonts w:ascii="Arial" w:hAnsi="Arial" w:cs="Arial"/>
          <w:sz w:val="22"/>
          <w:szCs w:val="22"/>
          <w:lang w:val="sr-Latn-ME" w:eastAsia="sr-Latn-CS"/>
        </w:rPr>
        <w:t xml:space="preserve"> iz Plana javne nabavke</w:t>
      </w:r>
      <w:r>
        <w:rPr>
          <w:rFonts w:ascii="Arial" w:hAnsi="Arial"/>
          <w:sz w:val="22"/>
          <w:szCs w:val="22"/>
          <w:lang w:val="sr-Latn-ME" w:eastAsia="sr-Latn-CS"/>
        </w:rPr>
        <w:t xml:space="preserve"> broj: 01/7-44/1-26 od 20.01.2026. godine i Izmjena i dopune Plana javnih nabavki broj 01/7-44/3- 26 od 29.04.2026.godine, za nabavku usluge - Unapređenje SupTech rješenja za nadzor tržišta kapitala za potrebe Komisije za tržište kapitala</w:t>
      </w:r>
      <w:r>
        <w:rPr>
          <w:rFonts w:ascii="Arial" w:hAnsi="Arial" w:cs="Arial"/>
          <w:sz w:val="22"/>
          <w:szCs w:val="22"/>
          <w:lang w:val="sr-Latn-ME" w:eastAsia="sr-Latn-CS"/>
        </w:rPr>
        <w:t>, nijesam u sukobu interesa u smislu člana 41 stav 1 tačka 1 Zakona o javnim nabavkama i da ne postoji ekonomski i drugi lični interes koji može uticati na moju nepristrasnost i nezavisnost u ovom postupku javne nabavke</w:t>
      </w:r>
      <w:r>
        <w:rPr>
          <w:rFonts w:ascii="Arial" w:hAnsi="Arial" w:cs="Arial"/>
          <w:sz w:val="22"/>
          <w:lang w:val="sr-Latn-ME" w:eastAsia="sr-Latn-CS"/>
        </w:rPr>
        <w:t>.</w:t>
      </w:r>
    </w:p>
    <w:p w:rsidR="00B202AA" w:rsidRDefault="00B202AA">
      <w:pPr>
        <w:widowControl w:val="0"/>
        <w:kinsoku w:val="0"/>
        <w:overflowPunct w:val="0"/>
        <w:jc w:val="right"/>
        <w:textAlignment w:val="baseline"/>
        <w:rPr>
          <w:rFonts w:ascii="Arial" w:hAnsi="Arial" w:cs="Arial"/>
          <w:sz w:val="22"/>
          <w:lang w:val="sr-Latn-ME" w:eastAsia="sr-Latn-CS"/>
        </w:rPr>
      </w:pPr>
    </w:p>
    <w:p w:rsidR="00B202AA" w:rsidRDefault="00B202AA">
      <w:pPr>
        <w:widowControl w:val="0"/>
        <w:kinsoku w:val="0"/>
        <w:overflowPunct w:val="0"/>
        <w:jc w:val="right"/>
        <w:textAlignment w:val="baseline"/>
        <w:rPr>
          <w:rFonts w:ascii="Arial" w:hAnsi="Arial" w:cs="Arial"/>
          <w:sz w:val="22"/>
          <w:lang w:val="sr-Latn-ME" w:eastAsia="sr-Latn-CS"/>
        </w:rPr>
      </w:pPr>
    </w:p>
    <w:p w:rsidR="00B202AA" w:rsidRDefault="00A54945">
      <w:pPr>
        <w:widowControl w:val="0"/>
        <w:kinsoku w:val="0"/>
        <w:wordWrap w:val="0"/>
        <w:overflowPunct w:val="0"/>
        <w:jc w:val="right"/>
        <w:textAlignment w:val="baseline"/>
        <w:rPr>
          <w:rFonts w:ascii="Arial" w:hAnsi="Arial" w:cs="Arial"/>
          <w:sz w:val="22"/>
          <w:lang w:val="sr-Latn-ME" w:eastAsia="sr-Latn-CS"/>
        </w:rPr>
      </w:pPr>
      <w:r>
        <w:rPr>
          <w:rFonts w:ascii="Arial" w:hAnsi="Arial" w:cs="Arial"/>
          <w:sz w:val="22"/>
          <w:lang w:val="sr-Latn-ME" w:eastAsia="sr-Latn-CS"/>
        </w:rPr>
        <w:t xml:space="preserve">                           Ovlašćeno lice naručioca:  Željko Drinčić,</w:t>
      </w:r>
    </w:p>
    <w:p w:rsidR="00B202AA" w:rsidRDefault="00A54945">
      <w:pPr>
        <w:widowControl w:val="0"/>
        <w:kinsoku w:val="0"/>
        <w:overflowPunct w:val="0"/>
        <w:jc w:val="right"/>
        <w:textAlignment w:val="baseline"/>
        <w:rPr>
          <w:rFonts w:ascii="Arial" w:hAnsi="Arial" w:cs="Arial"/>
          <w:sz w:val="22"/>
          <w:lang w:val="sr-Latn-ME" w:eastAsia="sr-Latn-CS"/>
        </w:rPr>
      </w:pPr>
      <w:r>
        <w:rPr>
          <w:rFonts w:ascii="Arial" w:hAnsi="Arial" w:cs="Arial"/>
          <w:sz w:val="22"/>
          <w:lang w:val="sr-Latn-ME" w:eastAsia="sr-Latn-CS"/>
        </w:rPr>
        <w:t xml:space="preserve">                                                                                                              _________________________</w:t>
      </w:r>
    </w:p>
    <w:p w:rsidR="00B202AA" w:rsidRDefault="00A54945">
      <w:pPr>
        <w:widowControl w:val="0"/>
        <w:kinsoku w:val="0"/>
        <w:overflowPunct w:val="0"/>
        <w:jc w:val="center"/>
        <w:textAlignment w:val="baseline"/>
        <w:rPr>
          <w:rFonts w:ascii="Arial" w:hAnsi="Arial" w:cs="Arial"/>
          <w:sz w:val="22"/>
          <w:lang w:val="sr-Latn-ME" w:eastAsia="sr-Latn-CS"/>
        </w:rPr>
      </w:pPr>
      <w:r>
        <w:rPr>
          <w:rFonts w:ascii="Arial" w:hAnsi="Arial" w:cs="Arial"/>
          <w:sz w:val="22"/>
          <w:lang w:val="sr-Latn-ME" w:eastAsia="sr-Latn-CS"/>
        </w:rPr>
        <w:t xml:space="preserve">                                                                                                                                               s.r.</w:t>
      </w:r>
    </w:p>
    <w:p w:rsidR="00B202AA" w:rsidRDefault="00A54945">
      <w:pPr>
        <w:widowControl w:val="0"/>
        <w:kinsoku w:val="0"/>
        <w:overflowPunct w:val="0"/>
        <w:jc w:val="right"/>
        <w:textAlignment w:val="baseline"/>
        <w:rPr>
          <w:rFonts w:ascii="Arial" w:hAnsi="Arial" w:cs="Arial"/>
          <w:sz w:val="22"/>
          <w:lang w:val="sr-Latn-ME" w:eastAsia="sr-Latn-CS"/>
        </w:rPr>
      </w:pPr>
      <w:r>
        <w:rPr>
          <w:rFonts w:ascii="Arial" w:hAnsi="Arial" w:cs="Arial"/>
          <w:sz w:val="22"/>
          <w:lang w:val="sr-Latn-ME" w:eastAsia="sr-Latn-CS"/>
        </w:rPr>
        <w:t>Službenik za javne nabavke: Oliver Bodven, dipl. pravnik sa položenim ispitom za rad na poslovima javnih nabavke, broj uvjerenja 01-3646 od 25.04.2016. godine</w:t>
      </w:r>
    </w:p>
    <w:p w:rsidR="00B202AA" w:rsidRDefault="00B202AA">
      <w:pPr>
        <w:widowControl w:val="0"/>
        <w:kinsoku w:val="0"/>
        <w:overflowPunct w:val="0"/>
        <w:jc w:val="right"/>
        <w:textAlignment w:val="baseline"/>
        <w:rPr>
          <w:rFonts w:ascii="Arial" w:hAnsi="Arial" w:cs="Arial"/>
          <w:sz w:val="22"/>
          <w:lang w:val="sr-Latn-ME" w:eastAsia="sr-Latn-CS"/>
        </w:rPr>
      </w:pPr>
    </w:p>
    <w:p w:rsidR="00B202AA" w:rsidRDefault="00A54945">
      <w:pPr>
        <w:widowControl w:val="0"/>
        <w:kinsoku w:val="0"/>
        <w:overflowPunct w:val="0"/>
        <w:jc w:val="right"/>
        <w:textAlignment w:val="baseline"/>
        <w:rPr>
          <w:rFonts w:ascii="Arial" w:hAnsi="Arial" w:cs="Arial"/>
          <w:sz w:val="22"/>
          <w:lang w:val="sr-Latn-ME" w:eastAsia="sr-Latn-CS"/>
        </w:rPr>
      </w:pPr>
      <w:r>
        <w:rPr>
          <w:rFonts w:ascii="Arial" w:hAnsi="Arial" w:cs="Arial"/>
          <w:sz w:val="22"/>
          <w:lang w:val="sr-Latn-ME" w:eastAsia="sr-Latn-CS"/>
        </w:rPr>
        <w:t>__________________________</w:t>
      </w:r>
    </w:p>
    <w:p w:rsidR="00B202AA" w:rsidRDefault="00A54945">
      <w:pPr>
        <w:widowControl w:val="0"/>
        <w:kinsoku w:val="0"/>
        <w:overflowPunct w:val="0"/>
        <w:jc w:val="right"/>
        <w:textAlignment w:val="baseline"/>
        <w:rPr>
          <w:rFonts w:ascii="Arial" w:hAnsi="Arial" w:cs="Arial"/>
          <w:sz w:val="22"/>
          <w:lang w:val="sr-Latn-ME" w:eastAsia="sr-Latn-CS"/>
        </w:rPr>
      </w:pPr>
      <w:r>
        <w:rPr>
          <w:rFonts w:ascii="Arial" w:hAnsi="Arial" w:cs="Arial"/>
          <w:sz w:val="22"/>
          <w:lang w:val="sr-Latn-ME" w:eastAsia="sr-Latn-CS"/>
        </w:rPr>
        <w:t>s.r.</w:t>
      </w:r>
    </w:p>
    <w:p w:rsidR="00B202AA" w:rsidRDefault="00A54945">
      <w:pPr>
        <w:widowControl w:val="0"/>
        <w:kinsoku w:val="0"/>
        <w:overflowPunct w:val="0"/>
        <w:jc w:val="right"/>
        <w:textAlignment w:val="baseline"/>
        <w:rPr>
          <w:rFonts w:ascii="Arial" w:hAnsi="Arial" w:cs="Arial"/>
          <w:sz w:val="22"/>
          <w:lang w:val="sr-Latn-ME" w:eastAsia="sr-Latn-CS"/>
        </w:rPr>
      </w:pPr>
      <w:r>
        <w:rPr>
          <w:rFonts w:ascii="Arial" w:hAnsi="Arial" w:cs="Arial"/>
          <w:sz w:val="22"/>
          <w:lang w:val="sr-Latn-ME" w:eastAsia="sr-Latn-CS"/>
        </w:rPr>
        <w:t xml:space="preserve">            Lice koje je učestvovalo u planiranju javne nabavke, Danilo Gluščević,   </w:t>
      </w:r>
    </w:p>
    <w:p w:rsidR="00B202AA" w:rsidRDefault="00B202AA">
      <w:pPr>
        <w:widowControl w:val="0"/>
        <w:kinsoku w:val="0"/>
        <w:overflowPunct w:val="0"/>
        <w:jc w:val="right"/>
        <w:textAlignment w:val="baseline"/>
        <w:rPr>
          <w:rFonts w:ascii="Arial" w:hAnsi="Arial" w:cs="Arial"/>
          <w:sz w:val="22"/>
          <w:lang w:val="sr-Latn-ME" w:eastAsia="sr-Latn-CS"/>
        </w:rPr>
      </w:pPr>
    </w:p>
    <w:p w:rsidR="00B202AA" w:rsidRDefault="00A54945">
      <w:pPr>
        <w:widowControl w:val="0"/>
        <w:kinsoku w:val="0"/>
        <w:overflowPunct w:val="0"/>
        <w:jc w:val="right"/>
        <w:textAlignment w:val="baseline"/>
        <w:rPr>
          <w:rFonts w:ascii="Arial" w:hAnsi="Arial" w:cs="Arial"/>
          <w:sz w:val="22"/>
          <w:lang w:val="sr-Latn-ME" w:eastAsia="sr-Latn-CS"/>
        </w:rPr>
      </w:pPr>
      <w:r>
        <w:rPr>
          <w:rFonts w:ascii="Arial" w:hAnsi="Arial" w:cs="Arial"/>
          <w:sz w:val="22"/>
          <w:lang w:val="sr-Latn-ME" w:eastAsia="sr-Latn-CS"/>
        </w:rPr>
        <w:t xml:space="preserve">                                                                                                  __________________________</w:t>
      </w:r>
    </w:p>
    <w:p w:rsidR="00B202AA" w:rsidRDefault="00A54945">
      <w:pPr>
        <w:widowControl w:val="0"/>
        <w:kinsoku w:val="0"/>
        <w:overflowPunct w:val="0"/>
        <w:jc w:val="right"/>
        <w:textAlignment w:val="baseline"/>
        <w:rPr>
          <w:rFonts w:ascii="Arial" w:hAnsi="Arial" w:cs="Arial"/>
          <w:sz w:val="22"/>
          <w:lang w:val="sr-Latn-ME" w:eastAsia="sr-Latn-CS"/>
        </w:rPr>
      </w:pPr>
      <w:r>
        <w:rPr>
          <w:rFonts w:ascii="Arial" w:hAnsi="Arial" w:cs="Arial"/>
          <w:sz w:val="22"/>
          <w:lang w:val="sr-Latn-ME" w:eastAsia="sr-Latn-CS"/>
        </w:rPr>
        <w:t>s.r.</w:t>
      </w:r>
    </w:p>
    <w:p w:rsidR="00B202AA" w:rsidRDefault="00B202AA">
      <w:pPr>
        <w:widowControl w:val="0"/>
        <w:kinsoku w:val="0"/>
        <w:overflowPunct w:val="0"/>
        <w:jc w:val="right"/>
        <w:textAlignment w:val="baseline"/>
        <w:rPr>
          <w:rFonts w:ascii="Arial" w:hAnsi="Arial" w:cs="Arial"/>
          <w:sz w:val="22"/>
          <w:lang w:val="sr-Latn-ME" w:eastAsia="sr-Latn-CS"/>
        </w:rPr>
      </w:pPr>
    </w:p>
    <w:p w:rsidR="00B202AA" w:rsidRDefault="00A54945">
      <w:pPr>
        <w:widowControl w:val="0"/>
        <w:kinsoku w:val="0"/>
        <w:overflowPunct w:val="0"/>
        <w:jc w:val="right"/>
        <w:textAlignment w:val="baseline"/>
        <w:rPr>
          <w:rFonts w:ascii="Arial" w:hAnsi="Arial" w:cs="Arial"/>
          <w:sz w:val="22"/>
          <w:lang w:val="sr-Latn-ME" w:eastAsia="sr-Latn-CS"/>
        </w:rPr>
      </w:pPr>
      <w:r>
        <w:rPr>
          <w:rFonts w:ascii="Arial" w:hAnsi="Arial" w:cs="Arial"/>
          <w:sz w:val="22"/>
          <w:lang w:val="sr-Latn-ME" w:eastAsia="sr-Latn-CS"/>
        </w:rPr>
        <w:t xml:space="preserve">            Predsjednik komisije za sprovođenje postupka javne nabavke, Danilo Gluščević,  </w:t>
      </w:r>
    </w:p>
    <w:p w:rsidR="00B202AA" w:rsidRDefault="00B202AA">
      <w:pPr>
        <w:widowControl w:val="0"/>
        <w:kinsoku w:val="0"/>
        <w:overflowPunct w:val="0"/>
        <w:jc w:val="right"/>
        <w:textAlignment w:val="baseline"/>
        <w:rPr>
          <w:rFonts w:ascii="Arial" w:hAnsi="Arial" w:cs="Arial"/>
          <w:sz w:val="22"/>
          <w:lang w:val="sr-Latn-ME" w:eastAsia="sr-Latn-CS"/>
        </w:rPr>
      </w:pPr>
    </w:p>
    <w:p w:rsidR="00B202AA" w:rsidRDefault="00A54945">
      <w:pPr>
        <w:widowControl w:val="0"/>
        <w:kinsoku w:val="0"/>
        <w:overflowPunct w:val="0"/>
        <w:jc w:val="right"/>
        <w:textAlignment w:val="baseline"/>
        <w:rPr>
          <w:rFonts w:ascii="Arial" w:hAnsi="Arial" w:cs="Arial"/>
          <w:sz w:val="22"/>
          <w:lang w:val="sr-Latn-ME" w:eastAsia="sr-Latn-CS"/>
        </w:rPr>
      </w:pPr>
      <w:r>
        <w:rPr>
          <w:rFonts w:ascii="Arial" w:hAnsi="Arial" w:cs="Arial"/>
          <w:sz w:val="22"/>
          <w:lang w:val="sr-Latn-ME" w:eastAsia="sr-Latn-CS"/>
        </w:rPr>
        <w:t xml:space="preserve">                                                                                              __________________________</w:t>
      </w:r>
    </w:p>
    <w:p w:rsidR="00B202AA" w:rsidRDefault="00A54945">
      <w:pPr>
        <w:widowControl w:val="0"/>
        <w:kinsoku w:val="0"/>
        <w:overflowPunct w:val="0"/>
        <w:jc w:val="right"/>
        <w:textAlignment w:val="baseline"/>
        <w:rPr>
          <w:rFonts w:ascii="Arial" w:hAnsi="Arial" w:cs="Arial"/>
          <w:sz w:val="22"/>
          <w:lang w:val="sr-Latn-ME" w:eastAsia="sr-Latn-CS"/>
        </w:rPr>
      </w:pPr>
      <w:r>
        <w:rPr>
          <w:rFonts w:ascii="Arial" w:hAnsi="Arial" w:cs="Arial"/>
          <w:sz w:val="22"/>
          <w:lang w:val="sr-Latn-ME" w:eastAsia="sr-Latn-CS"/>
        </w:rPr>
        <w:t>s.r.</w:t>
      </w:r>
    </w:p>
    <w:p w:rsidR="00B202AA" w:rsidRDefault="00A54945">
      <w:pPr>
        <w:widowControl w:val="0"/>
        <w:kinsoku w:val="0"/>
        <w:overflowPunct w:val="0"/>
        <w:jc w:val="center"/>
        <w:textAlignment w:val="baseline"/>
        <w:rPr>
          <w:rFonts w:ascii="Arial" w:hAnsi="Arial" w:cs="Arial"/>
          <w:sz w:val="22"/>
          <w:lang w:val="sr-Latn-ME" w:eastAsia="sr-Latn-CS"/>
        </w:rPr>
      </w:pPr>
      <w:r>
        <w:rPr>
          <w:rFonts w:ascii="Arial" w:hAnsi="Arial" w:cs="Arial"/>
          <w:sz w:val="22"/>
          <w:lang w:val="sr-Latn-ME" w:eastAsia="sr-Latn-CS"/>
        </w:rPr>
        <w:t xml:space="preserve">                                                                                   </w:t>
      </w:r>
    </w:p>
    <w:p w:rsidR="00B202AA" w:rsidRDefault="00A54945">
      <w:pPr>
        <w:widowControl w:val="0"/>
        <w:kinsoku w:val="0"/>
        <w:overflowPunct w:val="0"/>
        <w:jc w:val="right"/>
        <w:textAlignment w:val="baseline"/>
        <w:rPr>
          <w:rFonts w:ascii="Arial" w:hAnsi="Arial" w:cs="Arial"/>
          <w:sz w:val="22"/>
          <w:lang w:val="sr-Latn-ME" w:eastAsia="sr-Latn-CS"/>
        </w:rPr>
      </w:pPr>
      <w:r>
        <w:rPr>
          <w:rFonts w:ascii="Arial" w:hAnsi="Arial" w:cs="Arial"/>
          <w:sz w:val="22"/>
          <w:lang w:val="sr-Latn-ME" w:eastAsia="sr-Latn-CS"/>
        </w:rPr>
        <w:t xml:space="preserve">       Član komisije za sprovođenje postupka javne nabavke, Dmitar Ćulafić,</w:t>
      </w:r>
    </w:p>
    <w:p w:rsidR="00B202AA" w:rsidRDefault="00B202AA">
      <w:pPr>
        <w:widowControl w:val="0"/>
        <w:kinsoku w:val="0"/>
        <w:overflowPunct w:val="0"/>
        <w:jc w:val="right"/>
        <w:textAlignment w:val="baseline"/>
        <w:rPr>
          <w:rFonts w:ascii="Arial" w:hAnsi="Arial" w:cs="Arial"/>
          <w:sz w:val="22"/>
          <w:lang w:val="sr-Latn-ME" w:eastAsia="sr-Latn-CS"/>
        </w:rPr>
      </w:pPr>
    </w:p>
    <w:p w:rsidR="00B202AA" w:rsidRDefault="00A54945">
      <w:pPr>
        <w:widowControl w:val="0"/>
        <w:kinsoku w:val="0"/>
        <w:overflowPunct w:val="0"/>
        <w:jc w:val="right"/>
        <w:textAlignment w:val="baseline"/>
        <w:rPr>
          <w:rFonts w:ascii="Arial" w:hAnsi="Arial" w:cs="Arial"/>
          <w:sz w:val="22"/>
          <w:lang w:val="sr-Latn-ME" w:eastAsia="sr-Latn-CS"/>
        </w:rPr>
      </w:pPr>
      <w:r>
        <w:rPr>
          <w:rFonts w:ascii="Arial" w:hAnsi="Arial" w:cs="Arial"/>
          <w:sz w:val="22"/>
          <w:lang w:val="sr-Latn-ME" w:eastAsia="sr-Latn-CS"/>
        </w:rPr>
        <w:t>__________________________</w:t>
      </w:r>
    </w:p>
    <w:p w:rsidR="00B202AA" w:rsidRDefault="00A54945">
      <w:pPr>
        <w:widowControl w:val="0"/>
        <w:kinsoku w:val="0"/>
        <w:overflowPunct w:val="0"/>
        <w:jc w:val="right"/>
        <w:textAlignment w:val="baseline"/>
        <w:rPr>
          <w:rFonts w:ascii="Arial" w:hAnsi="Arial" w:cs="Arial"/>
          <w:sz w:val="22"/>
          <w:lang w:val="sr-Latn-ME" w:eastAsia="sr-Latn-CS"/>
        </w:rPr>
      </w:pPr>
      <w:r>
        <w:rPr>
          <w:rFonts w:ascii="Arial" w:hAnsi="Arial" w:cs="Arial"/>
          <w:sz w:val="22"/>
          <w:lang w:val="sr-Latn-ME" w:eastAsia="sr-Latn-CS"/>
        </w:rPr>
        <w:t xml:space="preserve">s.r.                                                                                      </w:t>
      </w:r>
    </w:p>
    <w:p w:rsidR="00B202AA" w:rsidRDefault="00A54945">
      <w:pPr>
        <w:widowControl w:val="0"/>
        <w:kinsoku w:val="0"/>
        <w:overflowPunct w:val="0"/>
        <w:jc w:val="right"/>
        <w:textAlignment w:val="baseline"/>
        <w:rPr>
          <w:rFonts w:ascii="Arial" w:hAnsi="Arial" w:cs="Arial"/>
          <w:sz w:val="22"/>
          <w:lang w:val="sr-Latn-ME" w:eastAsia="sr-Latn-CS"/>
        </w:rPr>
      </w:pPr>
      <w:r>
        <w:rPr>
          <w:rFonts w:ascii="Arial" w:hAnsi="Arial" w:cs="Arial"/>
          <w:sz w:val="22"/>
          <w:lang w:val="sr-Latn-ME" w:eastAsia="sr-Latn-CS"/>
        </w:rPr>
        <w:t>Član komisije za sprovođenje postupka javne nabavke, Oliver Bodven, dipl. pravnik sa položenim ispitom za rad na poslovima javnih nabavke, broj uvjerenja 01-3646 od 25.04.2016.</w:t>
      </w:r>
    </w:p>
    <w:p w:rsidR="00B202AA" w:rsidRDefault="00B202AA">
      <w:pPr>
        <w:widowControl w:val="0"/>
        <w:kinsoku w:val="0"/>
        <w:overflowPunct w:val="0"/>
        <w:jc w:val="center"/>
        <w:textAlignment w:val="baseline"/>
        <w:rPr>
          <w:rFonts w:ascii="Arial" w:hAnsi="Arial" w:cs="Arial"/>
          <w:sz w:val="22"/>
          <w:lang w:val="sr-Latn-ME" w:eastAsia="sr-Latn-CS"/>
        </w:rPr>
      </w:pPr>
    </w:p>
    <w:p w:rsidR="00B202AA" w:rsidRDefault="00A54945">
      <w:pPr>
        <w:widowControl w:val="0"/>
        <w:kinsoku w:val="0"/>
        <w:overflowPunct w:val="0"/>
        <w:jc w:val="right"/>
        <w:textAlignment w:val="baseline"/>
        <w:rPr>
          <w:rFonts w:ascii="Arial" w:hAnsi="Arial" w:cs="Arial"/>
          <w:sz w:val="22"/>
          <w:lang w:val="sr-Latn-ME" w:eastAsia="sr-Latn-CS"/>
        </w:rPr>
      </w:pPr>
      <w:r>
        <w:rPr>
          <w:rFonts w:ascii="Arial" w:hAnsi="Arial" w:cs="Arial"/>
          <w:sz w:val="22"/>
          <w:lang w:val="sr-Latn-ME" w:eastAsia="sr-Latn-CS"/>
        </w:rPr>
        <w:t>_________________________</w:t>
      </w:r>
    </w:p>
    <w:p w:rsidR="00B202AA" w:rsidRDefault="00A54945">
      <w:pPr>
        <w:widowControl w:val="0"/>
        <w:kinsoku w:val="0"/>
        <w:overflowPunct w:val="0"/>
        <w:jc w:val="right"/>
        <w:textAlignment w:val="baseline"/>
        <w:rPr>
          <w:rFonts w:ascii="Arial" w:hAnsi="Arial" w:cs="Arial"/>
          <w:sz w:val="22"/>
          <w:lang w:val="sr-Latn-ME" w:eastAsia="sr-Latn-CS"/>
        </w:rPr>
      </w:pPr>
      <w:r>
        <w:rPr>
          <w:rFonts w:ascii="Arial" w:hAnsi="Arial" w:cs="Arial"/>
          <w:sz w:val="22"/>
          <w:lang w:val="sr-Latn-ME" w:eastAsia="sr-Latn-CS"/>
        </w:rPr>
        <w:t>s.r.</w:t>
      </w:r>
    </w:p>
    <w:p w:rsidR="00B202AA" w:rsidRDefault="00B202AA">
      <w:pPr>
        <w:widowControl w:val="0"/>
        <w:kinsoku w:val="0"/>
        <w:overflowPunct w:val="0"/>
        <w:jc w:val="center"/>
        <w:textAlignment w:val="baseline"/>
        <w:rPr>
          <w:rFonts w:ascii="Arial" w:hAnsi="Arial" w:cs="Arial"/>
          <w:b/>
          <w:sz w:val="22"/>
          <w:lang w:val="sr-Latn-ME" w:eastAsia="sr-Latn-CS"/>
        </w:rPr>
      </w:pPr>
    </w:p>
    <w:p w:rsidR="00B202AA" w:rsidRDefault="00B202AA">
      <w:pPr>
        <w:widowControl w:val="0"/>
        <w:kinsoku w:val="0"/>
        <w:overflowPunct w:val="0"/>
        <w:jc w:val="both"/>
        <w:textAlignment w:val="baseline"/>
        <w:rPr>
          <w:rFonts w:ascii="Cambria" w:hAnsi="Cambria"/>
          <w:lang w:val="sr-Latn-ME" w:eastAsia="sr-Latn-CS"/>
        </w:rPr>
      </w:pPr>
    </w:p>
    <w:p w:rsidR="00B202AA" w:rsidRDefault="00B202AA">
      <w:pPr>
        <w:widowControl w:val="0"/>
        <w:kinsoku w:val="0"/>
        <w:overflowPunct w:val="0"/>
        <w:textAlignment w:val="baseline"/>
        <w:rPr>
          <w:rFonts w:ascii="Cambria" w:hAnsi="Cambria"/>
          <w:lang w:val="sr-Latn-ME" w:eastAsia="sr-Latn-CS"/>
        </w:rPr>
      </w:pPr>
    </w:p>
    <w:p w:rsidR="00B202AA" w:rsidRDefault="00B202AA">
      <w:pPr>
        <w:widowControl w:val="0"/>
        <w:kinsoku w:val="0"/>
        <w:overflowPunct w:val="0"/>
        <w:jc w:val="right"/>
        <w:textAlignment w:val="baseline"/>
        <w:rPr>
          <w:rFonts w:ascii="Cambria" w:hAnsi="Cambria"/>
          <w:lang w:val="sr-Latn-ME" w:eastAsia="sr-Latn-CS"/>
        </w:rPr>
      </w:pPr>
    </w:p>
    <w:p w:rsidR="00B202AA" w:rsidRDefault="00A54945">
      <w:pPr>
        <w:keepNext/>
        <w:keepLines/>
        <w:pBdr>
          <w:top w:val="single" w:sz="4" w:space="1" w:color="auto"/>
          <w:left w:val="single" w:sz="4" w:space="4" w:color="auto"/>
          <w:bottom w:val="single" w:sz="4" w:space="1" w:color="auto"/>
          <w:right w:val="single" w:sz="4" w:space="4" w:color="auto"/>
        </w:pBdr>
        <w:shd w:val="clear" w:color="auto" w:fill="D9D9D9"/>
        <w:spacing w:before="240"/>
        <w:outlineLvl w:val="0"/>
        <w:rPr>
          <w:rFonts w:ascii="Cambria" w:hAnsi="Cambria"/>
          <w:b/>
          <w:iCs/>
          <w:szCs w:val="28"/>
          <w:lang w:val="sr-Latn-ME"/>
        </w:rPr>
      </w:pPr>
      <w:r>
        <w:rPr>
          <w:rFonts w:ascii="Cambria" w:hAnsi="Cambria"/>
          <w:b/>
          <w:szCs w:val="28"/>
          <w:lang w:val="sr-Latn-ME"/>
        </w:rPr>
        <w:lastRenderedPageBreak/>
        <w:t>UPUTSTVO O PRAVNOM SREDSTVU</w:t>
      </w:r>
    </w:p>
    <w:p w:rsidR="00B202AA" w:rsidRDefault="00B202AA">
      <w:pPr>
        <w:tabs>
          <w:tab w:val="left" w:pos="5760"/>
        </w:tabs>
        <w:jc w:val="center"/>
        <w:rPr>
          <w:rFonts w:ascii="Cambria" w:hAnsi="Cambria" w:cs="Arial"/>
          <w:color w:val="000000"/>
          <w:lang w:val="sr-Latn-ME"/>
        </w:rPr>
      </w:pPr>
    </w:p>
    <w:p w:rsidR="00B202AA" w:rsidRDefault="00B202AA">
      <w:pPr>
        <w:tabs>
          <w:tab w:val="left" w:pos="5760"/>
        </w:tabs>
        <w:ind w:firstLine="567"/>
        <w:jc w:val="both"/>
        <w:rPr>
          <w:rFonts w:ascii="Cambria" w:hAnsi="Cambria"/>
          <w:color w:val="000000"/>
        </w:rPr>
      </w:pPr>
    </w:p>
    <w:p w:rsidR="00B202AA" w:rsidRDefault="00A54945">
      <w:pPr>
        <w:tabs>
          <w:tab w:val="left" w:pos="5760"/>
        </w:tabs>
        <w:ind w:firstLine="567"/>
        <w:jc w:val="both"/>
        <w:rPr>
          <w:rFonts w:ascii="Cambria" w:hAnsi="Cambria"/>
          <w:color w:val="000000"/>
        </w:rPr>
      </w:pPr>
      <w:r>
        <w:rPr>
          <w:rFonts w:ascii="Cambria" w:hAnsi="Cambria"/>
          <w:color w:val="000000"/>
        </w:rPr>
        <w:t xml:space="preserve">Privredni subjekat može da izjavi žalbu protiv ove tenderske dokumentacije Komisiji za zaštitu prava </w:t>
      </w:r>
      <w:r>
        <w:rPr>
          <w:rFonts w:ascii="Cambria" w:eastAsiaTheme="minorHAnsi" w:hAnsi="Cambria" w:cs="TimesNewRoman"/>
        </w:rPr>
        <w:t>u roku od dvadeset dana od dana objavljivanja, odnosno dostavljanja tenderske dokumentacije ili izmjene i dopune tenderske dokumentacije.</w:t>
      </w:r>
    </w:p>
    <w:p w:rsidR="00B202AA" w:rsidRDefault="00B202AA">
      <w:pPr>
        <w:tabs>
          <w:tab w:val="left" w:pos="5760"/>
        </w:tabs>
        <w:jc w:val="both"/>
        <w:rPr>
          <w:rFonts w:ascii="Cambria" w:hAnsi="Cambria"/>
          <w:color w:val="000000"/>
        </w:rPr>
      </w:pPr>
    </w:p>
    <w:p w:rsidR="00B202AA" w:rsidRDefault="00A54945">
      <w:pPr>
        <w:autoSpaceDE w:val="0"/>
        <w:autoSpaceDN w:val="0"/>
        <w:adjustRightInd w:val="0"/>
        <w:ind w:firstLine="567"/>
        <w:jc w:val="both"/>
        <w:rPr>
          <w:rFonts w:ascii="Cambria" w:hAnsi="Cambria"/>
          <w:color w:val="000000"/>
        </w:rPr>
      </w:pPr>
      <w:r>
        <w:rPr>
          <w:rFonts w:ascii="Cambria" w:hAnsi="Cambria"/>
          <w:color w:val="000000"/>
        </w:rPr>
        <w:t>Žalba se izjavljuje preko naručioca neposredno putem ESJN-a. Žalba koja nije podnesena na naprijed predviđeni način biće odbijena kao nedozvoljena.</w:t>
      </w:r>
    </w:p>
    <w:p w:rsidR="00B202AA" w:rsidRDefault="00B202AA">
      <w:pPr>
        <w:autoSpaceDE w:val="0"/>
        <w:autoSpaceDN w:val="0"/>
        <w:adjustRightInd w:val="0"/>
        <w:ind w:firstLine="567"/>
        <w:jc w:val="both"/>
        <w:rPr>
          <w:rFonts w:ascii="Cambria" w:hAnsi="Cambria"/>
          <w:color w:val="000000"/>
        </w:rPr>
      </w:pPr>
    </w:p>
    <w:p w:rsidR="00B202AA" w:rsidRDefault="00A54945">
      <w:pPr>
        <w:autoSpaceDE w:val="0"/>
        <w:autoSpaceDN w:val="0"/>
        <w:adjustRightInd w:val="0"/>
        <w:ind w:firstLine="567"/>
        <w:jc w:val="both"/>
        <w:rPr>
          <w:rFonts w:ascii="Cambria" w:hAnsi="Cambria"/>
          <w:color w:val="000000"/>
        </w:rPr>
      </w:pPr>
      <w:r>
        <w:rPr>
          <w:rFonts w:ascii="Cambria" w:hAnsi="Cambria"/>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B202AA" w:rsidRDefault="00B202AA">
      <w:pPr>
        <w:tabs>
          <w:tab w:val="left" w:pos="5760"/>
        </w:tabs>
        <w:ind w:firstLine="567"/>
        <w:jc w:val="both"/>
        <w:rPr>
          <w:rFonts w:ascii="Cambria" w:hAnsi="Cambria"/>
          <w:color w:val="000000"/>
        </w:rPr>
      </w:pPr>
    </w:p>
    <w:p w:rsidR="00B202AA" w:rsidRDefault="00A54945">
      <w:pPr>
        <w:tabs>
          <w:tab w:val="left" w:pos="5760"/>
        </w:tabs>
        <w:ind w:firstLine="567"/>
        <w:jc w:val="both"/>
        <w:rPr>
          <w:rFonts w:ascii="Cambria" w:hAnsi="Cambria"/>
          <w:color w:val="000000"/>
        </w:rPr>
      </w:pPr>
      <w:r>
        <w:rPr>
          <w:rFonts w:ascii="Cambria" w:hAnsi="Cambria"/>
          <w:color w:val="000000"/>
        </w:rPr>
        <w:t>Ukoliko je predmet nabavke podijeljen po partijama, a žalba se odnosi samo na određenu/e partiju/e, naknada se plaća u iznosu 1% od procijenjene vrijednosti javne nabavke te/tih partije/a.</w:t>
      </w:r>
    </w:p>
    <w:p w:rsidR="00B202AA" w:rsidRDefault="00B202AA">
      <w:pPr>
        <w:tabs>
          <w:tab w:val="left" w:pos="5760"/>
        </w:tabs>
        <w:ind w:firstLine="567"/>
        <w:jc w:val="both"/>
        <w:rPr>
          <w:rFonts w:ascii="Cambria" w:hAnsi="Cambria"/>
          <w:color w:val="000000"/>
        </w:rPr>
      </w:pPr>
    </w:p>
    <w:p w:rsidR="00B202AA" w:rsidRDefault="00A54945">
      <w:pPr>
        <w:tabs>
          <w:tab w:val="left" w:pos="5760"/>
        </w:tabs>
        <w:ind w:firstLine="567"/>
        <w:jc w:val="both"/>
        <w:rPr>
          <w:rFonts w:ascii="Cambria" w:hAnsi="Cambria"/>
          <w:color w:val="000000"/>
          <w:sz w:val="22"/>
          <w:szCs w:val="22"/>
          <w:lang w:val="sr-Latn-ME"/>
        </w:rPr>
      </w:pPr>
      <w:r>
        <w:rPr>
          <w:rFonts w:ascii="Cambria" w:hAnsi="Cambria"/>
          <w:color w:val="000000"/>
        </w:rPr>
        <w:t xml:space="preserve">Instrukcije za plaćanje naknade za vođenje postupka od strane žalilaca iz inostranstva nalaze se na internet stranici Komisije za zaštitu prava nabavki </w:t>
      </w:r>
      <w:hyperlink r:id="rId7" w:history="1">
        <w:r>
          <w:rPr>
            <w:rFonts w:ascii="Cambria" w:hAnsi="Cambria"/>
            <w:color w:val="0000FF"/>
            <w:sz w:val="22"/>
            <w:szCs w:val="22"/>
            <w:u w:val="single"/>
            <w:lang w:val="sr-Latn-ME"/>
          </w:rPr>
          <w:t>http://www.kontrola-nabavki.me/</w:t>
        </w:r>
      </w:hyperlink>
      <w:proofErr w:type="gramStart"/>
      <w:r>
        <w:rPr>
          <w:rFonts w:ascii="Cambria" w:hAnsi="Cambria"/>
          <w:color w:val="000000"/>
          <w:sz w:val="22"/>
          <w:szCs w:val="22"/>
          <w:lang w:val="sr-Latn-ME"/>
        </w:rPr>
        <w:t>.“</w:t>
      </w:r>
      <w:proofErr w:type="gramEnd"/>
      <w:r>
        <w:rPr>
          <w:rFonts w:ascii="Cambria" w:hAnsi="Cambria"/>
          <w:color w:val="000000"/>
          <w:sz w:val="22"/>
          <w:szCs w:val="22"/>
          <w:lang w:val="sr-Latn-ME"/>
        </w:rPr>
        <w:t>.</w:t>
      </w:r>
    </w:p>
    <w:p w:rsidR="00B202AA" w:rsidRDefault="00B202AA">
      <w:pPr>
        <w:tabs>
          <w:tab w:val="left" w:pos="5760"/>
        </w:tabs>
        <w:ind w:firstLine="567"/>
        <w:jc w:val="both"/>
        <w:rPr>
          <w:rFonts w:ascii="Cambria" w:hAnsi="Cambria" w:cs="Arial"/>
          <w:color w:val="000000"/>
          <w:lang w:val="sr-Latn-ME"/>
        </w:rPr>
      </w:pPr>
    </w:p>
    <w:p w:rsidR="00B202AA" w:rsidRDefault="00B202AA">
      <w:pPr>
        <w:tabs>
          <w:tab w:val="left" w:pos="5760"/>
        </w:tabs>
        <w:ind w:firstLine="567"/>
        <w:jc w:val="both"/>
        <w:rPr>
          <w:rFonts w:ascii="Cambria" w:hAnsi="Cambria"/>
          <w:color w:val="000000"/>
        </w:rPr>
      </w:pPr>
    </w:p>
    <w:p w:rsidR="00B202AA" w:rsidRDefault="00B202AA">
      <w:pPr>
        <w:tabs>
          <w:tab w:val="left" w:pos="5760"/>
        </w:tabs>
        <w:ind w:firstLine="567"/>
        <w:jc w:val="both"/>
        <w:rPr>
          <w:rFonts w:ascii="Cambria" w:hAnsi="Cambria"/>
          <w:color w:val="000000"/>
        </w:rPr>
      </w:pPr>
    </w:p>
    <w:p w:rsidR="00B202AA" w:rsidRDefault="00B202AA">
      <w:pPr>
        <w:spacing w:after="160" w:line="259" w:lineRule="auto"/>
        <w:rPr>
          <w:rFonts w:ascii="Cambria" w:eastAsiaTheme="minorHAnsi" w:hAnsi="Cambria" w:cs="Arial"/>
        </w:rPr>
      </w:pPr>
    </w:p>
    <w:p w:rsidR="00B202AA" w:rsidRDefault="00B202AA">
      <w:pPr>
        <w:spacing w:after="160" w:line="259" w:lineRule="auto"/>
        <w:rPr>
          <w:rFonts w:ascii="Cambria" w:eastAsiaTheme="minorHAnsi" w:hAnsi="Cambria" w:cstheme="minorBidi"/>
          <w:sz w:val="22"/>
          <w:szCs w:val="22"/>
        </w:rPr>
      </w:pPr>
    </w:p>
    <w:p w:rsidR="00B202AA" w:rsidRDefault="00B202AA">
      <w:pPr>
        <w:rPr>
          <w:bCs/>
          <w:color w:val="000000"/>
          <w:shd w:val="clear" w:color="auto" w:fill="FFFFFF"/>
        </w:rPr>
      </w:pPr>
    </w:p>
    <w:p w:rsidR="00B202AA" w:rsidRDefault="00B202AA">
      <w:pPr>
        <w:rPr>
          <w:bCs/>
          <w:color w:val="000000"/>
          <w:shd w:val="clear" w:color="auto" w:fill="FFFFFF"/>
        </w:rPr>
      </w:pPr>
    </w:p>
    <w:p w:rsidR="00B202AA" w:rsidRDefault="00B202AA">
      <w:pPr>
        <w:rPr>
          <w:bCs/>
          <w:color w:val="000000"/>
          <w:shd w:val="clear" w:color="auto" w:fill="FFFFFF"/>
        </w:rPr>
      </w:pPr>
    </w:p>
    <w:p w:rsidR="00B202AA" w:rsidRDefault="00B202AA">
      <w:pPr>
        <w:rPr>
          <w:bCs/>
          <w:color w:val="000000"/>
          <w:shd w:val="clear" w:color="auto" w:fill="FFFFFF"/>
        </w:rPr>
      </w:pPr>
    </w:p>
    <w:p w:rsidR="00B202AA" w:rsidRDefault="00B202AA">
      <w:pPr>
        <w:rPr>
          <w:bCs/>
          <w:color w:val="000000"/>
          <w:shd w:val="clear" w:color="auto" w:fill="FFFFFF"/>
        </w:rPr>
      </w:pPr>
    </w:p>
    <w:sectPr w:rsidR="00B202A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6A28" w:rsidRDefault="009E6A28">
      <w:r>
        <w:separator/>
      </w:r>
    </w:p>
  </w:endnote>
  <w:endnote w:type="continuationSeparator" w:id="0">
    <w:p w:rsidR="009E6A28" w:rsidRDefault="009E6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NewRoman">
    <w:altName w:val="Times New Roman"/>
    <w:charset w:val="EE"/>
    <w:family w:val="auto"/>
    <w:pitch w:val="default"/>
    <w:sig w:usb0="00000000" w:usb1="00000000" w:usb2="00000000" w:usb3="00000000" w:csb0="00000002" w:csb1="00000000"/>
  </w:font>
  <w:font w:name="sans-serif">
    <w:altName w:val="Segoe Print"/>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0619580"/>
    </w:sdtPr>
    <w:sdtEndPr/>
    <w:sdtContent>
      <w:sdt>
        <w:sdtPr>
          <w:id w:val="1728636285"/>
        </w:sdtPr>
        <w:sdtEndPr/>
        <w:sdtContent>
          <w:p w:rsidR="00A54945" w:rsidRDefault="00A54945">
            <w:pPr>
              <w:pStyle w:val="Footer"/>
              <w:jc w:val="center"/>
            </w:pPr>
            <w:r>
              <w:t xml:space="preserve">strana </w:t>
            </w:r>
            <w:r>
              <w:rPr>
                <w:b/>
                <w:bCs/>
              </w:rPr>
              <w:fldChar w:fldCharType="begin"/>
            </w:r>
            <w:r>
              <w:rPr>
                <w:b/>
                <w:bCs/>
              </w:rPr>
              <w:instrText xml:space="preserve"> PAGE </w:instrText>
            </w:r>
            <w:r>
              <w:rPr>
                <w:b/>
                <w:bCs/>
              </w:rPr>
              <w:fldChar w:fldCharType="separate"/>
            </w:r>
            <w:r>
              <w:rPr>
                <w:b/>
                <w:bCs/>
              </w:rPr>
              <w:t>1</w:t>
            </w:r>
            <w:r>
              <w:rPr>
                <w:b/>
                <w:bCs/>
              </w:rPr>
              <w:fldChar w:fldCharType="end"/>
            </w:r>
            <w:r>
              <w:t xml:space="preserve"> od </w:t>
            </w:r>
            <w:r>
              <w:rPr>
                <w:b/>
                <w:bCs/>
              </w:rPr>
              <w:fldChar w:fldCharType="begin"/>
            </w:r>
            <w:r>
              <w:rPr>
                <w:b/>
                <w:bCs/>
              </w:rPr>
              <w:instrText xml:space="preserve"> NUMPAGES  </w:instrText>
            </w:r>
            <w:r>
              <w:rPr>
                <w:b/>
                <w:bCs/>
              </w:rPr>
              <w:fldChar w:fldCharType="separate"/>
            </w:r>
            <w:r>
              <w:rPr>
                <w:b/>
                <w:bCs/>
              </w:rPr>
              <w:t>9</w:t>
            </w:r>
            <w:r>
              <w:rPr>
                <w:b/>
                <w:bCs/>
              </w:rPr>
              <w:fldChar w:fldCharType="end"/>
            </w:r>
          </w:p>
        </w:sdtContent>
      </w:sdt>
    </w:sdtContent>
  </w:sdt>
  <w:p w:rsidR="00A54945" w:rsidRDefault="00A54945">
    <w:pPr>
      <w:pStyle w:val="Footer"/>
    </w:pPr>
  </w:p>
  <w:p w:rsidR="00A54945" w:rsidRDefault="00A549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6A28" w:rsidRDefault="009E6A28">
      <w:r>
        <w:separator/>
      </w:r>
    </w:p>
  </w:footnote>
  <w:footnote w:type="continuationSeparator" w:id="0">
    <w:p w:rsidR="009E6A28" w:rsidRDefault="009E6A28">
      <w:r>
        <w:continuationSeparator/>
      </w:r>
    </w:p>
  </w:footnote>
  <w:footnote w:id="1">
    <w:p w:rsidR="00A54945" w:rsidRDefault="00A54945">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rsidR="00A54945" w:rsidRDefault="00A54945">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A54945" w:rsidRDefault="00A54945">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3A2D10"/>
    <w:multiLevelType w:val="singleLevel"/>
    <w:tmpl w:val="053A2D10"/>
    <w:lvl w:ilvl="0">
      <w:numFmt w:val="bullet"/>
      <w:lvlText w:val="·"/>
      <w:lvlJc w:val="left"/>
      <w:pPr>
        <w:tabs>
          <w:tab w:val="left" w:pos="720"/>
        </w:tabs>
        <w:ind w:left="720" w:hanging="360"/>
      </w:pPr>
      <w:rPr>
        <w:rFonts w:ascii="Symbol" w:hAnsi="Symbol"/>
        <w:snapToGrid/>
        <w:sz w:val="22"/>
      </w:rPr>
    </w:lvl>
  </w:abstractNum>
  <w:abstractNum w:abstractNumId="2" w15:restartNumberingAfterBreak="0">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90D5AEB"/>
    <w:multiLevelType w:val="multilevel"/>
    <w:tmpl w:val="390D5AEB"/>
    <w:lvl w:ilvl="0">
      <w:start w:val="4"/>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FB77E33"/>
    <w:multiLevelType w:val="multilevel"/>
    <w:tmpl w:val="3FB77E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B7D2D75"/>
    <w:multiLevelType w:val="multilevel"/>
    <w:tmpl w:val="4B7D2D75"/>
    <w:lvl w:ilvl="0">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5363574F"/>
    <w:multiLevelType w:val="multilevel"/>
    <w:tmpl w:val="5363574F"/>
    <w:lvl w:ilvl="0">
      <w:start w:val="18"/>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multilevel"/>
    <w:tmpl w:val="61234FFF"/>
    <w:lvl w:ilvl="0">
      <w:start w:val="18"/>
      <w:numFmt w:val="bullet"/>
      <w:lvlText w:val="-"/>
      <w:lvlJc w:val="left"/>
      <w:pPr>
        <w:ind w:left="1778" w:hanging="360"/>
      </w:pPr>
      <w:rPr>
        <w:rFonts w:ascii="Times New Roman" w:eastAsia="Times New Roman" w:hAnsi="Times New Roman" w:cs="Times New Roman"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multilevel"/>
    <w:tmpl w:val="6764291E"/>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6"/>
  </w:num>
  <w:num w:numId="4">
    <w:abstractNumId w:val="7"/>
  </w:num>
  <w:num w:numId="5">
    <w:abstractNumId w:val="8"/>
  </w:num>
  <w:num w:numId="6">
    <w:abstractNumId w:val="4"/>
  </w:num>
  <w:num w:numId="7">
    <w:abstractNumId w:val="5"/>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417"/>
    <w:rsid w:val="00004E4A"/>
    <w:rsid w:val="000638CE"/>
    <w:rsid w:val="0007146B"/>
    <w:rsid w:val="00073A13"/>
    <w:rsid w:val="000A3BAC"/>
    <w:rsid w:val="000C17B1"/>
    <w:rsid w:val="000C462F"/>
    <w:rsid w:val="000D3CCD"/>
    <w:rsid w:val="0014752E"/>
    <w:rsid w:val="0015697C"/>
    <w:rsid w:val="0018134C"/>
    <w:rsid w:val="001869E7"/>
    <w:rsid w:val="001D137C"/>
    <w:rsid w:val="001D701A"/>
    <w:rsid w:val="002329E9"/>
    <w:rsid w:val="00243476"/>
    <w:rsid w:val="00257C43"/>
    <w:rsid w:val="00264F5D"/>
    <w:rsid w:val="002933C0"/>
    <w:rsid w:val="002B2FB8"/>
    <w:rsid w:val="00314AED"/>
    <w:rsid w:val="00394660"/>
    <w:rsid w:val="003B0ED1"/>
    <w:rsid w:val="003B6F84"/>
    <w:rsid w:val="003B7010"/>
    <w:rsid w:val="003C7CDE"/>
    <w:rsid w:val="003D4CC0"/>
    <w:rsid w:val="003E4245"/>
    <w:rsid w:val="003F4153"/>
    <w:rsid w:val="003F4E88"/>
    <w:rsid w:val="00406D3E"/>
    <w:rsid w:val="00433AB5"/>
    <w:rsid w:val="0044551B"/>
    <w:rsid w:val="004506F3"/>
    <w:rsid w:val="00452EEF"/>
    <w:rsid w:val="00453D2E"/>
    <w:rsid w:val="0046124E"/>
    <w:rsid w:val="004A0498"/>
    <w:rsid w:val="004A31DC"/>
    <w:rsid w:val="004D70C5"/>
    <w:rsid w:val="004F69EB"/>
    <w:rsid w:val="00500921"/>
    <w:rsid w:val="00501003"/>
    <w:rsid w:val="005B159B"/>
    <w:rsid w:val="005E52D0"/>
    <w:rsid w:val="005F76B8"/>
    <w:rsid w:val="00616491"/>
    <w:rsid w:val="00642257"/>
    <w:rsid w:val="00676A56"/>
    <w:rsid w:val="00697862"/>
    <w:rsid w:val="006B6EBB"/>
    <w:rsid w:val="006B7D8E"/>
    <w:rsid w:val="006E0665"/>
    <w:rsid w:val="00706D13"/>
    <w:rsid w:val="00723EDB"/>
    <w:rsid w:val="00750950"/>
    <w:rsid w:val="00773706"/>
    <w:rsid w:val="007C3440"/>
    <w:rsid w:val="007C3493"/>
    <w:rsid w:val="007D4BAA"/>
    <w:rsid w:val="0080229C"/>
    <w:rsid w:val="0080655D"/>
    <w:rsid w:val="008120BF"/>
    <w:rsid w:val="008651B0"/>
    <w:rsid w:val="0087084A"/>
    <w:rsid w:val="00873F15"/>
    <w:rsid w:val="008801F5"/>
    <w:rsid w:val="008A4417"/>
    <w:rsid w:val="008A5E7A"/>
    <w:rsid w:val="008E785B"/>
    <w:rsid w:val="008F5559"/>
    <w:rsid w:val="00910573"/>
    <w:rsid w:val="009213E6"/>
    <w:rsid w:val="00926F62"/>
    <w:rsid w:val="009419B3"/>
    <w:rsid w:val="0095001C"/>
    <w:rsid w:val="00952987"/>
    <w:rsid w:val="00967805"/>
    <w:rsid w:val="009721C1"/>
    <w:rsid w:val="00997F15"/>
    <w:rsid w:val="009C1D7E"/>
    <w:rsid w:val="009E6A28"/>
    <w:rsid w:val="009F7026"/>
    <w:rsid w:val="00A12C50"/>
    <w:rsid w:val="00A54945"/>
    <w:rsid w:val="00A6063D"/>
    <w:rsid w:val="00A67469"/>
    <w:rsid w:val="00AD743B"/>
    <w:rsid w:val="00AE4024"/>
    <w:rsid w:val="00B202AA"/>
    <w:rsid w:val="00B60D76"/>
    <w:rsid w:val="00B911CA"/>
    <w:rsid w:val="00BC35F4"/>
    <w:rsid w:val="00BE78FF"/>
    <w:rsid w:val="00C10427"/>
    <w:rsid w:val="00C50050"/>
    <w:rsid w:val="00C85710"/>
    <w:rsid w:val="00C957AF"/>
    <w:rsid w:val="00CD6D99"/>
    <w:rsid w:val="00CE5050"/>
    <w:rsid w:val="00D0384E"/>
    <w:rsid w:val="00D163B4"/>
    <w:rsid w:val="00D35C3A"/>
    <w:rsid w:val="00D365CC"/>
    <w:rsid w:val="00D47EDE"/>
    <w:rsid w:val="00D63F08"/>
    <w:rsid w:val="00D839BF"/>
    <w:rsid w:val="00D912F3"/>
    <w:rsid w:val="00D96375"/>
    <w:rsid w:val="00DA59DB"/>
    <w:rsid w:val="00DE08B2"/>
    <w:rsid w:val="00DE3A10"/>
    <w:rsid w:val="00E25D31"/>
    <w:rsid w:val="00E278FE"/>
    <w:rsid w:val="00E27B87"/>
    <w:rsid w:val="00E57960"/>
    <w:rsid w:val="00EA2571"/>
    <w:rsid w:val="00EA7234"/>
    <w:rsid w:val="00EC1396"/>
    <w:rsid w:val="00EE5731"/>
    <w:rsid w:val="00F250E3"/>
    <w:rsid w:val="00F418DF"/>
    <w:rsid w:val="00F63881"/>
    <w:rsid w:val="00F82FEA"/>
    <w:rsid w:val="00FA705F"/>
    <w:rsid w:val="02973262"/>
    <w:rsid w:val="342432F0"/>
    <w:rsid w:val="3D323D59"/>
    <w:rsid w:val="46284955"/>
  </w:rsids>
  <m:mathPr>
    <m:mathFont m:val="Cambria Math"/>
    <m:brkBin m:val="before"/>
    <m:brkBinSub m:val="--"/>
    <m:smallFrac m:val="0"/>
    <m:dispDef/>
    <m:lMargin m:val="0"/>
    <m:rMargin m:val="0"/>
    <m:defJc m:val="centerGroup"/>
    <m:wrapIndent m:val="1440"/>
    <m:intLim m:val="subSup"/>
    <m:naryLim m:val="undOvr"/>
  </m:mathPr>
  <w:themeFontLang w:val="sr-Latn-M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08731"/>
  <w15:docId w15:val="{6D4E1A52-89E6-48AE-9C1F-0A8BC1460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imes New Roman"/>
      <w:sz w:val="24"/>
      <w:szCs w:val="24"/>
    </w:rPr>
  </w:style>
  <w:style w:type="paragraph" w:styleId="Heading1">
    <w:name w:val="heading 1"/>
    <w:basedOn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E79" w:themeColor="accent1" w:themeShade="80"/>
    </w:rPr>
  </w:style>
  <w:style w:type="paragraph" w:styleId="Heading4">
    <w:name w:val="heading 4"/>
    <w:basedOn w:val="Normal"/>
    <w:next w:val="Normal"/>
    <w:uiPriority w:val="9"/>
    <w:unhideWhenUsed/>
    <w:qFormat/>
    <w:pPr>
      <w:keepNext/>
      <w:keepLines/>
      <w:spacing w:before="280" w:after="80"/>
      <w:outlineLvl w:val="3"/>
    </w:pPr>
    <w:rPr>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36"/>
        <w:tab w:val="right" w:pos="9072"/>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rFonts w:ascii="Calibri" w:eastAsia="Calibri" w:hAnsi="Calibri"/>
      <w:sz w:val="20"/>
      <w:szCs w:val="20"/>
    </w:rPr>
  </w:style>
  <w:style w:type="paragraph" w:styleId="Header">
    <w:name w:val="header"/>
    <w:basedOn w:val="Normal"/>
    <w:link w:val="HeaderChar"/>
    <w:uiPriority w:val="99"/>
    <w:unhideWhenUsed/>
    <w:qFormat/>
    <w:pPr>
      <w:tabs>
        <w:tab w:val="center" w:pos="4536"/>
        <w:tab w:val="right" w:pos="9072"/>
      </w:tabs>
    </w:pPr>
  </w:style>
  <w:style w:type="character" w:styleId="Hyperlink">
    <w:name w:val="Hyperlink"/>
    <w:uiPriority w:val="99"/>
    <w:qFormat/>
    <w:rPr>
      <w:color w:val="0000FF"/>
      <w:u w:val="single"/>
    </w:rPr>
  </w:style>
  <w:style w:type="table" w:styleId="TableGrid">
    <w:name w:val="Table Grid"/>
    <w:basedOn w:val="TableNormal"/>
    <w:uiPriority w:val="59"/>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qFormat/>
    <w:pPr>
      <w:spacing w:after="100" w:line="276" w:lineRule="auto"/>
    </w:pPr>
    <w:rPr>
      <w:rFonts w:ascii="Calibri" w:eastAsia="PMingLiU" w:hAnsi="Calibri" w:cs="Calibri"/>
      <w:sz w:val="22"/>
      <w:szCs w:val="22"/>
      <w:lang w:eastAsia="zh-TW"/>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E74B5" w:themeColor="accent1" w:themeShade="BF"/>
      <w:sz w:val="32"/>
      <w:szCs w:val="32"/>
      <w:lang w:val="en-US"/>
    </w:rPr>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lang w:val="en-US"/>
    </w:rPr>
  </w:style>
  <w:style w:type="paragraph" w:styleId="NoSpacing">
    <w:name w:val="No Spacing"/>
    <w:uiPriority w:val="1"/>
    <w:qFormat/>
    <w:rPr>
      <w:rFonts w:ascii="Calibri" w:eastAsia="Calibri" w:hAnsi="Calibri" w:cs="Calibri"/>
      <w:sz w:val="24"/>
      <w:szCs w:val="24"/>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qFormat/>
    <w:rPr>
      <w:rFonts w:asciiTheme="majorHAnsi" w:eastAsiaTheme="majorEastAsia" w:hAnsiTheme="majorHAnsi" w:cstheme="majorBidi"/>
      <w:color w:val="1F4E79" w:themeColor="accent1" w:themeShade="80"/>
      <w:sz w:val="24"/>
      <w:szCs w:val="24"/>
      <w:lang w:val="en-US"/>
    </w:rPr>
  </w:style>
  <w:style w:type="paragraph" w:styleId="ListParagraph">
    <w:name w:val="List Paragraph"/>
    <w:basedOn w:val="Normal"/>
    <w:link w:val="ListParagraphChar"/>
    <w:uiPriority w:val="34"/>
    <w:qFormat/>
    <w:pPr>
      <w:widowControl w:val="0"/>
      <w:autoSpaceDE w:val="0"/>
      <w:autoSpaceDN w:val="0"/>
      <w:spacing w:before="43"/>
      <w:ind w:left="449" w:hanging="206"/>
    </w:pPr>
    <w:rPr>
      <w:rFonts w:ascii="Calibri" w:eastAsia="Calibri" w:hAnsi="Calibri" w:cs="Calibri"/>
      <w:sz w:val="22"/>
      <w:szCs w:val="22"/>
      <w:lang w:val="hr-HR"/>
    </w:rPr>
  </w:style>
  <w:style w:type="character" w:customStyle="1" w:styleId="ListParagraphChar">
    <w:name w:val="List Paragraph Char"/>
    <w:link w:val="ListParagraph"/>
    <w:uiPriority w:val="34"/>
    <w:qFormat/>
    <w:rPr>
      <w:rFonts w:ascii="Calibri" w:eastAsia="Calibri" w:hAnsi="Calibri" w:cs="Calibri"/>
      <w:lang w:val="hr-HR"/>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E74B5" w:themeColor="accent1" w:themeShade="BF"/>
      <w:sz w:val="26"/>
      <w:szCs w:val="26"/>
      <w:lang w:val="en-US"/>
    </w:rPr>
  </w:style>
  <w:style w:type="character" w:customStyle="1" w:styleId="apple-converted-space">
    <w:name w:val="apple-converted-space"/>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3985</Words>
  <Characters>22717</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 Bodven</dc:creator>
  <cp:lastModifiedBy>Oliver Bodven</cp:lastModifiedBy>
  <cp:revision>2</cp:revision>
  <dcterms:created xsi:type="dcterms:W3CDTF">2026-05-26T12:10:00Z</dcterms:created>
  <dcterms:modified xsi:type="dcterms:W3CDTF">2026-05-26T12:10:00Z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013E29C37E0044DB8DEC011F675D2558_13</vt:lpwstr>
  </property>
</Properties>
</file>