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8B156">
      <w:pPr>
        <w:jc w:val="right"/>
        <w:rPr>
          <w:rFonts w:ascii="Arial" w:hAnsi="Arial" w:cs="Arial"/>
          <w:b/>
          <w:color w:val="000000"/>
        </w:rPr>
      </w:pPr>
    </w:p>
    <w:p w14:paraId="555B94D6">
      <w:pPr>
        <w:jc w:val="right"/>
        <w:rPr>
          <w:rFonts w:ascii="Arial" w:hAnsi="Arial" w:cs="Arial"/>
          <w:b/>
          <w:color w:val="000000"/>
        </w:rPr>
      </w:pPr>
      <w:r>
        <w:rPr>
          <w:rFonts w:ascii="Arial" w:hAnsi="Arial" w:cs="Arial"/>
          <w:b/>
          <w:color w:val="000000"/>
        </w:rPr>
        <w:t xml:space="preserve">OBRAZAC 1  </w:t>
      </w:r>
    </w:p>
    <w:p w14:paraId="076392B9">
      <w:pPr>
        <w:jc w:val="both"/>
        <w:rPr>
          <w:rFonts w:ascii="Arial" w:hAnsi="Arial" w:cs="Arial"/>
        </w:rPr>
      </w:pPr>
      <w:r>
        <w:rPr>
          <w:rFonts w:ascii="Arial" w:hAnsi="Arial" w:cs="Arial"/>
        </w:rPr>
        <w:t>Opština Andrijevica</w:t>
      </w:r>
    </w:p>
    <w:p w14:paraId="5EF0582F">
      <w:pPr>
        <w:jc w:val="both"/>
        <w:rPr>
          <w:rFonts w:hint="default" w:ascii="Arial" w:hAnsi="Arial" w:cs="Arial"/>
          <w:lang w:val="sr-Latn-RS"/>
        </w:rPr>
      </w:pPr>
      <w:r>
        <w:rPr>
          <w:rFonts w:ascii="Arial" w:hAnsi="Arial" w:cs="Arial"/>
        </w:rPr>
        <w:t>Broj iz evidencije postupaka javnih nabavki: 018-</w:t>
      </w:r>
      <w:r>
        <w:rPr>
          <w:rFonts w:hint="default" w:ascii="Arial" w:hAnsi="Arial" w:cs="Arial"/>
          <w:lang w:val="sr-Latn-RS"/>
        </w:rPr>
        <w:t>659/2026-01/1</w:t>
      </w:r>
    </w:p>
    <w:p w14:paraId="4402D611">
      <w:pPr>
        <w:jc w:val="both"/>
        <w:rPr>
          <w:rFonts w:hint="default" w:ascii="Arial" w:hAnsi="Arial" w:cs="Arial"/>
          <w:color w:val="000000"/>
          <w:lang w:val="sr-Latn-RS"/>
        </w:rPr>
      </w:pPr>
      <w:r>
        <w:rPr>
          <w:rFonts w:ascii="Arial" w:hAnsi="Arial" w:cs="Arial"/>
          <w:color w:val="000000"/>
        </w:rPr>
        <w:t xml:space="preserve">Redni broj iz Plana javnih nabavki : </w:t>
      </w:r>
      <w:r>
        <w:rPr>
          <w:rFonts w:hint="default" w:ascii="Arial" w:hAnsi="Arial" w:cs="Arial"/>
          <w:color w:val="000000"/>
          <w:lang w:val="sr-Latn-RS"/>
        </w:rPr>
        <w:t>18</w:t>
      </w:r>
    </w:p>
    <w:p w14:paraId="3222EC96">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07</w:t>
      </w:r>
      <w:r>
        <w:rPr>
          <w:rFonts w:ascii="Arial" w:hAnsi="Arial" w:cs="Arial"/>
          <w:color w:val="000000"/>
        </w:rPr>
        <w:t>.</w:t>
      </w:r>
      <w:r>
        <w:rPr>
          <w:rFonts w:hint="default" w:ascii="Arial" w:hAnsi="Arial" w:cs="Arial"/>
          <w:color w:val="000000"/>
          <w:lang w:val="sr-Latn-RS"/>
        </w:rPr>
        <w:t>05</w:t>
      </w:r>
      <w:r>
        <w:rPr>
          <w:rFonts w:ascii="Arial" w:hAnsi="Arial" w:cs="Arial"/>
          <w:color w:val="000000"/>
        </w:rPr>
        <w:t>.202</w:t>
      </w:r>
      <w:r>
        <w:rPr>
          <w:rFonts w:hint="default" w:ascii="Arial" w:hAnsi="Arial" w:cs="Arial"/>
          <w:color w:val="000000"/>
          <w:lang w:val="sr-Latn-RS"/>
        </w:rPr>
        <w:t>6</w:t>
      </w:r>
      <w:r>
        <w:rPr>
          <w:rFonts w:ascii="Arial" w:hAnsi="Arial" w:cs="Arial"/>
          <w:color w:val="000000"/>
        </w:rPr>
        <w:t>.god</w:t>
      </w:r>
    </w:p>
    <w:p w14:paraId="01CD9EF4">
      <w:pPr>
        <w:rPr>
          <w:rFonts w:ascii="Arial" w:hAnsi="Arial" w:cs="Arial"/>
        </w:rPr>
      </w:pPr>
    </w:p>
    <w:p w14:paraId="71ECBD73">
      <w:pPr>
        <w:rPr>
          <w:rFonts w:ascii="Arial" w:hAnsi="Arial" w:cs="Arial"/>
        </w:rPr>
      </w:pPr>
    </w:p>
    <w:p w14:paraId="3D1F5F5E">
      <w:pPr>
        <w:rPr>
          <w:rFonts w:ascii="Arial" w:hAnsi="Arial" w:cs="Arial"/>
        </w:rPr>
      </w:pPr>
    </w:p>
    <w:p w14:paraId="38924C39">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0E018999">
      <w:pPr>
        <w:tabs>
          <w:tab w:val="left" w:pos="1276"/>
          <w:tab w:val="left" w:pos="3261"/>
        </w:tabs>
        <w:jc w:val="both"/>
        <w:rPr>
          <w:rFonts w:ascii="Arial" w:hAnsi="Arial" w:cs="Arial"/>
          <w:b/>
          <w:bCs/>
          <w:color w:val="000000"/>
        </w:rPr>
      </w:pPr>
    </w:p>
    <w:p w14:paraId="4BA8FD79">
      <w:pPr>
        <w:tabs>
          <w:tab w:val="left" w:pos="1276"/>
          <w:tab w:val="left" w:pos="3261"/>
        </w:tabs>
        <w:jc w:val="both"/>
        <w:rPr>
          <w:rFonts w:ascii="Arial" w:hAnsi="Arial" w:cs="Arial"/>
          <w:b/>
          <w:bCs/>
          <w:color w:val="000000"/>
        </w:rPr>
      </w:pPr>
    </w:p>
    <w:p w14:paraId="5B2A2D7F">
      <w:pPr>
        <w:tabs>
          <w:tab w:val="left" w:pos="1276"/>
          <w:tab w:val="left" w:pos="3261"/>
        </w:tabs>
        <w:jc w:val="both"/>
        <w:rPr>
          <w:rFonts w:ascii="Arial" w:hAnsi="Arial" w:cs="Arial"/>
          <w:b/>
          <w:bCs/>
          <w:color w:val="000000"/>
        </w:rPr>
      </w:pPr>
    </w:p>
    <w:p w14:paraId="0B277AB9">
      <w:pPr>
        <w:tabs>
          <w:tab w:val="left" w:pos="1276"/>
          <w:tab w:val="left" w:pos="3261"/>
        </w:tabs>
        <w:jc w:val="both"/>
        <w:rPr>
          <w:rFonts w:ascii="Arial" w:hAnsi="Arial" w:cs="Arial"/>
          <w:b/>
          <w:bCs/>
          <w:color w:val="000000"/>
        </w:rPr>
      </w:pPr>
    </w:p>
    <w:p w14:paraId="6D57E808">
      <w:pPr>
        <w:tabs>
          <w:tab w:val="left" w:pos="1276"/>
          <w:tab w:val="left" w:pos="3261"/>
        </w:tabs>
        <w:jc w:val="both"/>
        <w:rPr>
          <w:rFonts w:ascii="Arial" w:hAnsi="Arial" w:cs="Arial"/>
          <w:b/>
          <w:bCs/>
          <w:color w:val="000000"/>
        </w:rPr>
      </w:pPr>
    </w:p>
    <w:p w14:paraId="1BC4A7C8">
      <w:pPr>
        <w:tabs>
          <w:tab w:val="left" w:pos="1276"/>
          <w:tab w:val="left" w:pos="3261"/>
        </w:tabs>
        <w:jc w:val="both"/>
        <w:rPr>
          <w:rFonts w:ascii="Arial" w:hAnsi="Arial" w:cs="Arial"/>
        </w:rPr>
      </w:pPr>
      <w:r>
        <w:rPr>
          <w:rFonts w:ascii="Arial" w:hAnsi="Arial" w:cs="Arial"/>
          <w:b/>
          <w:bCs/>
          <w:color w:val="000000"/>
        </w:rPr>
        <w:tab/>
      </w:r>
    </w:p>
    <w:p w14:paraId="4DB04C07">
      <w:pPr>
        <w:keepNext/>
        <w:jc w:val="center"/>
        <w:outlineLvl w:val="0"/>
        <w:rPr>
          <w:rFonts w:ascii="Arial" w:hAnsi="Arial" w:cs="Arial"/>
          <w:b/>
          <w:bCs/>
          <w:color w:val="000000"/>
        </w:rPr>
      </w:pPr>
    </w:p>
    <w:p w14:paraId="33F60021">
      <w:pPr>
        <w:jc w:val="center"/>
        <w:rPr>
          <w:rFonts w:ascii="Arial" w:hAnsi="Arial" w:cs="Arial"/>
          <w:b/>
          <w:bCs/>
          <w:color w:val="000000"/>
          <w:sz w:val="28"/>
          <w:szCs w:val="28"/>
        </w:rPr>
      </w:pPr>
      <w:r>
        <w:rPr>
          <w:rFonts w:ascii="Arial" w:hAnsi="Arial" w:cs="Arial"/>
          <w:b/>
          <w:bCs/>
          <w:color w:val="000000"/>
          <w:sz w:val="28"/>
          <w:szCs w:val="28"/>
        </w:rPr>
        <w:t>TENDERSKU DOKUMENTACIJU</w:t>
      </w:r>
    </w:p>
    <w:p w14:paraId="23756541">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0C12CE7C">
      <w:pPr>
        <w:jc w:val="center"/>
        <w:rPr>
          <w:rFonts w:ascii="Arial" w:hAnsi="Arial" w:cs="Arial"/>
          <w:b/>
          <w:bCs/>
          <w:color w:val="000000"/>
          <w:sz w:val="28"/>
          <w:szCs w:val="28"/>
        </w:rPr>
      </w:pPr>
    </w:p>
    <w:p w14:paraId="2493B459">
      <w:pPr>
        <w:jc w:val="center"/>
        <w:rPr>
          <w:rFonts w:hint="default" w:ascii="sans-serif" w:hAnsi="sans-serif" w:eastAsia="sans-serif"/>
          <w:i w:val="0"/>
          <w:iCs w:val="0"/>
          <w:caps w:val="0"/>
          <w:spacing w:val="0"/>
          <w:sz w:val="21"/>
          <w:szCs w:val="21"/>
          <w:shd w:val="clear" w:fill="FFFFFF"/>
        </w:rPr>
      </w:pPr>
      <w:r>
        <w:rPr>
          <w:rFonts w:hint="default" w:ascii="sans-serif" w:hAnsi="sans-serif" w:eastAsia="sans-serif"/>
          <w:i w:val="0"/>
          <w:iCs w:val="0"/>
          <w:caps w:val="0"/>
          <w:spacing w:val="0"/>
          <w:sz w:val="21"/>
          <w:szCs w:val="21"/>
          <w:shd w:val="clear" w:fill="FFFFFF"/>
        </w:rPr>
        <w:t>Asfaltiranje lokalnih puteva u mjestima Trešnjevo, Đuliće i  Peovac</w:t>
      </w:r>
    </w:p>
    <w:p w14:paraId="7C575D76">
      <w:pPr>
        <w:jc w:val="center"/>
        <w:rPr>
          <w:rFonts w:hint="default" w:ascii="sans-serif" w:hAnsi="sans-serif" w:eastAsia="sans-serif"/>
          <w:i w:val="0"/>
          <w:iCs w:val="0"/>
          <w:caps w:val="0"/>
          <w:spacing w:val="0"/>
          <w:sz w:val="21"/>
          <w:szCs w:val="21"/>
          <w:shd w:val="clear" w:fill="FFFFFF"/>
        </w:rPr>
      </w:pPr>
    </w:p>
    <w:p w14:paraId="68442875">
      <w:pPr>
        <w:jc w:val="center"/>
        <w:rPr>
          <w:rFonts w:hint="default" w:ascii="sans-serif" w:hAnsi="sans-serif" w:eastAsia="sans-serif"/>
          <w:i w:val="0"/>
          <w:iCs w:val="0"/>
          <w:caps w:val="0"/>
          <w:spacing w:val="0"/>
          <w:sz w:val="21"/>
          <w:szCs w:val="21"/>
          <w:shd w:val="clear" w:fill="FFFFFF"/>
        </w:rPr>
      </w:pPr>
    </w:p>
    <w:p w14:paraId="52158B33">
      <w:pPr>
        <w:jc w:val="center"/>
        <w:rPr>
          <w:rFonts w:ascii="Arial" w:hAnsi="Arial" w:cs="Arial"/>
          <w:color w:val="000000"/>
        </w:rPr>
      </w:pPr>
      <w:r>
        <w:rPr>
          <w:rFonts w:ascii="Arial" w:hAnsi="Arial" w:cs="Arial"/>
          <w:color w:val="000000"/>
        </w:rPr>
        <w:t>Predmet nabavke se nabavlja:</w:t>
      </w:r>
    </w:p>
    <w:p w14:paraId="18E23389">
      <w:pPr>
        <w:jc w:val="both"/>
        <w:rPr>
          <w:rFonts w:ascii="Arial" w:hAnsi="Arial" w:cs="Arial"/>
          <w:color w:val="000000"/>
        </w:rPr>
      </w:pPr>
    </w:p>
    <w:p w14:paraId="73E6336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58F12229">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64C9641E">
      <w:pPr>
        <w:rPr>
          <w:rFonts w:ascii="Arial" w:hAnsi="Arial" w:cs="Arial"/>
          <w:color w:val="000000"/>
        </w:rPr>
      </w:pPr>
    </w:p>
    <w:p w14:paraId="799B6DF9">
      <w:pPr>
        <w:rPr>
          <w:rFonts w:ascii="Arial" w:hAnsi="Arial" w:cs="Arial"/>
          <w:color w:val="000000"/>
        </w:rPr>
      </w:pPr>
    </w:p>
    <w:p w14:paraId="085B9B34">
      <w:pPr>
        <w:rPr>
          <w:rFonts w:ascii="Arial" w:hAnsi="Arial" w:cs="Arial"/>
          <w:color w:val="000000"/>
        </w:rPr>
      </w:pPr>
    </w:p>
    <w:p w14:paraId="07AB0196">
      <w:pPr>
        <w:rPr>
          <w:rFonts w:ascii="Arial" w:hAnsi="Arial" w:cs="Arial"/>
          <w:color w:val="000000"/>
        </w:rPr>
      </w:pPr>
    </w:p>
    <w:p w14:paraId="4E53529F">
      <w:pPr>
        <w:rPr>
          <w:rFonts w:ascii="Arial" w:hAnsi="Arial" w:cs="Arial"/>
          <w:color w:val="000000"/>
        </w:rPr>
      </w:pPr>
    </w:p>
    <w:p w14:paraId="0A797A2D">
      <w:pPr>
        <w:rPr>
          <w:rFonts w:ascii="Arial" w:hAnsi="Arial" w:cs="Arial"/>
          <w:color w:val="000000"/>
        </w:rPr>
      </w:pPr>
    </w:p>
    <w:p w14:paraId="47E7861C">
      <w:pPr>
        <w:rPr>
          <w:rFonts w:ascii="Arial" w:hAnsi="Arial" w:cs="Arial"/>
          <w:color w:val="000000"/>
        </w:rPr>
      </w:pPr>
    </w:p>
    <w:p w14:paraId="39F7A3C7">
      <w:pPr>
        <w:rPr>
          <w:rFonts w:ascii="Arial" w:hAnsi="Arial" w:cs="Arial"/>
          <w:color w:val="000000"/>
        </w:rPr>
      </w:pPr>
    </w:p>
    <w:p w14:paraId="5D19763A">
      <w:pPr>
        <w:rPr>
          <w:rFonts w:ascii="Arial" w:hAnsi="Arial" w:cs="Arial"/>
          <w:color w:val="000000"/>
        </w:rPr>
      </w:pPr>
    </w:p>
    <w:p w14:paraId="1684123F">
      <w:pPr>
        <w:rPr>
          <w:rFonts w:ascii="Arial" w:hAnsi="Arial" w:cs="Arial"/>
          <w:color w:val="000000"/>
        </w:rPr>
      </w:pPr>
    </w:p>
    <w:p w14:paraId="218E6044">
      <w:pPr>
        <w:rPr>
          <w:rFonts w:ascii="Arial" w:hAnsi="Arial" w:cs="Arial"/>
          <w:color w:val="000000"/>
        </w:rPr>
      </w:pPr>
    </w:p>
    <w:p w14:paraId="59DCF6EE">
      <w:pPr>
        <w:rPr>
          <w:rFonts w:ascii="Arial" w:hAnsi="Arial" w:cs="Arial"/>
          <w:color w:val="000000"/>
        </w:rPr>
      </w:pPr>
    </w:p>
    <w:p w14:paraId="3E29D2F6">
      <w:pPr>
        <w:rPr>
          <w:rFonts w:ascii="Arial" w:hAnsi="Arial" w:cs="Arial"/>
          <w:color w:val="000000"/>
        </w:rPr>
      </w:pPr>
    </w:p>
    <w:p w14:paraId="7776FD98">
      <w:pPr>
        <w:rPr>
          <w:rFonts w:ascii="Arial" w:hAnsi="Arial" w:cs="Arial"/>
          <w:color w:val="000000"/>
        </w:rPr>
      </w:pPr>
    </w:p>
    <w:p w14:paraId="25560ABE">
      <w:pPr>
        <w:rPr>
          <w:rFonts w:ascii="Arial" w:hAnsi="Arial" w:cs="Arial"/>
          <w:color w:val="000000"/>
        </w:rPr>
      </w:pPr>
    </w:p>
    <w:p w14:paraId="0E9BF6CB">
      <w:pPr>
        <w:rPr>
          <w:rFonts w:ascii="Arial" w:hAnsi="Arial" w:cs="Arial"/>
          <w:color w:val="000000"/>
        </w:rPr>
      </w:pPr>
    </w:p>
    <w:p w14:paraId="72A31BB3">
      <w:pPr>
        <w:rPr>
          <w:rFonts w:ascii="Arial" w:hAnsi="Arial" w:cs="Arial"/>
          <w:color w:val="000000"/>
        </w:rPr>
      </w:pPr>
    </w:p>
    <w:p w14:paraId="6785326C">
      <w:pPr>
        <w:rPr>
          <w:rFonts w:ascii="Arial" w:hAnsi="Arial" w:cs="Arial"/>
          <w:color w:val="000000"/>
        </w:rPr>
      </w:pPr>
    </w:p>
    <w:p w14:paraId="1E8AC004">
      <w:pPr>
        <w:rPr>
          <w:rFonts w:ascii="Arial" w:hAnsi="Arial" w:cs="Arial"/>
          <w:color w:val="000000"/>
        </w:rPr>
      </w:pPr>
    </w:p>
    <w:p w14:paraId="50537C08">
      <w:pPr>
        <w:rPr>
          <w:rFonts w:ascii="Arial" w:hAnsi="Arial" w:cs="Arial"/>
          <w:color w:val="000000"/>
        </w:rPr>
      </w:pPr>
    </w:p>
    <w:p w14:paraId="2D5D4BE9">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0518258B">
      <w:pPr>
        <w:rPr>
          <w:rFonts w:ascii="Arial" w:hAnsi="Arial" w:cs="Arial"/>
          <w:b/>
          <w:bCs/>
          <w:color w:val="000000"/>
        </w:rPr>
      </w:pPr>
      <w:r>
        <w:rPr>
          <w:rFonts w:ascii="Arial" w:hAnsi="Arial" w:cs="Arial"/>
          <w:b/>
          <w:bCs/>
          <w:color w:val="000000"/>
        </w:rPr>
        <w:tab/>
      </w:r>
    </w:p>
    <w:p w14:paraId="535F5B0A">
      <w:pPr>
        <w:ind w:left="360"/>
        <w:jc w:val="center"/>
        <w:rPr>
          <w:rFonts w:ascii="Arial" w:hAnsi="Arial" w:cs="Arial"/>
          <w:b/>
          <w:bCs/>
          <w:color w:val="000000"/>
        </w:rPr>
      </w:pPr>
    </w:p>
    <w:p w14:paraId="43B740FB">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785C8EC2">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C598BA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4852EE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2FA606C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1A5414F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7D0AA42A">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4A6FFB6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60C61F61">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6BA82F8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5B363A7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35D0DDF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01120FBA">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10B5406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4AD1092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497E4246">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52D55AD1">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291ED96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4D0BB84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29BDF0C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570AC9D8">
      <w:pPr>
        <w:rPr>
          <w:rFonts w:ascii="Calibri" w:hAnsi="Calibri" w:eastAsia="Calibri"/>
          <w:color w:val="000000"/>
          <w:sz w:val="22"/>
          <w:szCs w:val="22"/>
        </w:rPr>
      </w:pPr>
    </w:p>
    <w:p w14:paraId="465764C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3B63D71">
      <w:pPr>
        <w:rPr>
          <w:rFonts w:ascii="Calibri" w:hAnsi="Calibri" w:eastAsia="Calibri"/>
          <w:color w:val="000000"/>
          <w:sz w:val="22"/>
          <w:szCs w:val="22"/>
        </w:rPr>
      </w:pPr>
    </w:p>
    <w:p w14:paraId="58F3E51B">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2A3DFDC2">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5B9A413A">
      <w:pPr>
        <w:rPr>
          <w:rFonts w:ascii="Calibri" w:hAnsi="Calibri" w:eastAsia="Calibri"/>
          <w:color w:val="000000"/>
          <w:sz w:val="22"/>
          <w:szCs w:val="22"/>
        </w:rPr>
      </w:pPr>
    </w:p>
    <w:p w14:paraId="7CEA216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21882EB2">
      <w:pPr>
        <w:jc w:val="both"/>
        <w:rPr>
          <w:rFonts w:hint="default" w:ascii="Arial" w:hAnsi="Arial" w:cs="Arial"/>
          <w:b/>
          <w:bCs/>
          <w:color w:val="000000"/>
          <w:lang w:val="sr-Latn-RS"/>
        </w:rPr>
      </w:pPr>
    </w:p>
    <w:p w14:paraId="6F4050F7">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15C53A5A">
      <w:pPr>
        <w:spacing w:after="160" w:line="259" w:lineRule="auto"/>
        <w:jc w:val="both"/>
        <w:rPr>
          <w:rFonts w:ascii="Arial" w:hAnsi="Arial" w:eastAsia="Calibri" w:cs="Arial"/>
          <w:color w:val="000000"/>
          <w:sz w:val="22"/>
          <w:szCs w:val="22"/>
        </w:rPr>
      </w:pPr>
    </w:p>
    <w:p w14:paraId="494CCD98">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68B5634">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rPr>
          <w:rFonts w:hint="default" w:ascii="Arial"/>
          <w:lang w:val="sr-Latn-RS"/>
        </w:rPr>
        <w:t>163.000,00</w:t>
      </w:r>
      <w:r>
        <w:t xml:space="preserve"> </w:t>
      </w:r>
      <w:r>
        <w:rPr>
          <w:rFonts w:hint="default"/>
        </w:rPr>
        <w:t> </w:t>
      </w:r>
      <w:r>
        <w:t xml:space="preserve"> </w:t>
      </w:r>
      <w:r>
        <w:rPr>
          <w:rFonts w:ascii="Arial" w:hAnsi="Arial" w:eastAsia="Calibri" w:cs="Arial"/>
          <w:color w:val="000000"/>
          <w:sz w:val="22"/>
          <w:szCs w:val="22"/>
        </w:rPr>
        <w:t>€;</w:t>
      </w:r>
    </w:p>
    <w:p w14:paraId="42197F10">
      <w:pPr>
        <w:jc w:val="both"/>
        <w:rPr>
          <w:rFonts w:ascii="Arial" w:hAnsi="Arial" w:cs="Arial"/>
          <w:b/>
          <w:bCs/>
          <w:color w:val="000000"/>
        </w:rPr>
      </w:pPr>
    </w:p>
    <w:p w14:paraId="0356E10E">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37B39DA1">
      <w:pPr>
        <w:jc w:val="both"/>
        <w:rPr>
          <w:rFonts w:ascii="Arial" w:hAnsi="Arial" w:cs="Arial"/>
          <w:color w:val="000000"/>
        </w:rPr>
      </w:pPr>
      <w:r>
        <w:rPr>
          <w:rFonts w:ascii="Arial" w:hAnsi="Arial" w:cs="Arial"/>
          <w:color w:val="000000"/>
        </w:rPr>
        <w:t>Nije primjenjivo</w:t>
      </w:r>
    </w:p>
    <w:p w14:paraId="46D510C6">
      <w:pPr>
        <w:jc w:val="both"/>
        <w:rPr>
          <w:rFonts w:ascii="Arial" w:hAnsi="Arial" w:cs="Arial"/>
          <w:color w:val="000000"/>
        </w:rPr>
      </w:pPr>
    </w:p>
    <w:p w14:paraId="04B62C72">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128D5E5C">
      <w:pPr>
        <w:jc w:val="both"/>
        <w:rPr>
          <w:rFonts w:ascii="Arial" w:hAnsi="Arial" w:cs="Arial"/>
          <w:color w:val="000000"/>
        </w:rPr>
      </w:pPr>
    </w:p>
    <w:p w14:paraId="1CDA2957">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163DD1A4">
      <w:pPr>
        <w:jc w:val="both"/>
        <w:rPr>
          <w:rFonts w:ascii="Arial" w:hAnsi="Arial" w:cs="Arial"/>
          <w:color w:val="000000"/>
        </w:rPr>
      </w:pPr>
    </w:p>
    <w:p w14:paraId="190918EC">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7DF450A0">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61DCA11A">
      <w:pPr>
        <w:jc w:val="both"/>
        <w:rPr>
          <w:rFonts w:ascii="Arial" w:hAnsi="Arial" w:cs="Arial"/>
          <w:color w:val="000000"/>
        </w:rPr>
      </w:pPr>
    </w:p>
    <w:p w14:paraId="56D1500C">
      <w:pPr>
        <w:jc w:val="both"/>
        <w:rPr>
          <w:rFonts w:ascii="Arial" w:hAnsi="Arial" w:cs="Arial"/>
        </w:rPr>
      </w:pPr>
    </w:p>
    <w:p w14:paraId="54CB5A2B">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C5EC6D3">
      <w:pPr>
        <w:jc w:val="both"/>
        <w:rPr>
          <w:rFonts w:ascii="Arial" w:hAnsi="Arial" w:cs="Arial"/>
        </w:rPr>
      </w:pPr>
    </w:p>
    <w:p w14:paraId="67E33198">
      <w:pPr>
        <w:jc w:val="both"/>
        <w:rPr>
          <w:rFonts w:hint="default" w:ascii="Arial" w:hAnsi="Arial" w:cs="Arial"/>
          <w:lang w:val="sr-Latn-RS"/>
        </w:rPr>
      </w:pPr>
      <w:r>
        <w:rPr>
          <w:rFonts w:ascii="Arial" w:hAnsi="Arial" w:cs="Arial"/>
          <w:color w:val="222A35"/>
        </w:rPr>
        <w:t xml:space="preserve">Elektronska aukcija </w:t>
      </w:r>
      <w:r>
        <w:rPr>
          <w:rFonts w:hint="default" w:ascii="Arial" w:hAnsi="Arial" w:cs="Arial"/>
          <w:color w:val="222A35"/>
          <w:lang w:val="sr-Latn-RS"/>
        </w:rPr>
        <w:t xml:space="preserve">se ne sporvodi </w:t>
      </w:r>
    </w:p>
    <w:p w14:paraId="349AF2D8">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25FEED81">
      <w:pPr>
        <w:jc w:val="both"/>
        <w:rPr>
          <w:rFonts w:ascii="Arial" w:hAnsi="Arial" w:cs="Arial"/>
          <w:color w:val="FF0000"/>
        </w:rPr>
      </w:pPr>
    </w:p>
    <w:p w14:paraId="4360B32C">
      <w:pPr>
        <w:jc w:val="both"/>
        <w:rPr>
          <w:rFonts w:hint="default" w:ascii="Arial" w:hAnsi="Arial" w:cs="Arial"/>
          <w:color w:val="000000"/>
          <w:lang w:val="sr-Latn-RS"/>
        </w:rPr>
      </w:pPr>
      <w:r>
        <w:rPr>
          <w:rFonts w:ascii="Arial" w:hAnsi="Arial" w:cs="Arial"/>
          <w:color w:val="222A35"/>
        </w:rPr>
        <w:t xml:space="preserve">Elektronski katalog </w:t>
      </w:r>
      <w:r>
        <w:rPr>
          <w:rFonts w:hint="default" w:ascii="Arial" w:hAnsi="Arial" w:cs="Arial"/>
          <w:color w:val="222A35"/>
          <w:lang w:val="sr-Latn-RS"/>
        </w:rPr>
        <w:t xml:space="preserve">nije primjenljiv </w:t>
      </w:r>
    </w:p>
    <w:p w14:paraId="5A5BB2B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5410E5C6">
      <w:pPr>
        <w:jc w:val="both"/>
        <w:rPr>
          <w:rFonts w:ascii="Arial" w:hAnsi="Arial" w:cs="Arial"/>
          <w:b/>
          <w:bCs/>
          <w:color w:val="000000"/>
        </w:rPr>
      </w:pPr>
    </w:p>
    <w:p w14:paraId="2977A3D4">
      <w:pPr>
        <w:jc w:val="both"/>
        <w:rPr>
          <w:rFonts w:ascii="Arial" w:hAnsi="Arial" w:cs="Arial"/>
        </w:rPr>
      </w:pPr>
      <w:r>
        <w:rPr>
          <w:rFonts w:ascii="Arial" w:hAnsi="Arial" w:cs="Arial"/>
        </w:rPr>
        <w:t>Mogućnost podnošenja ponude sa varijantama</w:t>
      </w:r>
    </w:p>
    <w:p w14:paraId="61BA18BD">
      <w:pPr>
        <w:jc w:val="both"/>
        <w:rPr>
          <w:rFonts w:ascii="Arial" w:hAnsi="Arial" w:cs="Arial"/>
        </w:rPr>
      </w:pPr>
    </w:p>
    <w:p w14:paraId="1CF8D549">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4258037A">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2385E688">
      <w:pPr>
        <w:jc w:val="both"/>
        <w:rPr>
          <w:rFonts w:ascii="Arial" w:hAnsi="Arial" w:cs="Arial"/>
          <w:b/>
          <w:bCs/>
          <w:color w:val="FF0000"/>
        </w:rPr>
      </w:pPr>
    </w:p>
    <w:p w14:paraId="740D761D">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7AC898A7">
      <w:pPr>
        <w:jc w:val="both"/>
        <w:rPr>
          <w:rFonts w:ascii="Arial" w:hAnsi="Arial" w:cs="Arial"/>
          <w:b/>
          <w:bCs/>
          <w:color w:val="FF0000"/>
        </w:rPr>
      </w:pPr>
    </w:p>
    <w:p w14:paraId="63E1FD9C">
      <w:pPr>
        <w:jc w:val="both"/>
        <w:rPr>
          <w:rFonts w:ascii="Arial" w:hAnsi="Arial" w:cs="Arial"/>
        </w:rPr>
      </w:pPr>
      <w:r>
        <w:rPr>
          <w:rFonts w:ascii="Arial" w:hAnsi="Arial" w:cs="Arial"/>
          <w:color w:val="000000"/>
        </w:rPr>
        <w:sym w:font="Wingdings" w:char="F0A8"/>
      </w:r>
      <w:r>
        <w:rPr>
          <w:rFonts w:ascii="Arial" w:hAnsi="Arial" w:cs="Arial"/>
        </w:rPr>
        <w:t>Da</w:t>
      </w:r>
    </w:p>
    <w:p w14:paraId="19E9B2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551E9198">
      <w:pPr>
        <w:jc w:val="both"/>
        <w:rPr>
          <w:rFonts w:ascii="Arial" w:hAnsi="Arial" w:cs="Arial"/>
          <w:b/>
          <w:bCs/>
          <w:color w:val="FF0000"/>
        </w:rPr>
      </w:pPr>
    </w:p>
    <w:p w14:paraId="135CD6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BB0BE28">
      <w:pPr>
        <w:jc w:val="both"/>
        <w:rPr>
          <w:rFonts w:ascii="Arial" w:hAnsi="Arial" w:cs="Arial"/>
          <w:bCs/>
          <w:color w:val="FF0000"/>
        </w:rPr>
      </w:pPr>
    </w:p>
    <w:p w14:paraId="7C28B5B4">
      <w:pPr>
        <w:jc w:val="both"/>
        <w:rPr>
          <w:rFonts w:hint="default" w:ascii="Arial" w:hAnsi="Arial" w:cs="Arial"/>
          <w:bCs/>
          <w:color w:val="FF0000"/>
          <w:lang w:val="sr-Latn-RS"/>
        </w:rPr>
      </w:pPr>
      <w:r>
        <w:rPr>
          <w:rFonts w:hint="default" w:ascii="Arial" w:hAnsi="Arial" w:cs="Arial"/>
          <w:bCs/>
          <w:color w:val="000000"/>
          <w:lang w:val="sr-Latn-RS"/>
        </w:rPr>
        <w:t>Nije primjenljivo</w:t>
      </w:r>
    </w:p>
    <w:p w14:paraId="2C8F906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37436073">
      <w:pPr>
        <w:jc w:val="both"/>
        <w:rPr>
          <w:rFonts w:ascii="Arial" w:hAnsi="Arial" w:cs="Arial"/>
        </w:rPr>
      </w:pPr>
    </w:p>
    <w:p w14:paraId="06282DEF">
      <w:pPr>
        <w:rPr>
          <w:rFonts w:ascii="Arial" w:hAnsi="Arial" w:cs="Arial"/>
        </w:rPr>
      </w:pPr>
      <w:r>
        <w:rPr>
          <w:rFonts w:ascii="Arial" w:hAnsi="Arial" w:cs="Arial"/>
        </w:rPr>
        <w:t xml:space="preserve">Privredni subjekat će se isključiti iz postupka javne nabavke, ako: </w:t>
      </w:r>
    </w:p>
    <w:p w14:paraId="73D3F832">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7D12ECC0">
      <w:pPr>
        <w:numPr>
          <w:ilvl w:val="0"/>
          <w:numId w:val="6"/>
        </w:numPr>
        <w:rPr>
          <w:rFonts w:ascii="Arial" w:hAnsi="Arial" w:cs="Arial"/>
        </w:rPr>
      </w:pPr>
      <w:r>
        <w:rPr>
          <w:rFonts w:ascii="Arial" w:hAnsi="Arial" w:cs="Arial"/>
        </w:rPr>
        <w:t>postoji sukob interesa iz člana 41 stav 1 tačka 2 ili člana 42 ovog zakona;</w:t>
      </w:r>
    </w:p>
    <w:p w14:paraId="4086DAE5">
      <w:pPr>
        <w:numPr>
          <w:ilvl w:val="0"/>
          <w:numId w:val="6"/>
        </w:numPr>
        <w:rPr>
          <w:rFonts w:ascii="Arial" w:hAnsi="Arial" w:cs="Arial"/>
        </w:rPr>
      </w:pPr>
      <w:r>
        <w:rPr>
          <w:rFonts w:ascii="Arial" w:hAnsi="Arial" w:cs="Arial"/>
        </w:rPr>
        <w:t>ne ispunjava uslov iz člana 99 ovog zakona;</w:t>
      </w:r>
    </w:p>
    <w:p w14:paraId="6E308B43">
      <w:pPr>
        <w:numPr>
          <w:ilvl w:val="0"/>
          <w:numId w:val="6"/>
        </w:numPr>
        <w:rPr>
          <w:rFonts w:ascii="Arial" w:hAnsi="Arial" w:cs="Arial"/>
        </w:rPr>
      </w:pPr>
      <w:r>
        <w:rPr>
          <w:rFonts w:ascii="Arial" w:hAnsi="Arial" w:cs="Arial"/>
        </w:rPr>
        <w:t>ne ispunjava uslov iz čl. 102, 104 ili 106 ovog zakona predviđen tenderskom dokumentacijom;</w:t>
      </w:r>
    </w:p>
    <w:p w14:paraId="3483E8DD">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06FA89C5">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1871D075">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082E6AE">
      <w:pPr>
        <w:numPr>
          <w:ilvl w:val="0"/>
          <w:numId w:val="6"/>
        </w:numPr>
        <w:rPr>
          <w:rFonts w:ascii="Arial" w:hAnsi="Arial" w:cs="Arial"/>
        </w:rPr>
      </w:pPr>
      <w:r>
        <w:rPr>
          <w:rFonts w:ascii="Arial" w:hAnsi="Arial" w:cs="Arial"/>
        </w:rPr>
        <w:t>postoji drugi razlog propisan ovim zakonom.</w:t>
      </w:r>
    </w:p>
    <w:p w14:paraId="1A47C50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00F14E8A">
      <w:pPr>
        <w:jc w:val="both"/>
        <w:rPr>
          <w:rFonts w:ascii="Arial" w:hAnsi="Arial" w:cs="Arial"/>
          <w:color w:val="000000"/>
        </w:rPr>
      </w:pPr>
    </w:p>
    <w:p w14:paraId="779C32E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2DA7DF8C">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44C55965">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1B034A1A">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165EBCE5">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E82A5C7">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43D7A71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305661F">
      <w:pPr>
        <w:rPr>
          <w:rFonts w:ascii="Arial" w:hAnsi="Arial" w:cs="Arial"/>
        </w:rPr>
      </w:pPr>
    </w:p>
    <w:p w14:paraId="2BC583A7">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383C2938">
      <w:pPr>
        <w:rPr>
          <w:rFonts w:ascii="Arial" w:hAnsi="Arial" w:cs="Arial"/>
        </w:rPr>
      </w:pPr>
      <w:r>
        <w:rPr>
          <w:rFonts w:ascii="Arial" w:hAnsi="Arial" w:cs="Arial"/>
          <w:color w:val="000000"/>
        </w:rPr>
        <w:sym w:font="Wingdings" w:char="F0A8"/>
      </w:r>
      <w:r>
        <w:rPr>
          <w:rFonts w:ascii="Arial" w:hAnsi="Arial" w:cs="Arial"/>
        </w:rPr>
        <w:t xml:space="preserve">cijena, </w:t>
      </w:r>
    </w:p>
    <w:p w14:paraId="3617E655">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48D967C0">
      <w:pPr>
        <w:rPr>
          <w:rFonts w:ascii="Arial" w:hAnsi="Arial" w:cs="Arial"/>
        </w:rPr>
      </w:pPr>
      <w:r>
        <w:rPr>
          <w:rFonts w:ascii="Arial" w:hAnsi="Arial" w:cs="Arial"/>
          <w:color w:val="000000"/>
        </w:rPr>
        <w:sym w:font="Wingdings" w:char="F0A8"/>
      </w:r>
      <w:r>
        <w:rPr>
          <w:rFonts w:ascii="Arial" w:hAnsi="Arial" w:cs="Arial"/>
        </w:rPr>
        <w:t>trošak životnog ciklusa.</w:t>
      </w:r>
    </w:p>
    <w:p w14:paraId="0C9782AA">
      <w:pPr>
        <w:rPr>
          <w:rFonts w:ascii="Arial" w:hAnsi="Arial" w:cs="Arial"/>
        </w:rPr>
      </w:pPr>
    </w:p>
    <w:p w14:paraId="61C27EC8">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0D2EEEB0">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009BFCA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183C9C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2DD00AD9">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0D29D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41A9B8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1CDF07C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5DD5B5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F500A7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6CF17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76362201">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85F6CF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2D3D6E87">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58F2C3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1EBD748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6EF8AB23">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304943A2">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8A8560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 izvođenja radova  ( 10 poena)</w:t>
      </w:r>
    </w:p>
    <w:p w14:paraId="7558040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EE4B1D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Pod kriterijum kvalitet: </w:t>
      </w:r>
      <w:r>
        <w:t>Parametar kvalitet (K) vrednovaće se na sljedeći način: max 10 bodova. Za izbor najpovoljnije ponude primjenom parametra kvalitet, kao osnova za vrednovanje uzima se rok izvršenja radova Ponuđač sa najkraćim ponuđenim rokom tj brojem dana za izvođenje radova od dana uvođenja u posao dobija maksimalni broj bodova u skladu sa ovim parametrom, a drugi ponuđači dobijaju proporcionalno manji broj bodova po formuli: Broj bodova (K)= (najkraći ponuđeni broj dana izvođenja radova / ponuđeni broj dana izvođenja radova) × 10 NAPOMENA: Ponuđač ponuđeni broj dana izvođenja radova od dana uvođenja u posao dokazuje dostavljanjem potpisane i ovjerene Izjave. ( Ponuđeni rok ne može biti kraći od 20 niti duži od 25 dana)</w:t>
      </w:r>
    </w:p>
    <w:p w14:paraId="5165DB4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28B01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4356C18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Kmin- najkraći ponuđeni rok za izvođenje radova</w:t>
      </w:r>
    </w:p>
    <w:p w14:paraId="6A0B4EB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Kp – ponuđeni rok za izvođenje radova</w:t>
      </w:r>
    </w:p>
    <w:p w14:paraId="1A0EE83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CDCA4FE">
      <w:pPr>
        <w:pBdr>
          <w:top w:val="single" w:color="auto" w:sz="4" w:space="1"/>
          <w:left w:val="single" w:color="auto" w:sz="4" w:space="4"/>
          <w:bottom w:val="single" w:color="auto" w:sz="4" w:space="1"/>
          <w:right w:val="single" w:color="auto" w:sz="4" w:space="4"/>
        </w:pBdr>
        <w:jc w:val="both"/>
        <w:rPr>
          <w:rFonts w:ascii="Arial" w:hAnsi="Arial" w:cs="Arial"/>
        </w:rPr>
      </w:pPr>
    </w:p>
    <w:p w14:paraId="54AE0BFD">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17276E2C">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296BC8A7">
      <w:pPr>
        <w:jc w:val="both"/>
        <w:rPr>
          <w:rFonts w:ascii="Arial" w:hAnsi="Arial" w:cs="Arial"/>
          <w:color w:val="000000"/>
        </w:rPr>
      </w:pPr>
    </w:p>
    <w:p w14:paraId="374FE843">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25B3B8CD">
      <w:pPr>
        <w:jc w:val="both"/>
        <w:rPr>
          <w:rFonts w:ascii="Arial" w:hAnsi="Arial" w:cs="Arial"/>
        </w:rPr>
      </w:pPr>
    </w:p>
    <w:p w14:paraId="5F6961A8">
      <w:pPr>
        <w:jc w:val="both"/>
        <w:rPr>
          <w:rFonts w:hint="default" w:ascii="Arial" w:hAnsi="Arial" w:cs="Arial"/>
          <w:color w:val="000000"/>
          <w:lang w:val="sr-Latn-RS"/>
        </w:rPr>
      </w:pPr>
      <w:r>
        <w:rPr>
          <w:rFonts w:hint="default" w:ascii="Arial" w:hAnsi="Arial" w:cs="Arial"/>
          <w:lang w:val="sr-Latn-RS"/>
        </w:rPr>
        <w:t>Neće se vrednovati.</w:t>
      </w:r>
    </w:p>
    <w:p w14:paraId="7091AB4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2D420180">
      <w:pPr>
        <w:jc w:val="both"/>
        <w:rPr>
          <w:rFonts w:ascii="Arial" w:hAnsi="Arial" w:cs="Arial"/>
          <w:b/>
          <w:bCs/>
          <w:color w:val="000000"/>
        </w:rPr>
      </w:pPr>
    </w:p>
    <w:p w14:paraId="58DDD958">
      <w:pPr>
        <w:jc w:val="both"/>
        <w:rPr>
          <w:rFonts w:ascii="Arial" w:hAnsi="Arial" w:cs="Arial"/>
          <w:color w:val="000000"/>
        </w:rPr>
      </w:pPr>
      <w:r>
        <w:rPr>
          <w:rFonts w:ascii="Arial" w:hAnsi="Arial" w:cs="Arial"/>
          <w:color w:val="000000"/>
        </w:rPr>
        <w:t>Ponuda se sačinjava na:</w:t>
      </w:r>
    </w:p>
    <w:p w14:paraId="734F985C">
      <w:pPr>
        <w:jc w:val="both"/>
        <w:rPr>
          <w:rFonts w:ascii="Arial" w:hAnsi="Arial" w:cs="Arial"/>
          <w:b/>
          <w:bCs/>
          <w:color w:val="000000"/>
        </w:rPr>
      </w:pPr>
    </w:p>
    <w:p w14:paraId="6A72D208">
      <w:pPr>
        <w:jc w:val="both"/>
        <w:rPr>
          <w:rFonts w:ascii="Arial" w:hAnsi="Arial" w:cs="Arial"/>
          <w:color w:val="000000"/>
        </w:rPr>
      </w:pPr>
      <w:r>
        <w:rPr>
          <w:rFonts w:ascii="Arial" w:hAnsi="Arial" w:cs="Arial"/>
          <w:color w:val="000000"/>
        </w:rPr>
        <w:sym w:font="Wingdings" w:char="00FE"/>
      </w:r>
      <w:r>
        <w:rPr>
          <w:rFonts w:ascii="Arial" w:hAnsi="Arial" w:cs="Arial"/>
          <w:color w:val="000000"/>
        </w:rPr>
        <w:t>crnogorski jezik i drugi jezik koji je u službenoj upotrebi u Crnoj Gori, u skladu sa Ustavom i zakonom</w:t>
      </w:r>
    </w:p>
    <w:p w14:paraId="57E81A65">
      <w:pPr>
        <w:jc w:val="both"/>
        <w:rPr>
          <w:rFonts w:ascii="Arial" w:hAnsi="Arial" w:cs="Arial"/>
        </w:rPr>
      </w:pPr>
    </w:p>
    <w:p w14:paraId="59A9B53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06BB3EA3">
      <w:pPr>
        <w:jc w:val="both"/>
        <w:rPr>
          <w:rFonts w:ascii="Arial" w:hAnsi="Arial" w:cs="Arial"/>
          <w:b/>
          <w:bCs/>
          <w:color w:val="000000"/>
        </w:rPr>
      </w:pPr>
    </w:p>
    <w:p w14:paraId="71F27453">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25</w:t>
      </w:r>
      <w:r>
        <w:rPr>
          <w:rFonts w:ascii="Arial" w:hAnsi="Arial" w:cs="Arial"/>
          <w:color w:val="000000"/>
        </w:rPr>
        <w:t>.</w:t>
      </w:r>
      <w:r>
        <w:rPr>
          <w:rFonts w:hint="default" w:ascii="Arial" w:hAnsi="Arial" w:cs="Arial"/>
          <w:color w:val="000000"/>
          <w:lang w:val="sr-Latn-RS"/>
        </w:rPr>
        <w:t>05</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do </w:t>
      </w:r>
      <w:r>
        <w:rPr>
          <w:rFonts w:hint="default" w:ascii="Arial" w:hAnsi="Arial" w:cs="Arial"/>
          <w:color w:val="000000"/>
          <w:lang w:val="sr-Latn-RS"/>
        </w:rPr>
        <w:t>09</w:t>
      </w:r>
      <w:r>
        <w:rPr>
          <w:rFonts w:ascii="Arial" w:hAnsi="Arial" w:cs="Arial"/>
          <w:color w:val="000000"/>
        </w:rPr>
        <w:t xml:space="preserve"> sati.</w:t>
      </w:r>
    </w:p>
    <w:p w14:paraId="34E718F5">
      <w:pPr>
        <w:jc w:val="both"/>
        <w:rPr>
          <w:rFonts w:ascii="Arial" w:hAnsi="Arial" w:cs="Arial"/>
          <w:b/>
          <w:bCs/>
          <w:i/>
          <w:iCs/>
          <w:color w:val="000000"/>
        </w:rPr>
      </w:pPr>
    </w:p>
    <w:p w14:paraId="195CDC85">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25</w:t>
      </w:r>
      <w:r>
        <w:rPr>
          <w:rFonts w:ascii="Arial" w:hAnsi="Arial" w:cs="Arial"/>
          <w:color w:val="000000"/>
        </w:rPr>
        <w:t>.</w:t>
      </w:r>
      <w:r>
        <w:rPr>
          <w:rFonts w:hint="default" w:ascii="Arial" w:hAnsi="Arial" w:cs="Arial"/>
          <w:color w:val="000000"/>
          <w:lang w:val="sr-Latn-RS"/>
        </w:rPr>
        <w:t>05</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u </w:t>
      </w:r>
      <w:r>
        <w:rPr>
          <w:rFonts w:hint="default" w:ascii="Arial" w:hAnsi="Arial" w:cs="Arial"/>
          <w:color w:val="000000"/>
          <w:lang w:val="sr-Latn-RS"/>
        </w:rPr>
        <w:t>9</w:t>
      </w:r>
      <w:r>
        <w:rPr>
          <w:rFonts w:ascii="Arial" w:hAnsi="Arial" w:cs="Arial"/>
          <w:color w:val="000000"/>
        </w:rPr>
        <w:t xml:space="preserve"> sati. </w:t>
      </w:r>
    </w:p>
    <w:p w14:paraId="1FA50C50">
      <w:pPr>
        <w:jc w:val="both"/>
        <w:rPr>
          <w:rFonts w:ascii="Arial" w:hAnsi="Arial" w:cs="Arial"/>
          <w:color w:val="000000"/>
        </w:rPr>
      </w:pPr>
    </w:p>
    <w:p w14:paraId="43C60C1B">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3E13ABC4">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25</w:t>
      </w:r>
      <w:r>
        <w:rPr>
          <w:rFonts w:ascii="Arial" w:hAnsi="Arial" w:cs="Arial"/>
          <w:sz w:val="24"/>
          <w:szCs w:val="24"/>
          <w:shd w:val="clear" w:color="auto" w:fill="FFFFFF"/>
        </w:rPr>
        <w:t>.</w:t>
      </w:r>
      <w:r>
        <w:rPr>
          <w:rFonts w:hint="default" w:ascii="Arial" w:hAnsi="Arial" w:cs="Arial"/>
          <w:sz w:val="24"/>
          <w:szCs w:val="24"/>
          <w:shd w:val="clear" w:color="auto" w:fill="FFFFFF"/>
          <w:lang w:val="sr-Latn-RS"/>
        </w:rPr>
        <w:t>05</w:t>
      </w:r>
      <w:r>
        <w:rPr>
          <w:rFonts w:ascii="Arial" w:hAnsi="Arial" w:cs="Arial"/>
          <w:sz w:val="24"/>
          <w:szCs w:val="24"/>
          <w:shd w:val="clear" w:color="auto" w:fill="FFFFFF"/>
        </w:rPr>
        <w:t>.202</w:t>
      </w:r>
      <w:r>
        <w:rPr>
          <w:rFonts w:hint="default" w:ascii="Arial" w:hAnsi="Arial" w:cs="Arial"/>
          <w:sz w:val="24"/>
          <w:szCs w:val="24"/>
          <w:shd w:val="clear" w:color="auto" w:fill="FFFFFF"/>
          <w:lang w:val="sr-Latn-RS"/>
        </w:rPr>
        <w:t>6</w:t>
      </w:r>
      <w:r>
        <w:rPr>
          <w:rFonts w:ascii="Arial" w:hAnsi="Arial" w:cs="Arial"/>
          <w:sz w:val="24"/>
          <w:szCs w:val="24"/>
          <w:shd w:val="clear" w:color="auto" w:fill="FFFFFF"/>
        </w:rPr>
        <w:t xml:space="preserve">. godine do </w:t>
      </w:r>
      <w:r>
        <w:rPr>
          <w:rFonts w:hint="default" w:ascii="Arial" w:hAnsi="Arial" w:cs="Arial"/>
          <w:sz w:val="24"/>
          <w:szCs w:val="24"/>
          <w:shd w:val="clear" w:color="auto" w:fill="FFFFFF"/>
          <w:lang w:val="sr-Latn-RS"/>
        </w:rPr>
        <w:t>09</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123ADA3E">
      <w:pPr>
        <w:pStyle w:val="15"/>
        <w:rPr>
          <w:rFonts w:ascii="Arial" w:hAnsi="Arial" w:cs="Arial"/>
          <w:sz w:val="24"/>
          <w:szCs w:val="24"/>
        </w:rPr>
      </w:pPr>
    </w:p>
    <w:p w14:paraId="7F9B5EF8">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43E37EF1">
      <w:pPr>
        <w:jc w:val="both"/>
        <w:rPr>
          <w:rFonts w:ascii="Arial" w:hAnsi="Arial" w:cs="Arial"/>
          <w:color w:val="000000"/>
        </w:rPr>
      </w:pPr>
    </w:p>
    <w:p w14:paraId="029458A9">
      <w:pPr>
        <w:tabs>
          <w:tab w:val="left" w:pos="1230"/>
        </w:tabs>
        <w:jc w:val="both"/>
        <w:rPr>
          <w:rFonts w:hint="default" w:ascii="Arial" w:hAnsi="Arial" w:cs="Arial"/>
          <w:lang w:val="sr-Latn-R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hint="default" w:ascii="Arial" w:hAnsi="Arial" w:cs="Arial"/>
          <w:lang w:val="sr-Latn-RS"/>
        </w:rPr>
        <w:t xml:space="preserve"> a iz razloga jer je Građevinska sezona na sjeveru Crne Gore kratka i postoji opasnost od ne završetka radova.</w:t>
      </w:r>
    </w:p>
    <w:p w14:paraId="483409C6">
      <w:pPr>
        <w:rPr>
          <w:rFonts w:ascii="Arial" w:hAnsi="Arial" w:cs="Arial"/>
          <w:i/>
          <w:iCs/>
          <w:color w:val="000000"/>
        </w:rPr>
      </w:pPr>
    </w:p>
    <w:p w14:paraId="4F3C34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29FF55BB">
      <w:pPr>
        <w:jc w:val="both"/>
        <w:rPr>
          <w:rFonts w:ascii="Arial" w:hAnsi="Arial" w:cs="Arial"/>
          <w:b/>
          <w:bCs/>
          <w:color w:val="000000"/>
        </w:rPr>
      </w:pPr>
    </w:p>
    <w:p w14:paraId="607C5D0D">
      <w:pPr>
        <w:jc w:val="both"/>
        <w:rPr>
          <w:rFonts w:ascii="Arial" w:hAnsi="Arial" w:cs="Arial"/>
        </w:rPr>
      </w:pPr>
      <w:r>
        <w:rPr>
          <w:rFonts w:ascii="Arial" w:hAnsi="Arial" w:cs="Arial"/>
        </w:rPr>
        <w:t xml:space="preserve">Garancija ponude će se aktivirati ako ponuđač: </w:t>
      </w:r>
    </w:p>
    <w:p w14:paraId="7FEC0D3A">
      <w:pPr>
        <w:pStyle w:val="15"/>
        <w:ind w:left="567" w:hanging="283"/>
        <w:rPr>
          <w:rFonts w:ascii="Arial" w:hAnsi="Arial" w:cs="Arial"/>
          <w:sz w:val="24"/>
          <w:szCs w:val="24"/>
        </w:rPr>
      </w:pPr>
      <w:r>
        <w:rPr>
          <w:rFonts w:ascii="Arial" w:hAnsi="Arial" w:cs="Arial"/>
          <w:sz w:val="24"/>
          <w:szCs w:val="24"/>
        </w:rPr>
        <w:t>1) odustane od ponude u roku važenja ponude i/ili</w:t>
      </w:r>
    </w:p>
    <w:p w14:paraId="33901073">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0AC5DD85">
      <w:pPr>
        <w:jc w:val="both"/>
        <w:rPr>
          <w:rFonts w:ascii="Arial" w:hAnsi="Arial" w:cs="Arial"/>
          <w:color w:val="000000"/>
        </w:rPr>
      </w:pPr>
    </w:p>
    <w:p w14:paraId="6818A17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35845826">
      <w:pPr>
        <w:jc w:val="both"/>
        <w:rPr>
          <w:rFonts w:ascii="Arial" w:hAnsi="Arial" w:cs="Arial"/>
          <w:color w:val="000000"/>
        </w:rPr>
      </w:pPr>
    </w:p>
    <w:p w14:paraId="643D83E3">
      <w:pPr>
        <w:jc w:val="both"/>
        <w:rPr>
          <w:rFonts w:ascii="Arial" w:hAnsi="Arial" w:cs="Arial"/>
          <w:color w:val="000000"/>
        </w:rPr>
      </w:pPr>
      <w:r>
        <w:rPr>
          <w:rFonts w:ascii="Arial" w:hAnsi="Arial" w:cs="Arial"/>
          <w:color w:val="000000"/>
        </w:rPr>
        <w:t>Tenderska dokumentacija sadrži tajne podatke</w:t>
      </w:r>
    </w:p>
    <w:p w14:paraId="5F3540F6">
      <w:pPr>
        <w:jc w:val="both"/>
        <w:rPr>
          <w:rFonts w:ascii="Arial" w:hAnsi="Arial" w:cs="Arial"/>
          <w:color w:val="000000"/>
        </w:rPr>
      </w:pPr>
    </w:p>
    <w:p w14:paraId="358AB40B">
      <w:pPr>
        <w:jc w:val="both"/>
        <w:rPr>
          <w:rFonts w:ascii="Arial" w:hAnsi="Arial" w:cs="Arial"/>
          <w:color w:val="000000"/>
        </w:rPr>
      </w:pPr>
      <w:r>
        <w:rPr>
          <w:rFonts w:ascii="Arial" w:hAnsi="Arial" w:cs="Arial"/>
          <w:color w:val="000000"/>
        </w:rPr>
        <w:sym w:font="Wingdings" w:char="00FE"/>
      </w:r>
      <w:r>
        <w:rPr>
          <w:rFonts w:ascii="Arial" w:hAnsi="Arial" w:cs="Arial"/>
          <w:color w:val="000000"/>
        </w:rPr>
        <w:t>ne</w:t>
      </w:r>
    </w:p>
    <w:p w14:paraId="44FB541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42921527">
      <w:pPr>
        <w:jc w:val="both"/>
        <w:rPr>
          <w:rFonts w:ascii="Arial" w:hAnsi="Arial" w:cs="Arial"/>
          <w:color w:val="000000"/>
        </w:rPr>
      </w:pPr>
    </w:p>
    <w:p w14:paraId="5F7DB773">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5BB473A">
      <w:pPr>
        <w:rPr>
          <w:rFonts w:ascii="Arial" w:hAnsi="Arial" w:cs="Arial"/>
        </w:rPr>
      </w:pPr>
    </w:p>
    <w:p w14:paraId="104BE73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299494E7">
      <w:pPr>
        <w:rPr>
          <w:rFonts w:ascii="Arial" w:hAnsi="Arial" w:cs="Arial"/>
        </w:rPr>
      </w:pPr>
    </w:p>
    <w:p w14:paraId="32D74AA6">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30A6195A">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2B678CA">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5218930C">
      <w:pPr>
        <w:jc w:val="both"/>
        <w:rPr>
          <w:rFonts w:ascii="Arial" w:hAnsi="Arial" w:cs="Arial"/>
          <w:b/>
          <w:bCs/>
          <w:color w:val="000000"/>
        </w:rPr>
      </w:pPr>
    </w:p>
    <w:p w14:paraId="5F473FB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6572E8FE">
      <w:pPr>
        <w:jc w:val="both"/>
        <w:rPr>
          <w:rFonts w:ascii="Arial" w:hAnsi="Arial" w:cs="Arial"/>
          <w:i/>
        </w:rPr>
      </w:pPr>
    </w:p>
    <w:p w14:paraId="75E9E2A9">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5AC7FC4">
      <w:pPr>
        <w:jc w:val="both"/>
        <w:rPr>
          <w:rFonts w:ascii="Arial" w:hAnsi="Arial" w:cs="Arial"/>
        </w:rPr>
      </w:pPr>
    </w:p>
    <w:p w14:paraId="7FBC7FC9">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67F2142B">
      <w:pPr>
        <w:jc w:val="both"/>
        <w:rPr>
          <w:rFonts w:ascii="Arial" w:hAnsi="Arial" w:cs="Arial"/>
        </w:rPr>
      </w:pPr>
    </w:p>
    <w:p w14:paraId="5C37FC7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7C6E80B8">
      <w:pPr>
        <w:jc w:val="both"/>
        <w:rPr>
          <w:rFonts w:ascii="Arial" w:hAnsi="Arial" w:cs="Arial"/>
          <w:color w:val="000000"/>
        </w:rPr>
      </w:pPr>
    </w:p>
    <w:p w14:paraId="10A4E9C6">
      <w:pPr>
        <w:jc w:val="both"/>
        <w:rPr>
          <w:rFonts w:ascii="Arial" w:hAnsi="Arial" w:cs="Arial"/>
          <w:color w:val="000000"/>
        </w:rPr>
      </w:pPr>
      <w:r>
        <w:rPr>
          <w:rFonts w:ascii="Arial" w:hAnsi="Arial" w:cs="Arial"/>
          <w:color w:val="000000"/>
        </w:rPr>
        <w:t>___________________________________________</w:t>
      </w:r>
    </w:p>
    <w:p w14:paraId="74CDE55A">
      <w:pPr>
        <w:jc w:val="both"/>
        <w:rPr>
          <w:rFonts w:ascii="Arial" w:hAnsi="Arial" w:cs="Arial"/>
          <w:b/>
          <w:bCs/>
          <w:color w:val="000000"/>
        </w:rPr>
      </w:pPr>
    </w:p>
    <w:p w14:paraId="2967890D">
      <w:pPr>
        <w:spacing w:beforeLines="0" w:afterLines="0"/>
        <w:jc w:val="left"/>
        <w:rPr>
          <w:rFonts w:hint="default" w:ascii="Arial" w:hAnsi="Arial" w:eastAsia="TimesNewRoman" w:cs="Arial"/>
          <w:sz w:val="24"/>
          <w:szCs w:val="24"/>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r>
        <w:rPr>
          <w:rFonts w:hint="default" w:ascii="Arial" w:hAnsi="Arial" w:eastAsia="TimesNewRoman" w:cs="Arial"/>
          <w:sz w:val="24"/>
          <w:szCs w:val="24"/>
        </w:rPr>
        <w:t>1) ako su izmjene, bez obzira na njihovu vrijednost izraženu u novcu, predviđene tenderskom dokumentacijom 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ugovorom o javnoj nabavci i uključuju izmjenu cijene ili varijante, sa utvrđenim obimom i prirodom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mogućih izmjena ili varijanti, kao i uslovima u kojima se izmjene mogu vršiti, pod uslovom da se ugovorom</w:t>
      </w:r>
    </w:p>
    <w:p w14:paraId="4A75B2A8">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ne predviđaju izmjene kojima se mijenja ukupna priroda ugovora o javnoj nabavci, a povećanje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ugovora nije veće od 20% vrijednosti prvobitnog ugovora,</w:t>
      </w:r>
    </w:p>
    <w:p w14:paraId="064D145F">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2) radi nabavke dodatnih roba, usluga ili radova, koji su postali neophodni, a koji nijesu bili uključeni u</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prvobitni ugovor o javnoj nabavci, ako promjena privrednog subjekta sa kojim je zaključen ugovor nije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moguća iz ekonomskih ili tehničkih razloga, kao što su zahtjevi kompatibilnosti sa postojećom opremom,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uslugama ili radovima nabavljenim u okviru prvobitne nabavke i može da prouzrokuje značajne poteškoće ili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znatno</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povećavanje troškova za naručioca a povećanje vrijednosti ugovora nije veće od 20%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prvobitnog ugovora,</w:t>
      </w:r>
    </w:p>
    <w:p w14:paraId="746C85F4">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 kada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a povećanje vrijednosti ugovora nije veće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od 20% vrijednosti prvobitnog ugovora,</w:t>
      </w:r>
    </w:p>
    <w:p w14:paraId="5BEEDC93">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3a) kad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već se vrši samo smanjenje ugovorene</w:t>
      </w:r>
    </w:p>
    <w:p w14:paraId="0A8734DE">
      <w:pPr>
        <w:spacing w:beforeLines="0" w:afterLines="0"/>
        <w:jc w:val="left"/>
        <w:rPr>
          <w:rFonts w:hint="default" w:ascii="Arial" w:hAnsi="Arial" w:cs="Arial"/>
          <w:b/>
          <w:bCs/>
          <w:color w:val="FF0000"/>
          <w:sz w:val="24"/>
          <w:szCs w:val="24"/>
        </w:rPr>
      </w:pPr>
      <w:r>
        <w:rPr>
          <w:rFonts w:hint="default" w:ascii="Arial" w:hAnsi="Arial" w:eastAsia="TimesNewRoman" w:cs="Arial"/>
          <w:sz w:val="24"/>
          <w:szCs w:val="24"/>
        </w:rPr>
        <w:t>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3b) kad se vrši zamjena podugovarača, u skladu sa članom 128 st. 10, 11 i 12 ovog zakona,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4) ako privrednog subjekta nakon restrukturiranja, uključujući preuzimanje, spajanje, kupovinu ili stečaj,</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zamjenjuje u potpunosti ili djelimično novi pravni sljedbenik, odnosno privredni subjekat, koji ispunjava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 određene uslove zaključenog ugovora o javnoj nabavci, a izmjene su predviđene tenderskom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dokumentacijom, pod uslovom da se ne vrše druge bitne izmjene ugovora iz člana 150 stav 2 ovog zakona.</w:t>
      </w:r>
    </w:p>
    <w:p w14:paraId="20E9A70D">
      <w:pPr>
        <w:jc w:val="both"/>
        <w:rPr>
          <w:rFonts w:ascii="Arial" w:hAnsi="Arial" w:cs="Arial"/>
          <w:b/>
          <w:bCs/>
          <w:color w:val="FF0000"/>
        </w:rPr>
      </w:pPr>
    </w:p>
    <w:p w14:paraId="3D224EF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2F607AE7">
      <w:pPr>
        <w:jc w:val="both"/>
        <w:rPr>
          <w:rFonts w:ascii="Arial" w:hAnsi="Arial" w:cs="Arial"/>
        </w:rPr>
      </w:pPr>
    </w:p>
    <w:p w14:paraId="307C576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13DED51">
      <w:pPr>
        <w:jc w:val="both"/>
        <w:rPr>
          <w:rFonts w:ascii="Arial" w:hAnsi="Arial" w:cs="Arial"/>
        </w:rPr>
      </w:pPr>
    </w:p>
    <w:p w14:paraId="1C2F487C">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6058315F">
      <w:pPr>
        <w:jc w:val="both"/>
        <w:rPr>
          <w:rFonts w:ascii="Arial" w:hAnsi="Arial" w:cs="Arial"/>
        </w:rPr>
      </w:pPr>
    </w:p>
    <w:p w14:paraId="70934099">
      <w:pPr>
        <w:jc w:val="both"/>
        <w:rPr>
          <w:rFonts w:ascii="Arial" w:hAnsi="Arial" w:cs="Arial"/>
          <w:color w:val="000000"/>
          <w:u w:val="single"/>
        </w:rPr>
      </w:pPr>
      <w:r>
        <w:rPr>
          <w:rFonts w:ascii="Arial" w:hAnsi="Arial" w:cs="Arial"/>
          <w:color w:val="000000"/>
        </w:rPr>
        <w:t>Zahtjev se podnosi isključivo putem ESJN-a.</w:t>
      </w:r>
      <w:bookmarkStart w:id="15" w:name="_GoBack"/>
      <w:bookmarkEnd w:id="15"/>
    </w:p>
    <w:p w14:paraId="017E7C6D">
      <w:pPr>
        <w:tabs>
          <w:tab w:val="left" w:pos="1701"/>
          <w:tab w:val="left" w:pos="4820"/>
        </w:tabs>
        <w:jc w:val="both"/>
        <w:rPr>
          <w:rFonts w:ascii="Arial" w:hAnsi="Arial" w:cs="Arial"/>
          <w:color w:val="000000"/>
          <w:u w:val="single"/>
        </w:rPr>
      </w:pPr>
    </w:p>
    <w:p w14:paraId="74F11032">
      <w:pPr>
        <w:jc w:val="both"/>
        <w:rPr>
          <w:rFonts w:ascii="Arial" w:hAnsi="Arial" w:cs="Arial"/>
          <w:b/>
          <w:bCs/>
          <w:color w:val="000000"/>
        </w:rPr>
      </w:pPr>
    </w:p>
    <w:p w14:paraId="18B379EE">
      <w:pPr>
        <w:jc w:val="both"/>
        <w:rPr>
          <w:rFonts w:ascii="Arial" w:hAnsi="Arial" w:cs="Arial"/>
          <w:b/>
          <w:bCs/>
          <w:color w:val="000000"/>
        </w:rPr>
      </w:pPr>
    </w:p>
    <w:p w14:paraId="62E3315B">
      <w:pPr>
        <w:jc w:val="both"/>
        <w:rPr>
          <w:rFonts w:ascii="Arial" w:hAnsi="Arial" w:cs="Arial"/>
          <w:b/>
          <w:bCs/>
          <w:color w:val="000000"/>
        </w:rPr>
      </w:pPr>
    </w:p>
    <w:p w14:paraId="7CF7211F">
      <w:pPr>
        <w:jc w:val="both"/>
        <w:rPr>
          <w:rFonts w:ascii="Arial" w:hAnsi="Arial" w:cs="Arial"/>
          <w:b/>
          <w:bCs/>
          <w:color w:val="000000"/>
        </w:rPr>
      </w:pPr>
    </w:p>
    <w:p w14:paraId="0D7A38B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4" w:name="_Toc62730568"/>
      <w:r>
        <w:rPr>
          <w:rFonts w:ascii="Arial" w:hAnsi="Arial"/>
          <w:b/>
          <w:sz w:val="28"/>
          <w:szCs w:val="32"/>
        </w:rPr>
        <w:t>UPUTSTVO O PRAVNOM SREDSTVU</w:t>
      </w:r>
      <w:bookmarkEnd w:id="14"/>
    </w:p>
    <w:p w14:paraId="795B8EDB">
      <w:pPr>
        <w:tabs>
          <w:tab w:val="left" w:pos="5760"/>
        </w:tabs>
        <w:jc w:val="center"/>
        <w:rPr>
          <w:rFonts w:ascii="Arial" w:hAnsi="Arial" w:cs="Arial"/>
          <w:color w:val="000000"/>
        </w:rPr>
      </w:pPr>
    </w:p>
    <w:p w14:paraId="1D1AFB0E">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30157FB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A4C605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367799C">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C75CA87">
      <w:pPr>
        <w:tabs>
          <w:tab w:val="left" w:pos="5760"/>
        </w:tabs>
        <w:jc w:val="both"/>
        <w:rPr>
          <w:rFonts w:ascii="Arial" w:hAnsi="Arial" w:cs="Arial"/>
          <w:color w:val="000000"/>
        </w:rPr>
      </w:pPr>
    </w:p>
    <w:p w14:paraId="5A99FE03">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66ED26CE">
      <w:pPr>
        <w:autoSpaceDE w:val="0"/>
        <w:autoSpaceDN w:val="0"/>
        <w:adjustRightInd w:val="0"/>
        <w:ind w:firstLine="567"/>
        <w:jc w:val="both"/>
        <w:rPr>
          <w:rFonts w:ascii="Arial" w:hAnsi="Arial" w:cs="Arial"/>
          <w:color w:val="000000"/>
        </w:rPr>
      </w:pPr>
    </w:p>
    <w:p w14:paraId="1542C30D">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1D0E776">
      <w:pPr>
        <w:tabs>
          <w:tab w:val="left" w:pos="5760"/>
        </w:tabs>
        <w:ind w:firstLine="567"/>
        <w:jc w:val="both"/>
        <w:rPr>
          <w:rFonts w:ascii="Arial" w:hAnsi="Arial" w:cs="Arial"/>
          <w:color w:val="000000"/>
        </w:rPr>
      </w:pPr>
    </w:p>
    <w:p w14:paraId="751655E1">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008C9D97">
      <w:pPr>
        <w:tabs>
          <w:tab w:val="left" w:pos="5760"/>
        </w:tabs>
        <w:ind w:firstLine="567"/>
        <w:jc w:val="both"/>
        <w:rPr>
          <w:rFonts w:ascii="Arial" w:hAnsi="Arial" w:cs="Arial"/>
          <w:color w:val="000000"/>
        </w:rPr>
      </w:pPr>
    </w:p>
    <w:p w14:paraId="40FBDA02">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5436E7E5"/>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
    <w:altName w:val="Liberation Mono"/>
    <w:panose1 w:val="00000000000000000000"/>
    <w:charset w:val="EE"/>
    <w:family w:val="auto"/>
    <w:pitch w:val="default"/>
    <w:sig w:usb0="00000000" w:usb1="00000000" w:usb2="00000000" w:usb3="00000000" w:csb0="00000002" w:csb1="00000000"/>
  </w:font>
  <w:font w:name="Liberation Mono">
    <w:panose1 w:val="02070409020205020404"/>
    <w:charset w:val="00"/>
    <w:family w:val="auto"/>
    <w:pitch w:val="default"/>
    <w:sig w:usb0="E0000AFF" w:usb1="400078FF" w:usb2="00000001" w:usb3="00000000" w:csb0="600001BF" w:csb1="DFF7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19B511D5">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1F644E03">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13708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1D960A60">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3C4A8E68">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7D5A32F">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52082520">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1395A67B">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37FBB7E3">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1C0E7228">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49AC3602">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1ECDF536">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206A30CF"/>
    <w:rsid w:val="40CF5BF1"/>
    <w:rsid w:val="4F1976DF"/>
    <w:rsid w:val="7DA25E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qFormat/>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qFormat/>
    <w:uiPriority w:val="1"/>
    <w:rPr>
      <w:rFonts w:ascii="Calibri" w:hAnsi="Calibri" w:eastAsia="Calibri"/>
      <w:b/>
      <w:bCs/>
      <w:sz w:val="28"/>
      <w:szCs w:val="28"/>
    </w:rPr>
  </w:style>
  <w:style w:type="character" w:customStyle="1" w:styleId="11">
    <w:name w:val="Heading 2 Char"/>
    <w:basedOn w:val="4"/>
    <w:link w:val="3"/>
    <w:qFormat/>
    <w:uiPriority w:val="1"/>
    <w:rPr>
      <w:rFonts w:ascii="Calibri" w:hAnsi="Calibri" w:eastAsia="Calibri"/>
      <w:b/>
      <w:bCs/>
    </w:rPr>
  </w:style>
  <w:style w:type="character" w:customStyle="1" w:styleId="12">
    <w:name w:val="Body Text Char"/>
    <w:basedOn w:val="4"/>
    <w:link w:val="6"/>
    <w:qFormat/>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2222</Words>
  <Characters>12668</Characters>
  <Lines>105</Lines>
  <Paragraphs>29</Paragraphs>
  <TotalTime>37</TotalTime>
  <ScaleCrop>false</ScaleCrop>
  <LinksUpToDate>false</LinksUpToDate>
  <CharactersWithSpaces>14861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2026-05-07T13:42:33Z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3918AD54251F4FEE894537BA0DA71282_13</vt:lpwstr>
  </property>
</Properties>
</file>