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right"/>
        <w:rPr>
          <w:rFonts w:ascii="Arial" w:hAnsi="Arial" w:eastAsia="Times New Roman" w:cs="Arial"/>
          <w:b/>
          <w:color w:val="000000"/>
          <w:sz w:val="24"/>
          <w:szCs w:val="24"/>
          <w:lang w:val="sr-Latn-ME"/>
        </w:rPr>
      </w:pPr>
      <w:r>
        <w:rPr>
          <w:rFonts w:ascii="Arial" w:hAnsi="Arial" w:eastAsia="Times New Roman" w:cs="Arial"/>
          <w:b/>
          <w:color w:val="000000"/>
          <w:sz w:val="24"/>
          <w:szCs w:val="24"/>
          <w:lang w:val="sr-Latn-ME"/>
        </w:rPr>
        <w:t xml:space="preserve">OBRAZAC 1  </w:t>
      </w:r>
    </w:p>
    <w:p>
      <w:pPr>
        <w:spacing w:after="0" w:line="240" w:lineRule="auto"/>
        <w:rPr>
          <w:rFonts w:ascii="Arial" w:hAnsi="Arial" w:eastAsia="Times New Roman" w:cs="Arial"/>
          <w:color w:val="000000"/>
          <w:sz w:val="24"/>
          <w:szCs w:val="24"/>
          <w:lang w:val="sr-Latn-ME"/>
        </w:rPr>
      </w:pPr>
    </w:p>
    <w:p>
      <w:pPr>
        <w:tabs>
          <w:tab w:val="right" w:pos="9072"/>
        </w:tabs>
        <w:spacing w:after="0"/>
        <w:rPr>
          <w:rFonts w:ascii="Arial" w:hAnsi="Arial" w:eastAsia="Calibri" w:cs="Arial"/>
          <w:sz w:val="24"/>
          <w:szCs w:val="24"/>
          <w:lang w:val="sr-Latn-ME"/>
        </w:rPr>
      </w:pPr>
      <w:r>
        <w:rPr>
          <w:rFonts w:ascii="Arial" w:hAnsi="Arial" w:eastAsia="Calibri" w:cs="Arial"/>
          <w:color w:val="000000"/>
          <w:sz w:val="24"/>
          <w:szCs w:val="24"/>
          <w:lang w:val="sr-Latn-ME"/>
        </w:rPr>
        <w:t xml:space="preserve">Naručilac: </w:t>
      </w:r>
      <w:r>
        <w:rPr>
          <w:rFonts w:ascii="Arial" w:hAnsi="Arial" w:eastAsia="Calibri" w:cs="Arial"/>
          <w:b/>
          <w:color w:val="000000"/>
          <w:sz w:val="24"/>
          <w:szCs w:val="24"/>
          <w:lang w:val="sr-Latn-ME"/>
        </w:rPr>
        <w:t xml:space="preserve">Ministarstvo finansija </w:t>
      </w:r>
    </w:p>
    <w:p>
      <w:pPr>
        <w:tabs>
          <w:tab w:val="left" w:pos="1701"/>
          <w:tab w:val="left" w:pos="4820"/>
        </w:tabs>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Broj iz evidencije postupaka javnih nabavki: </w:t>
      </w:r>
      <w:r>
        <w:rPr>
          <w:rFonts w:hint="default" w:ascii="Arial" w:hAnsi="Arial" w:eastAsia="Times New Roman" w:cs="Arial"/>
          <w:sz w:val="24"/>
          <w:szCs w:val="24"/>
          <w:lang w:val="sr-Latn-ME"/>
        </w:rPr>
        <w:t>4</w:t>
      </w:r>
      <w:r>
        <w:rPr>
          <w:rFonts w:ascii="Arial" w:hAnsi="Arial" w:eastAsia="Times New Roman" w:cs="Arial"/>
          <w:sz w:val="24"/>
          <w:szCs w:val="24"/>
          <w:lang w:val="sr-Latn-ME"/>
        </w:rPr>
        <w:t>/202</w:t>
      </w:r>
      <w:r>
        <w:rPr>
          <w:rFonts w:hint="default" w:ascii="Arial" w:hAnsi="Arial" w:eastAsia="Times New Roman" w:cs="Arial"/>
          <w:sz w:val="24"/>
          <w:szCs w:val="24"/>
          <w:lang w:val="sr-Latn-ME"/>
        </w:rPr>
        <w:t>6</w:t>
      </w:r>
      <w:r>
        <w:rPr>
          <w:rFonts w:ascii="Arial" w:hAnsi="Arial" w:eastAsia="Times New Roman" w:cs="Arial"/>
          <w:sz w:val="24"/>
          <w:szCs w:val="24"/>
          <w:lang w:val="sr-Latn-ME"/>
        </w:rPr>
        <w:t xml:space="preserve"> </w:t>
      </w:r>
    </w:p>
    <w:p>
      <w:pPr>
        <w:tabs>
          <w:tab w:val="left" w:pos="1701"/>
          <w:tab w:val="left" w:pos="4820"/>
        </w:tabs>
        <w:spacing w:after="0" w:line="240" w:lineRule="auto"/>
        <w:jc w:val="both"/>
        <w:rPr>
          <w:rFonts w:hint="default" w:ascii="Arial" w:hAnsi="Arial" w:eastAsia="Calibri" w:cs="Arial"/>
          <w:sz w:val="24"/>
          <w:szCs w:val="24"/>
          <w:lang w:val="sr-Latn-ME"/>
        </w:rPr>
      </w:pPr>
      <w:r>
        <w:rPr>
          <w:rFonts w:ascii="Arial" w:hAnsi="Arial" w:eastAsia="Calibri" w:cs="Arial"/>
          <w:sz w:val="24"/>
          <w:szCs w:val="24"/>
          <w:lang w:val="sr-Latn-ME"/>
        </w:rPr>
        <w:t xml:space="preserve">Redni broj iz Plana javnih nabavki: </w:t>
      </w:r>
      <w:r>
        <w:rPr>
          <w:rFonts w:hint="default" w:ascii="Arial" w:hAnsi="Arial" w:eastAsia="Calibri" w:cs="Arial"/>
          <w:sz w:val="24"/>
          <w:szCs w:val="24"/>
          <w:lang w:val="sr-Latn-ME"/>
        </w:rPr>
        <w:t>2</w:t>
      </w:r>
    </w:p>
    <w:p>
      <w:pPr>
        <w:tabs>
          <w:tab w:val="left" w:pos="1701"/>
          <w:tab w:val="left" w:pos="4820"/>
        </w:tabs>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t>Podgorica</w:t>
      </w:r>
      <w:r>
        <w:rPr>
          <w:rFonts w:ascii="Arial" w:hAnsi="Arial" w:eastAsia="Calibri" w:cs="Arial"/>
          <w:sz w:val="24"/>
          <w:szCs w:val="24"/>
          <w:highlight w:val="none"/>
          <w:lang w:val="sr-Latn-ME"/>
        </w:rPr>
        <w:t>,</w:t>
      </w:r>
      <w:r>
        <w:rPr>
          <w:rFonts w:hint="default" w:ascii="Arial" w:hAnsi="Arial" w:eastAsia="Calibri" w:cs="Arial"/>
          <w:sz w:val="24"/>
          <w:szCs w:val="24"/>
          <w:highlight w:val="none"/>
          <w:lang w:val="sr-Latn-ME"/>
        </w:rPr>
        <w:t>29</w:t>
      </w:r>
      <w:r>
        <w:rPr>
          <w:rFonts w:hint="default" w:ascii="Arial" w:hAnsi="Arial" w:eastAsia="Calibri" w:cs="Arial"/>
          <w:sz w:val="24"/>
          <w:szCs w:val="24"/>
          <w:highlight w:val="none"/>
          <w:lang w:val="sr-Latn-RS"/>
        </w:rPr>
        <w:t>.04</w:t>
      </w:r>
      <w:r>
        <w:rPr>
          <w:rFonts w:ascii="Arial" w:hAnsi="Arial" w:eastAsia="Calibri" w:cs="Arial"/>
          <w:sz w:val="24"/>
          <w:szCs w:val="24"/>
          <w:highlight w:val="none"/>
          <w:lang w:val="sr-Latn-ME"/>
        </w:rPr>
        <w:t>.202</w:t>
      </w:r>
      <w:r>
        <w:rPr>
          <w:rFonts w:hint="default" w:ascii="Arial" w:hAnsi="Arial" w:eastAsia="Calibri" w:cs="Arial"/>
          <w:sz w:val="24"/>
          <w:szCs w:val="24"/>
          <w:highlight w:val="none"/>
          <w:lang w:val="sr-Latn-ME"/>
        </w:rPr>
        <w:t>5</w:t>
      </w:r>
      <w:r>
        <w:rPr>
          <w:rFonts w:ascii="Arial" w:hAnsi="Arial" w:eastAsia="Calibri" w:cs="Arial"/>
          <w:sz w:val="24"/>
          <w:szCs w:val="24"/>
          <w:highlight w:val="none"/>
          <w:lang w:val="sr-Latn-ME"/>
        </w:rPr>
        <w:t>.</w:t>
      </w:r>
      <w:r>
        <w:rPr>
          <w:rFonts w:ascii="Arial" w:hAnsi="Arial" w:eastAsia="Calibri" w:cs="Arial"/>
          <w:color w:val="000000"/>
          <w:sz w:val="24"/>
          <w:szCs w:val="24"/>
          <w:lang w:val="sr-Latn-ME"/>
        </w:rPr>
        <w:t xml:space="preserve"> godine</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r>
        <w:rPr>
          <w:rFonts w:ascii="Arial" w:hAnsi="Arial" w:eastAsia="Times New Roman" w:cs="Arial"/>
          <w:sz w:val="24"/>
          <w:szCs w:val="24"/>
          <w:lang w:val="sr-Latn-ME"/>
        </w:rPr>
        <w:t>Na osnovu člana 53 stav 3 Zakona o javnim nabavkama („Službeni list CG“, br. 74/19, 3/23</w:t>
      </w:r>
      <w:r>
        <w:rPr>
          <w:rFonts w:hint="default" w:ascii="Arial" w:hAnsi="Arial" w:eastAsia="Times New Roman" w:cs="Arial"/>
          <w:sz w:val="24"/>
          <w:szCs w:val="24"/>
          <w:lang w:val="sr-Latn-RS"/>
        </w:rPr>
        <w:t xml:space="preserve">, </w:t>
      </w:r>
      <w:r>
        <w:rPr>
          <w:rFonts w:ascii="Arial" w:hAnsi="Arial" w:eastAsia="Times New Roman" w:cs="Arial"/>
          <w:sz w:val="24"/>
          <w:szCs w:val="24"/>
          <w:lang w:val="sr-Latn-ME"/>
        </w:rPr>
        <w:t>11/23</w:t>
      </w:r>
      <w:r>
        <w:rPr>
          <w:rFonts w:hint="default" w:ascii="Arial" w:hAnsi="Arial" w:eastAsia="Times New Roman" w:cs="Arial"/>
          <w:sz w:val="24"/>
          <w:szCs w:val="24"/>
          <w:lang w:val="sr-Latn-RS"/>
        </w:rPr>
        <w:t xml:space="preserve"> i 84/24 </w:t>
      </w:r>
      <w:r>
        <w:rPr>
          <w:rFonts w:ascii="Arial" w:hAnsi="Arial" w:eastAsia="Times New Roman" w:cs="Arial"/>
          <w:sz w:val="24"/>
          <w:szCs w:val="24"/>
          <w:lang w:val="sr-Latn-ME"/>
        </w:rPr>
        <w:t xml:space="preserve">) </w:t>
      </w:r>
      <w:r>
        <w:rPr>
          <w:rFonts w:ascii="Arial" w:hAnsi="Arial" w:eastAsia="Times New Roman" w:cs="Arial"/>
          <w:color w:val="000000"/>
          <w:sz w:val="24"/>
          <w:szCs w:val="24"/>
          <w:u w:val="single"/>
          <w:lang w:val="sr-Latn-ME"/>
        </w:rPr>
        <w:t>Ministarstvo finansija</w:t>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objavljuje</w:t>
      </w:r>
      <w:r>
        <w:rPr>
          <w:rFonts w:ascii="Arial" w:hAnsi="Arial" w:eastAsia="Times New Roman" w:cs="Arial"/>
          <w:b/>
          <w:bCs/>
          <w:color w:val="000000"/>
          <w:sz w:val="24"/>
          <w:szCs w:val="24"/>
          <w:lang w:val="sr-Latn-ME"/>
        </w:rPr>
        <w:t xml:space="preserve">        </w:t>
      </w: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b/>
          <w:bCs/>
          <w:color w:val="000000"/>
          <w:sz w:val="24"/>
          <w:szCs w:val="24"/>
          <w:lang w:val="sr-Latn-ME"/>
        </w:rPr>
      </w:pPr>
    </w:p>
    <w:p>
      <w:pPr>
        <w:tabs>
          <w:tab w:val="left" w:pos="1276"/>
          <w:tab w:val="left" w:pos="3261"/>
        </w:tabs>
        <w:spacing w:after="0" w:line="240" w:lineRule="auto"/>
        <w:jc w:val="both"/>
        <w:rPr>
          <w:rFonts w:ascii="Arial" w:hAnsi="Arial" w:eastAsia="Times New Roman" w:cs="Arial"/>
          <w:sz w:val="24"/>
          <w:szCs w:val="24"/>
          <w:lang w:val="sr-Latn-ME"/>
        </w:rPr>
      </w:pPr>
      <w:r>
        <w:rPr>
          <w:rFonts w:ascii="Arial" w:hAnsi="Arial" w:eastAsia="Times New Roman" w:cs="Arial"/>
          <w:b/>
          <w:bCs/>
          <w:color w:val="000000"/>
          <w:sz w:val="24"/>
          <w:szCs w:val="24"/>
          <w:lang w:val="sr-Latn-ME"/>
        </w:rPr>
        <w:t xml:space="preserve">                                          </w:t>
      </w:r>
      <w:r>
        <w:rPr>
          <w:rFonts w:ascii="Arial" w:hAnsi="Arial" w:eastAsia="Times New Roman" w:cs="Arial"/>
          <w:b/>
          <w:bCs/>
          <w:color w:val="000000"/>
          <w:sz w:val="24"/>
          <w:szCs w:val="24"/>
          <w:lang w:val="sr-Latn-ME"/>
        </w:rPr>
        <w:tab/>
      </w:r>
      <w:r>
        <w:rPr>
          <w:rFonts w:ascii="Arial" w:hAnsi="Arial" w:eastAsia="Times New Roman" w:cs="Arial"/>
          <w:bCs/>
          <w:color w:val="000000"/>
          <w:sz w:val="24"/>
          <w:szCs w:val="24"/>
          <w:lang w:val="sr-Latn-ME"/>
        </w:rPr>
        <w:t xml:space="preserve">                                                      </w:t>
      </w:r>
    </w:p>
    <w:p>
      <w:pPr>
        <w:keepNext/>
        <w:spacing w:after="0" w:line="240" w:lineRule="auto"/>
        <w:jc w:val="center"/>
        <w:outlineLvl w:val="0"/>
        <w:rPr>
          <w:rFonts w:ascii="Arial" w:hAnsi="Arial" w:eastAsia="Times New Roman" w:cs="Arial"/>
          <w:b/>
          <w:bCs/>
          <w:color w:val="000000"/>
          <w:sz w:val="24"/>
          <w:szCs w:val="24"/>
          <w:lang w:val="sr-Latn-ME"/>
        </w:rPr>
      </w:pP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TENDERSKU DOKUMENTACIJU</w:t>
      </w:r>
    </w:p>
    <w:p>
      <w:pPr>
        <w:spacing w:after="0" w:line="240" w:lineRule="auto"/>
        <w:jc w:val="center"/>
        <w:rPr>
          <w:rFonts w:ascii="Arial" w:hAnsi="Arial" w:eastAsia="Times New Roman" w:cs="Arial"/>
          <w:b/>
          <w:bCs/>
          <w:color w:val="000000"/>
          <w:sz w:val="28"/>
          <w:szCs w:val="28"/>
          <w:lang w:val="sr-Latn-ME"/>
        </w:rPr>
      </w:pPr>
      <w:r>
        <w:rPr>
          <w:rFonts w:ascii="Arial" w:hAnsi="Arial" w:eastAsia="Times New Roman" w:cs="Arial"/>
          <w:b/>
          <w:bCs/>
          <w:color w:val="000000"/>
          <w:sz w:val="28"/>
          <w:szCs w:val="28"/>
          <w:lang w:val="sr-Latn-ME"/>
        </w:rPr>
        <w:t>ZA OTVORENI POSTUPAK JAVNE NABAVKE</w:t>
      </w:r>
    </w:p>
    <w:p>
      <w:pPr>
        <w:spacing w:after="0" w:line="240" w:lineRule="auto"/>
        <w:jc w:val="center"/>
        <w:rPr>
          <w:rFonts w:ascii="Arial" w:hAnsi="Arial" w:eastAsia="Times New Roman" w:cs="Arial"/>
          <w:b/>
          <w:bCs/>
          <w:color w:val="000000"/>
          <w:sz w:val="28"/>
          <w:szCs w:val="28"/>
          <w:lang w:val="sr-Latn-ME"/>
        </w:rPr>
      </w:pPr>
    </w:p>
    <w:p>
      <w:pPr>
        <w:spacing w:after="0" w:line="240" w:lineRule="auto"/>
        <w:jc w:val="center"/>
        <w:rPr>
          <w:rFonts w:ascii="Arial" w:hAnsi="Arial" w:eastAsia="Times New Roman" w:cs="Arial"/>
          <w:color w:val="000000"/>
          <w:sz w:val="30"/>
          <w:szCs w:val="30"/>
          <w:lang w:val="sr-Latn-ME"/>
        </w:rPr>
      </w:pPr>
      <w:r>
        <w:rPr>
          <w:rFonts w:ascii="Arial" w:hAnsi="Arial" w:eastAsia="Calibri" w:cs="Arial"/>
          <w:sz w:val="30"/>
          <w:szCs w:val="30"/>
          <w:lang w:val="sr-Latn-ME"/>
        </w:rPr>
        <w:t>O</w:t>
      </w:r>
      <w:r>
        <w:rPr>
          <w:rFonts w:ascii="Arial" w:hAnsi="Arial" w:eastAsia="Times New Roman" w:cs="Arial"/>
          <w:color w:val="000000"/>
          <w:sz w:val="30"/>
          <w:szCs w:val="30"/>
          <w:lang w:val="sr-Latn-ME"/>
        </w:rPr>
        <w:t>državanje integrisanog informacionog sistema</w:t>
      </w:r>
    </w:p>
    <w:p>
      <w:pPr>
        <w:spacing w:after="0" w:line="240" w:lineRule="auto"/>
        <w:jc w:val="center"/>
        <w:rPr>
          <w:rFonts w:ascii="Arial" w:hAnsi="Arial" w:eastAsia="Calibri" w:cs="Arial"/>
          <w:bCs/>
          <w:sz w:val="30"/>
          <w:szCs w:val="30"/>
          <w:lang w:val="sr-Latn-ME"/>
        </w:rPr>
      </w:pPr>
      <w:r>
        <w:rPr>
          <w:rFonts w:ascii="Arial" w:hAnsi="Arial" w:eastAsia="Times New Roman" w:cs="Arial"/>
          <w:color w:val="000000"/>
          <w:sz w:val="30"/>
          <w:szCs w:val="30"/>
          <w:lang w:val="sr-Latn-ME"/>
        </w:rPr>
        <w:t xml:space="preserve"> državnog trezora - SAP</w:t>
      </w:r>
    </w:p>
    <w:p>
      <w:pPr>
        <w:spacing w:after="0" w:line="240" w:lineRule="auto"/>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Predmet nabavke se nabavlja: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kao cjelina </w:t>
      </w: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spacing w:after="0" w:line="240" w:lineRule="auto"/>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0" w:name="_Toc62730553"/>
      <w:r>
        <w:rPr>
          <w:rFonts w:ascii="Arial" w:hAnsi="Arial" w:eastAsia="Times New Roman" w:cs="Times New Roman"/>
          <w:b/>
          <w:color w:val="000000"/>
          <w:sz w:val="24"/>
          <w:szCs w:val="32"/>
          <w:lang w:val="sr-Latn-ME"/>
        </w:rPr>
        <w:t>1. POZIV ZA NADMETANJE</w:t>
      </w:r>
      <w:r>
        <w:rPr>
          <w:rFonts w:ascii="Arial" w:hAnsi="Arial" w:eastAsia="Times New Roman" w:cs="Times New Roman"/>
          <w:b/>
          <w:color w:val="000000"/>
          <w:sz w:val="24"/>
          <w:szCs w:val="32"/>
          <w:vertAlign w:val="superscript"/>
          <w:lang w:val="sr-Latn-ME"/>
        </w:rPr>
        <w:footnoteReference w:id="0"/>
      </w:r>
      <w:bookmarkEnd w:id="0"/>
      <w:r>
        <w:rPr>
          <w:rFonts w:ascii="Arial" w:hAnsi="Arial" w:eastAsia="Times New Roman" w:cs="Times New Roman"/>
          <w:b/>
          <w:color w:val="000000"/>
          <w:sz w:val="24"/>
          <w:szCs w:val="32"/>
          <w:lang w:val="sr-Latn-ME"/>
        </w:rPr>
        <w:t xml:space="preserve"> </w:t>
      </w:r>
    </w:p>
    <w:p>
      <w:pPr>
        <w:spacing w:after="0" w:line="240" w:lineRule="auto"/>
        <w:rPr>
          <w:rFonts w:ascii="Arial" w:hAnsi="Arial" w:eastAsia="Times New Roman" w:cs="Arial"/>
          <w:b/>
          <w:bCs/>
          <w:color w:val="000000"/>
          <w:sz w:val="24"/>
          <w:szCs w:val="24"/>
          <w:lang w:val="sr-Latn-ME"/>
        </w:rPr>
      </w:pPr>
      <w:r>
        <w:rPr>
          <w:rFonts w:ascii="Arial" w:hAnsi="Arial" w:eastAsia="Times New Roman" w:cs="Arial"/>
          <w:b/>
          <w:bCs/>
          <w:color w:val="000000"/>
          <w:sz w:val="24"/>
          <w:szCs w:val="24"/>
          <w:lang w:val="sr-Latn-ME"/>
        </w:rPr>
        <w:tab/>
      </w:r>
    </w:p>
    <w:p>
      <w:pPr>
        <w:spacing w:after="0" w:line="240" w:lineRule="auto"/>
        <w:ind w:left="360"/>
        <w:jc w:val="center"/>
        <w:rPr>
          <w:rFonts w:ascii="Arial" w:hAnsi="Arial" w:eastAsia="Times New Roman" w:cs="Arial"/>
          <w:b/>
          <w:bCs/>
          <w:color w:val="000000"/>
          <w:sz w:val="24"/>
          <w:szCs w:val="24"/>
          <w:lang w:val="sr-Latn-ME"/>
        </w:rPr>
      </w:pP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Podaci o naručiocu;</w:t>
      </w:r>
    </w:p>
    <w:p>
      <w:pPr>
        <w:numPr>
          <w:ilvl w:val="0"/>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Podaci o postupku i predmetu javne nabavke: </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Vrsta postupka,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Predmet javne nabavke (vrsta predmeta, naziv i opis predmeta),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Procijenjena vrijednost predmeta nabavke</w:t>
      </w:r>
      <w:r>
        <w:rPr>
          <w:rFonts w:ascii="Arial" w:hAnsi="Arial" w:eastAsia="Calibri" w:cs="Arial"/>
          <w:color w:val="000000"/>
          <w:vertAlign w:val="superscript"/>
          <w:lang w:val="sr-Latn-ME"/>
        </w:rPr>
        <w:footnoteReference w:id="1"/>
      </w:r>
      <w:r>
        <w:rPr>
          <w:rFonts w:ascii="Arial" w:hAnsi="Arial" w:eastAsia="Calibri" w:cs="Arial"/>
          <w:color w:val="000000"/>
          <w:lang w:val="sr-Latn-ME"/>
        </w:rPr>
        <w:t>,</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 xml:space="preserve">Način nabavke: </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Cjelina, po partijama,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Zajednička nabavka,</w:t>
      </w:r>
    </w:p>
    <w:p>
      <w:pPr>
        <w:numPr>
          <w:ilvl w:val="0"/>
          <w:numId w:val="2"/>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Centralizovana nabavka,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Posebni oblik nabavke:</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Okvirni sporazum,</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Dinamički sistem nabavki,</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Elektronska aukcija,</w:t>
      </w:r>
    </w:p>
    <w:p>
      <w:pPr>
        <w:numPr>
          <w:ilvl w:val="0"/>
          <w:numId w:val="3"/>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Elektronski katalog,</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Uslovi za učešće u postupku javne nabavke i posebni osnovi za isključenje,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Kriterijum za izbor najpovoljnije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Način, mjesto i vrijeme podnošenja ponuda i otvaranja ponuda,</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za donošenje odluke o izboru,</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Rok važenja ponude,</w:t>
      </w:r>
    </w:p>
    <w:p>
      <w:pPr>
        <w:numPr>
          <w:ilvl w:val="1"/>
          <w:numId w:val="1"/>
        </w:numPr>
        <w:spacing w:after="0" w:line="240" w:lineRule="auto"/>
        <w:contextualSpacing/>
        <w:rPr>
          <w:rFonts w:ascii="Arial" w:hAnsi="Arial" w:eastAsia="Calibri" w:cs="Arial"/>
          <w:color w:val="000000"/>
          <w:lang w:val="sr-Latn-ME"/>
        </w:rPr>
      </w:pPr>
      <w:r>
        <w:rPr>
          <w:rFonts w:ascii="Arial" w:hAnsi="Arial" w:eastAsia="Calibri" w:cs="Arial"/>
          <w:color w:val="000000"/>
          <w:lang w:val="sr-Latn-ME"/>
        </w:rPr>
        <w:t>Garancija ponude</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1" w:name="_Toc62730554"/>
      <w:r>
        <w:rPr>
          <w:rFonts w:ascii="Arial" w:hAnsi="Arial" w:eastAsia="Times New Roman" w:cs="Times New Roman"/>
          <w:b/>
          <w:color w:val="000000"/>
          <w:sz w:val="24"/>
          <w:szCs w:val="32"/>
          <w:lang w:val="sr-Latn-ME"/>
        </w:rPr>
        <w:t>2.TEHNIČKA SPECIFIKACIJA PREDMETA JAVNE NABAVKE</w:t>
      </w:r>
      <w:r>
        <w:rPr>
          <w:rFonts w:ascii="Arial" w:hAnsi="Arial" w:eastAsia="Times New Roman" w:cs="Times New Roman"/>
          <w:b/>
          <w:color w:val="000000"/>
          <w:sz w:val="24"/>
          <w:szCs w:val="32"/>
          <w:vertAlign w:val="superscript"/>
          <w:lang w:val="sr-Latn-ME"/>
        </w:rPr>
        <w:footnoteReference w:id="2"/>
      </w:r>
      <w:bookmarkEnd w:id="1"/>
    </w:p>
    <w:p>
      <w:pPr>
        <w:spacing w:after="0" w:line="240" w:lineRule="auto"/>
        <w:rPr>
          <w:rFonts w:ascii="Calibri" w:hAnsi="Calibri" w:eastAsia="Calibri" w:cs="Times New Roman"/>
          <w:color w:val="000000"/>
          <w:lang w:val="sr-Latn-ME"/>
        </w:rPr>
      </w:pP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Naziv i opis predmeta nabavke u cjelini, po partijama i stavkama sa bitnim karakteristikama</w:t>
      </w:r>
    </w:p>
    <w:p>
      <w:pPr>
        <w:numPr>
          <w:ilvl w:val="0"/>
          <w:numId w:val="4"/>
        </w:numPr>
        <w:spacing w:after="0" w:line="240" w:lineRule="auto"/>
        <w:contextualSpacing/>
        <w:jc w:val="both"/>
        <w:rPr>
          <w:rFonts w:ascii="Arial" w:hAnsi="Arial" w:eastAsia="Calibri" w:cs="Arial"/>
          <w:color w:val="000000"/>
          <w:lang w:val="sr-Latn-ME"/>
        </w:rPr>
      </w:pPr>
      <w:r>
        <w:rPr>
          <w:rFonts w:ascii="Arial" w:hAnsi="Arial" w:eastAsia="Calibri" w:cs="Arial"/>
          <w:color w:val="000000"/>
          <w:lang w:val="sr-Latn-ME"/>
        </w:rPr>
        <w:t>Zahtjevi u pogledu načina izvršavanja predmeta nabavke koji su od značaja za sačinjavanje ponude i izvršenje ugovora</w:t>
      </w:r>
    </w:p>
    <w:p>
      <w:pPr>
        <w:spacing w:after="0" w:line="240" w:lineRule="auto"/>
        <w:rPr>
          <w:rFonts w:ascii="Calibri" w:hAnsi="Calibri" w:eastAsia="Calibri" w:cs="Times New Roman"/>
          <w:color w:val="000000"/>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24"/>
          <w:lang w:val="sr-Latn-ME"/>
        </w:rPr>
      </w:pPr>
      <w:bookmarkStart w:id="2" w:name="_Toc62730555"/>
      <w:r>
        <w:rPr>
          <w:rFonts w:ascii="Arial" w:hAnsi="Arial" w:eastAsia="Times New Roman" w:cs="Times New Roman"/>
          <w:b/>
          <w:color w:val="000000"/>
          <w:sz w:val="24"/>
          <w:szCs w:val="32"/>
          <w:lang w:val="sr-Latn-ME"/>
        </w:rPr>
        <w:t xml:space="preserve">3. </w:t>
      </w:r>
      <w:r>
        <w:rPr>
          <w:rFonts w:ascii="Arial" w:hAnsi="Arial" w:eastAsia="Times New Roman" w:cs="Times New Roman"/>
          <w:b/>
          <w:color w:val="000000"/>
          <w:sz w:val="24"/>
          <w:szCs w:val="24"/>
          <w:lang w:val="sr-Latn-ME"/>
        </w:rPr>
        <w:t>DODATNE INFORMACIJE O PREDMETU I POSTUPKU NABAVKE</w:t>
      </w:r>
      <w:r>
        <w:rPr>
          <w:rFonts w:ascii="Arial" w:hAnsi="Arial" w:eastAsia="Times New Roman" w:cs="Times New Roman"/>
          <w:b/>
          <w:color w:val="000000"/>
          <w:sz w:val="24"/>
          <w:szCs w:val="24"/>
          <w:vertAlign w:val="superscript"/>
          <w:lang w:val="sr-Latn-ME"/>
        </w:rPr>
        <w:footnoteReference w:id="3"/>
      </w:r>
      <w:bookmarkEnd w:id="2"/>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rPr>
          <w:rFonts w:ascii="Arial" w:hAnsi="Arial" w:eastAsia="Calibri" w:cs="Arial"/>
          <w:b/>
          <w:bCs/>
          <w:color w:val="000000"/>
          <w:sz w:val="24"/>
          <w:szCs w:val="24"/>
          <w:lang w:val="sr-Latn-ME"/>
        </w:rPr>
      </w:pPr>
      <w:r>
        <w:rPr>
          <w:rFonts w:ascii="Arial" w:hAnsi="Arial" w:eastAsia="Calibri" w:cs="Arial"/>
          <w:b/>
          <w:bCs/>
          <w:color w:val="000000"/>
          <w:sz w:val="24"/>
          <w:szCs w:val="24"/>
          <w:lang w:val="sr-Latn-ME"/>
        </w:rPr>
        <w:t>Procijenjena vrijednost predmenta nabavke:</w:t>
      </w:r>
      <w:r>
        <w:rPr>
          <w:rFonts w:ascii="Arial" w:hAnsi="Arial" w:eastAsia="Calibri" w:cs="Arial"/>
          <w:b/>
          <w:bCs/>
          <w:color w:val="000000"/>
          <w:sz w:val="24"/>
          <w:szCs w:val="24"/>
          <w:vertAlign w:val="superscript"/>
          <w:lang w:val="sr-Latn-ME"/>
        </w:rPr>
        <w:footnoteReference w:id="4"/>
      </w:r>
    </w:p>
    <w:p>
      <w:pPr>
        <w:jc w:val="both"/>
        <w:rPr>
          <w:rFonts w:ascii="Arial" w:hAnsi="Arial" w:eastAsia="Calibri" w:cs="Arial"/>
          <w:b/>
          <w:bCs/>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w:t>
      </w:r>
      <w:r>
        <w:rPr>
          <w:rFonts w:ascii="Arial" w:hAnsi="Arial" w:eastAsia="Calibri" w:cs="Arial"/>
          <w:b/>
          <w:bCs/>
          <w:color w:val="000000"/>
          <w:sz w:val="24"/>
          <w:szCs w:val="24"/>
          <w:lang w:val="sr-Latn-ME"/>
        </w:rPr>
        <w:t>Procijenjena vrijednost predmeta nabavke bez zaključivanja okvirnog sporazuma</w:t>
      </w:r>
      <w:r>
        <w:rPr>
          <w:rFonts w:ascii="Arial" w:hAnsi="Arial" w:eastAsia="Calibri" w:cs="Arial"/>
          <w:color w:val="000000"/>
          <w:sz w:val="24"/>
          <w:szCs w:val="24"/>
          <w:lang w:val="sr-Latn-ME"/>
        </w:rPr>
        <w:t>:</w:t>
      </w:r>
    </w:p>
    <w:p>
      <w:pPr>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kao cjeline je </w:t>
      </w:r>
      <w:r>
        <w:rPr>
          <w:rFonts w:ascii="Arial" w:hAnsi="Arial" w:eastAsia="Calibri" w:cs="Arial"/>
          <w:sz w:val="24"/>
          <w:szCs w:val="24"/>
          <w:lang w:val="sr-Latn-CS"/>
        </w:rPr>
        <w:t xml:space="preserve">85.000,00 </w:t>
      </w:r>
      <w:r>
        <w:rPr>
          <w:rFonts w:ascii="Arial" w:hAnsi="Arial" w:eastAsia="Calibri" w:cs="Arial"/>
          <w:color w:val="000000"/>
          <w:sz w:val="24"/>
          <w:szCs w:val="24"/>
          <w:lang w:val="sr-Latn-ME"/>
        </w:rPr>
        <w:t>€;</w:t>
      </w:r>
    </w:p>
    <w:p>
      <w:pPr>
        <w:spacing w:after="0" w:line="240" w:lineRule="auto"/>
        <w:jc w:val="both"/>
        <w:rPr>
          <w:rFonts w:ascii="Arial" w:hAnsi="Arial" w:eastAsia="Times New Roman" w:cs="Arial"/>
          <w:b/>
          <w:bCs/>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000000"/>
          <w:sz w:val="24"/>
          <w:szCs w:val="24"/>
          <w:lang w:val="sr-Latn-ME"/>
        </w:rPr>
      </w:pPr>
      <w:r>
        <w:rPr>
          <w:rFonts w:ascii="Arial" w:hAnsi="Arial" w:eastAsia="Times New Roman" w:cs="Arial"/>
          <w:color w:val="000000"/>
          <w:sz w:val="24"/>
          <w:szCs w:val="24"/>
          <w:lang w:val="sr-Latn-ME"/>
        </w:rPr>
        <w:t>Obrazloženje razloga zašto predmet nabavke nije podijeljen na partije:</w:t>
      </w:r>
      <w:r>
        <w:rPr>
          <w:rFonts w:ascii="Arial" w:hAnsi="Arial" w:eastAsia="Times New Roman" w:cs="Arial"/>
          <w:color w:val="000000"/>
          <w:sz w:val="24"/>
          <w:szCs w:val="24"/>
          <w:vertAlign w:val="superscript"/>
          <w:lang w:val="sr-Latn-ME"/>
        </w:rPr>
        <w:footnoteReference w:id="5"/>
      </w:r>
    </w:p>
    <w:p>
      <w:pPr>
        <w:spacing w:after="0" w:line="240" w:lineRule="auto"/>
        <w:jc w:val="both"/>
        <w:rPr>
          <w:rFonts w:ascii="Arial" w:hAnsi="Arial" w:eastAsia="Times New Roman" w:cs="Arial"/>
          <w:color w:val="000000"/>
          <w:sz w:val="24"/>
          <w:szCs w:val="24"/>
          <w:lang w:val="sr-Latn-ME"/>
        </w:rPr>
      </w:pPr>
    </w:p>
    <w:p>
      <w:pPr>
        <w:jc w:val="both"/>
        <w:rPr>
          <w:rFonts w:ascii="Arial" w:hAnsi="Arial" w:eastAsia="Times New Roman" w:cs="Arial"/>
          <w:sz w:val="24"/>
          <w:szCs w:val="24"/>
        </w:rPr>
      </w:pPr>
      <w:r>
        <w:rPr>
          <w:rFonts w:ascii="Arial" w:hAnsi="Arial" w:eastAsia="Calibri" w:cs="Arial"/>
          <w:sz w:val="24"/>
          <w:szCs w:val="24"/>
          <w:lang w:val="sr-Latn-ME"/>
        </w:rPr>
        <w:t xml:space="preserve">Predmet nabavke su usluge održavanja informacionog sistema državnog trezora - </w:t>
      </w:r>
      <w:r>
        <w:rPr>
          <w:rFonts w:ascii="Arial" w:hAnsi="Arial" w:eastAsia="Calibri" w:cs="Arial"/>
          <w:sz w:val="24"/>
          <w:szCs w:val="24"/>
          <w:lang w:val="it-IT"/>
        </w:rPr>
        <w:t xml:space="preserve">SAP, nije podeljen na partije jer </w:t>
      </w:r>
      <w:r>
        <w:rPr>
          <w:rFonts w:ascii="Arial" w:hAnsi="Arial" w:eastAsia="Calibri" w:cs="Arial"/>
          <w:sz w:val="24"/>
          <w:szCs w:val="24"/>
          <w:lang w:val="sr-Latn-ME"/>
        </w:rPr>
        <w:t>predstavlja jedinstvenu tehničku cjelinu</w:t>
      </w:r>
      <w:r>
        <w:rPr>
          <w:rFonts w:ascii="Arial" w:hAnsi="Arial" w:eastAsia="Times New Roman" w:cs="Arial"/>
          <w:sz w:val="24"/>
          <w:szCs w:val="24"/>
        </w:rPr>
        <w:t>.</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ZAKLJUČUJU ZAJEDNIČKU NABAVKU</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0"/>
          <w:bottom w:val="single" w:color="auto" w:sz="4" w:space="1"/>
          <w:right w:val="single" w:color="auto" w:sz="4" w:space="4"/>
        </w:pBdr>
        <w:shd w:val="clear" w:color="auto" w:fill="BFBFBF"/>
        <w:spacing w:after="0" w:line="240" w:lineRule="auto"/>
        <w:jc w:val="both"/>
        <w:rPr>
          <w:rFonts w:ascii="Arial" w:hAnsi="Arial" w:eastAsia="Times New Roman" w:cs="Arial"/>
          <w:color w:val="000000"/>
          <w:sz w:val="24"/>
          <w:szCs w:val="24"/>
          <w:lang w:val="sr-Latn-ME"/>
        </w:rPr>
      </w:pPr>
      <w:r>
        <w:rPr>
          <w:rFonts w:ascii="Arial" w:hAnsi="Arial" w:eastAsia="Times New Roman" w:cs="Arial"/>
          <w:b/>
          <w:color w:val="000000"/>
          <w:sz w:val="24"/>
          <w:szCs w:val="24"/>
          <w:lang w:val="sr-Latn-ME"/>
        </w:rPr>
        <w:t>PODACI O NARUČIOCIMA KOJI SU UKLJUČENI U CENTRALIZOVANU NABAVKU</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Nije primjenljivo </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NAČIN SPROVOĐENJA ELEKTRONSKE AUKCIJE</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ELEKTRONSKI KATALOG</w:t>
      </w:r>
      <w:r>
        <w:rPr>
          <w:rFonts w:ascii="Arial" w:hAnsi="Arial" w:eastAsia="Times New Roman" w:cs="Arial"/>
          <w:b/>
          <w:color w:val="FF0000"/>
          <w:sz w:val="24"/>
          <w:szCs w:val="24"/>
          <w:lang w:val="sr-Latn-ME"/>
        </w:rPr>
        <w:t xml:space="preserve"> </w:t>
      </w:r>
    </w:p>
    <w:p>
      <w:pPr>
        <w:spacing w:after="0" w:line="240" w:lineRule="auto"/>
        <w:jc w:val="both"/>
        <w:rPr>
          <w:rFonts w:ascii="Arial" w:hAnsi="Arial" w:eastAsia="Times New Roman" w:cs="Arial"/>
          <w:color w:val="FF0000"/>
          <w:sz w:val="24"/>
          <w:szCs w:val="24"/>
          <w:lang w:val="sr-Latn-ME"/>
        </w:rPr>
      </w:pPr>
    </w:p>
    <w:p>
      <w:pPr>
        <w:spacing w:after="0" w:line="240" w:lineRule="auto"/>
        <w:jc w:val="both"/>
        <w:rPr>
          <w:rFonts w:ascii="Arial" w:hAnsi="Arial" w:eastAsia="Times New Roman" w:cs="Arial"/>
          <w:color w:val="222A35"/>
          <w:sz w:val="24"/>
          <w:szCs w:val="24"/>
          <w:lang w:val="sr-Latn-ME"/>
        </w:rPr>
      </w:pPr>
      <w:r>
        <w:rPr>
          <w:rFonts w:ascii="Arial" w:hAnsi="Arial" w:eastAsia="Times New Roman" w:cs="Arial"/>
          <w:color w:val="222A35"/>
          <w:sz w:val="24"/>
          <w:szCs w:val="24"/>
          <w:lang w:val="sr-Latn-ME"/>
        </w:rPr>
        <w:t>Nije primjenljivo</w:t>
      </w:r>
    </w:p>
    <w:p>
      <w:pPr>
        <w:spacing w:after="0" w:line="240" w:lineRule="auto"/>
        <w:jc w:val="both"/>
        <w:rPr>
          <w:rFonts w:ascii="Arial" w:hAnsi="Arial" w:eastAsia="Times New Roman" w:cs="Arial"/>
          <w:color w:val="00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rPr>
          <w:rFonts w:ascii="Arial" w:hAnsi="Arial" w:eastAsia="Times New Roman" w:cs="Arial"/>
          <w:b/>
          <w:sz w:val="24"/>
          <w:szCs w:val="24"/>
          <w:lang w:val="sr-Latn-ME"/>
        </w:rPr>
      </w:pPr>
      <w:r>
        <w:rPr>
          <w:rFonts w:ascii="Arial" w:hAnsi="Arial" w:eastAsia="Times New Roman" w:cs="Arial"/>
          <w:b/>
          <w:sz w:val="24"/>
          <w:szCs w:val="24"/>
          <w:lang w:val="sr-Latn-ME"/>
        </w:rPr>
        <w:t>PONUDA SA VARIJANTAMA</w:t>
      </w:r>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Mogućnost podnošenja ponude sa varijantama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Varijante ponude nijesu dozvoljene i neće biti razmatrane.</w:t>
      </w:r>
    </w:p>
    <w:p>
      <w:pPr>
        <w:spacing w:after="0" w:line="240" w:lineRule="auto"/>
        <w:jc w:val="both"/>
        <w:rPr>
          <w:rFonts w:ascii="Arial" w:hAnsi="Arial" w:eastAsia="Times New Roman" w:cs="Arial"/>
          <w:b/>
          <w:bCs/>
          <w:color w:val="FF0000"/>
          <w:sz w:val="24"/>
          <w:szCs w:val="24"/>
          <w:lang w:val="sr-Latn-ME"/>
        </w:rPr>
      </w:pPr>
    </w:p>
    <w:p>
      <w:pPr>
        <w:pBdr>
          <w:top w:val="single" w:color="auto" w:sz="4" w:space="1"/>
          <w:left w:val="single" w:color="auto" w:sz="4" w:space="4"/>
          <w:bottom w:val="single" w:color="auto" w:sz="4" w:space="1"/>
          <w:right w:val="single" w:color="auto" w:sz="4" w:space="4"/>
        </w:pBdr>
        <w:shd w:val="clear" w:color="auto" w:fill="D9D9D9"/>
        <w:spacing w:after="0" w:line="240" w:lineRule="auto"/>
        <w:jc w:val="both"/>
        <w:rPr>
          <w:rFonts w:ascii="Arial" w:hAnsi="Arial" w:eastAsia="Times New Roman" w:cs="Arial"/>
          <w:b/>
          <w:bCs/>
          <w:color w:val="FF0000"/>
          <w:sz w:val="24"/>
          <w:szCs w:val="24"/>
          <w:lang w:val="sr-Latn-ME"/>
        </w:rPr>
      </w:pPr>
      <w:r>
        <w:rPr>
          <w:rFonts w:ascii="Arial" w:hAnsi="Arial" w:eastAsia="Times New Roman" w:cs="Arial"/>
          <w:b/>
          <w:sz w:val="24"/>
          <w:szCs w:val="24"/>
          <w:lang w:val="sr-Latn-ME"/>
        </w:rPr>
        <w:t>REZERVISANA NABAVKA</w:t>
      </w:r>
    </w:p>
    <w:p>
      <w:pPr>
        <w:spacing w:after="0" w:line="240" w:lineRule="auto"/>
        <w:jc w:val="both"/>
        <w:rPr>
          <w:rFonts w:ascii="Arial" w:hAnsi="Arial" w:eastAsia="Times New Roman" w:cs="Arial"/>
          <w:b/>
          <w:bCs/>
          <w:color w:val="FF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jc w:val="both"/>
        <w:rPr>
          <w:rFonts w:ascii="Arial" w:hAnsi="Arial" w:eastAsia="Times New Roman" w:cs="Arial"/>
          <w:bCs/>
          <w:color w:val="FF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3" w:name="_Toc62730557"/>
      <w:r>
        <w:rPr>
          <w:rFonts w:ascii="Arial" w:hAnsi="Arial" w:eastAsia="Times New Roman" w:cs="Times New Roman"/>
          <w:b/>
          <w:sz w:val="24"/>
          <w:szCs w:val="32"/>
          <w:lang w:val="sr-Latn-ME"/>
        </w:rPr>
        <w:t>4. OSNOVI ZA OBAVEZNO ISKLJUČENJE IZ POSTUPKA JAVNE NABAVKE</w:t>
      </w:r>
      <w:bookmarkEnd w:id="3"/>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će se isključiti iz postupka javne nabavke, ako: </w:t>
      </w:r>
    </w:p>
    <w:p>
      <w:pPr>
        <w:numPr>
          <w:ilvl w:val="0"/>
          <w:numId w:val="5"/>
        </w:numPr>
        <w:spacing w:after="0" w:line="240" w:lineRule="auto"/>
        <w:rPr>
          <w:rFonts w:ascii="Arial" w:hAnsi="Arial" w:eastAsia="Times New Roman" w:cs="Arial"/>
          <w:sz w:val="24"/>
          <w:szCs w:val="24"/>
          <w:lang w:val="sr-Latn-ME"/>
        </w:rPr>
      </w:pPr>
      <w:bookmarkStart w:id="4" w:name="_Toc62730558"/>
      <w:r>
        <w:rPr>
          <w:rFonts w:ascii="Arial" w:hAnsi="Arial" w:eastAsia="Times New Roman" w:cs="Arial"/>
          <w:sz w:val="24"/>
          <w:szCs w:val="24"/>
          <w:lang w:val="sr-Latn-ME"/>
        </w:rPr>
        <w:t>je vršio neprimjeren uticaj u smislu člana 38 stav 2 tačka 1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sukob interesa iz člana 41 stav 1 tačka 2 ili člana 42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člana 99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ne ispunjava uslov iz čl. 102, 104 ili 106 ovog zakona predviđen tenderskom dokumentacijom;</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izjavu privrednog subjekta ili dostavljena izjava ne sadrži informacije i podatke tražene tenderskom dokumentacijom ili je nepravilno sačinjena;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razlog na osnovu kojeg se smatra da je odustao od prijave, odnosno ponude, a koji je propisan članom 120 stav 15 ovog zakona;</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5"/>
        </w:numPr>
        <w:spacing w:after="0" w:line="240" w:lineRule="auto"/>
        <w:rPr>
          <w:rFonts w:ascii="Arial" w:hAnsi="Arial" w:eastAsia="Times New Roman" w:cs="Arial"/>
          <w:sz w:val="24"/>
          <w:szCs w:val="24"/>
          <w:lang w:val="sr-Latn-ME"/>
        </w:rPr>
      </w:pPr>
      <w:r>
        <w:rPr>
          <w:rFonts w:ascii="Arial" w:hAnsi="Arial" w:eastAsia="Times New Roman" w:cs="Arial"/>
          <w:sz w:val="24"/>
          <w:szCs w:val="24"/>
          <w:lang w:val="sr-Latn-ME"/>
        </w:rPr>
        <w:t>postoji drugi razlog propisan ovim zakonom.</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5. SREDSTVA FINANSIJSKOG OBEZBJEĐENJA UGOVORA O JAVNOJ NABAVCI</w:t>
      </w:r>
      <w:bookmarkEnd w:id="4"/>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Ponuđač čija ponuda bude izabrana kao najpovoljnija je dužan da uz potpisan ugovor o javnoj nabavci dostavi naručiocu:</w:t>
      </w:r>
    </w:p>
    <w:p>
      <w:pPr>
        <w:spacing w:after="0" w:line="240" w:lineRule="auto"/>
        <w:jc w:val="both"/>
        <w:rPr>
          <w:rFonts w:ascii="Arial" w:hAnsi="Arial" w:eastAsia="Times New Roman" w:cs="Arial"/>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garanciju za dobro izvršenje ugovora za slučaj </w:t>
      </w:r>
      <w:r>
        <w:rPr>
          <w:rFonts w:ascii="Arial" w:hAnsi="Arial" w:eastAsia="Times New Roman" w:cs="Arial"/>
          <w:color w:val="000000"/>
          <w:sz w:val="24"/>
          <w:szCs w:val="24"/>
          <w:lang w:val="sr-Latn-ME"/>
        </w:rPr>
        <w:t>povrede ugovorenih obaveze (ako je raskid ugovora nastao zbog neispunjenja ugovorenih obaveza natalih činjenjem ili nečinjenjem ponuđača),</w:t>
      </w:r>
      <w:r>
        <w:rPr>
          <w:rFonts w:ascii="Arial" w:hAnsi="Arial" w:eastAsia="Times New Roman" w:cs="Arial"/>
          <w:sz w:val="24"/>
          <w:szCs w:val="24"/>
          <w:lang w:val="sr-Latn-ME"/>
        </w:rPr>
        <w:t xml:space="preserve"> </w:t>
      </w:r>
      <w:r>
        <w:rPr>
          <w:rFonts w:ascii="Arial" w:hAnsi="Arial" w:eastAsia="Times New Roman" w:cs="Arial"/>
          <w:color w:val="000000"/>
          <w:sz w:val="24"/>
          <w:szCs w:val="24"/>
          <w:lang w:val="sr-Latn-ME"/>
        </w:rPr>
        <w:t>u iznosu od 10 % od vrijednosti ugovora.</w:t>
      </w:r>
      <w:r>
        <w:rPr>
          <w:rFonts w:ascii="Arial" w:hAnsi="Arial" w:eastAsia="Times New Roman" w:cs="Arial"/>
          <w:sz w:val="24"/>
          <w:szCs w:val="24"/>
          <w:vertAlign w:val="superscript"/>
          <w:lang w:val="sr-Latn-ME"/>
        </w:rPr>
        <w:t xml:space="preserve"> </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color w:val="000000"/>
          <w:sz w:val="24"/>
          <w:szCs w:val="32"/>
          <w:lang w:val="sr-Latn-ME"/>
        </w:rPr>
      </w:pPr>
      <w:bookmarkStart w:id="5" w:name="_Toc62730559"/>
      <w:r>
        <w:rPr>
          <w:rFonts w:ascii="Arial" w:hAnsi="Arial" w:eastAsia="Times New Roman" w:cs="Times New Roman"/>
          <w:b/>
          <w:sz w:val="24"/>
          <w:szCs w:val="32"/>
          <w:lang w:val="sr-Latn-ME"/>
        </w:rPr>
        <w:t>6. METODOLOGIJA VREDNOVANJA PONUDA</w:t>
      </w:r>
      <w:bookmarkEnd w:id="5"/>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Naručilac će u postupku javne nabavki izabrati ekonomski najpovoljniju ponudu, primjenom pristupa isplativosti, po osnovu kriterijuma:</w:t>
      </w:r>
    </w:p>
    <w:p>
      <w:pPr>
        <w:spacing w:after="0" w:line="240" w:lineRule="auto"/>
        <w:jc w:val="both"/>
        <w:rPr>
          <w:rFonts w:ascii="Arial" w:hAnsi="Arial" w:eastAsia="Times New Roman" w:cs="Arial"/>
          <w:sz w:val="24"/>
          <w:szCs w:val="24"/>
          <w:lang w:val="sr-Latn-ME"/>
        </w:rPr>
      </w:pPr>
    </w:p>
    <w:p>
      <w:pPr>
        <w:spacing w:after="0" w:line="240" w:lineRule="auto"/>
        <w:rPr>
          <w:rFonts w:ascii="Arial" w:hAnsi="Arial" w:eastAsia="Times New Roman" w:cs="Arial"/>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sz w:val="24"/>
          <w:szCs w:val="24"/>
          <w:lang w:val="sr-Latn-ME"/>
        </w:rPr>
        <w:t xml:space="preserve">odnos cijene i kvaliteta </w:t>
      </w:r>
    </w:p>
    <w:p>
      <w:pPr>
        <w:spacing w:after="0" w:line="240" w:lineRule="auto"/>
        <w:jc w:val="both"/>
        <w:rPr>
          <w:rFonts w:ascii="Arial" w:hAnsi="Arial" w:eastAsia="Times New Roman" w:cs="Arial"/>
          <w:i/>
          <w:color w:val="000000"/>
          <w:sz w:val="24"/>
          <w:szCs w:val="24"/>
          <w:lang w:val="sr-Latn-ME"/>
        </w:rPr>
      </w:pPr>
    </w:p>
    <w:p>
      <w:pPr>
        <w:jc w:val="both"/>
        <w:rPr>
          <w:rFonts w:ascii="Arial" w:hAnsi="Arial" w:eastAsia="Calibri" w:cs="Arial"/>
          <w:sz w:val="24"/>
          <w:szCs w:val="24"/>
          <w:lang w:val="sr-Latn-ME"/>
        </w:rPr>
      </w:pPr>
      <w:r>
        <w:rPr>
          <w:rFonts w:ascii="Arial" w:hAnsi="Arial" w:eastAsia="Calibri" w:cs="Arial"/>
          <w:sz w:val="24"/>
          <w:szCs w:val="24"/>
          <w:lang w:val="sr-Latn-ME"/>
        </w:rPr>
        <w:t>Naručilac se opredijelio za vrednovanje ponuda po kriterijumu odnos cijene i kvaliteta, a shodno Pravilniku o metodologiji načina vrednovanja ponuda u postupku javnih nabavki.</w:t>
      </w:r>
    </w:p>
    <w:p>
      <w:pPr>
        <w:jc w:val="both"/>
        <w:rPr>
          <w:rFonts w:ascii="Arial" w:hAnsi="Arial" w:eastAsia="Calibri" w:cs="Arial"/>
          <w:sz w:val="24"/>
          <w:szCs w:val="24"/>
          <w:lang w:val="sr-Latn-ME"/>
        </w:rPr>
      </w:pPr>
      <w:r>
        <w:rPr>
          <w:rFonts w:ascii="Arial" w:hAnsi="Arial" w:eastAsia="Calibri" w:cs="Arial"/>
          <w:sz w:val="24"/>
          <w:szCs w:val="24"/>
          <w:lang w:val="sr-Latn-ME"/>
        </w:rPr>
        <w:t>Vrednovanje će se vršiti na osnovu sljedećih parametara:</w:t>
      </w:r>
    </w:p>
    <w:p>
      <w:pPr>
        <w:ind w:left="284"/>
        <w:jc w:val="both"/>
        <w:rPr>
          <w:rFonts w:ascii="Arial" w:hAnsi="Arial" w:eastAsia="Calibri" w:cs="Arial"/>
          <w:sz w:val="24"/>
          <w:szCs w:val="24"/>
          <w:lang w:val="sr-Latn-ME"/>
        </w:rPr>
      </w:pP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najniža ponuđena cijena (C)</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           broj bodova  </w:t>
      </w:r>
      <w:r>
        <w:rPr>
          <w:rFonts w:ascii="Arial" w:hAnsi="Arial" w:eastAsia="Calibri" w:cs="Arial"/>
          <w:sz w:val="24"/>
          <w:szCs w:val="24"/>
          <w:bdr w:val="single" w:color="auto" w:sz="4" w:space="0"/>
          <w:lang w:val="sr-Latn-ME"/>
        </w:rPr>
        <w:t xml:space="preserve">70 </w:t>
      </w:r>
    </w:p>
    <w:p>
      <w:pPr>
        <w:ind w:left="284"/>
        <w:jc w:val="both"/>
        <w:rPr>
          <w:rFonts w:ascii="Arial" w:hAnsi="Arial" w:eastAsia="Calibri" w:cs="Arial"/>
          <w:sz w:val="24"/>
          <w:szCs w:val="24"/>
          <w:bdr w:val="single" w:color="auto" w:sz="4" w:space="0"/>
          <w:lang w:val="sr-Latn-ME"/>
        </w:rPr>
      </w:pPr>
      <w:r>
        <w:rPr>
          <w:rFonts w:ascii="Arial" w:hAnsi="Arial" w:eastAsia="Calibri" w:cs="Arial"/>
          <w:b/>
          <w:sz w:val="24"/>
          <w:szCs w:val="24"/>
          <w:lang w:val="sr-Latn-ME"/>
        </w:rPr>
        <w:sym w:font="Wingdings" w:char="F0FE"/>
      </w:r>
      <w:r>
        <w:rPr>
          <w:rFonts w:ascii="Arial" w:hAnsi="Arial" w:eastAsia="Calibri" w:cs="Arial"/>
          <w:sz w:val="24"/>
          <w:szCs w:val="24"/>
          <w:lang w:val="sr-Latn-ME"/>
        </w:rPr>
        <w:t xml:space="preserve"> kvalitet  (K)</w:t>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ab/>
      </w:r>
      <w:r>
        <w:rPr>
          <w:rFonts w:ascii="Arial" w:hAnsi="Arial" w:eastAsia="Calibri" w:cs="Arial"/>
          <w:sz w:val="24"/>
          <w:szCs w:val="24"/>
          <w:lang w:val="sr-Latn-ME"/>
        </w:rPr>
        <w:t xml:space="preserve">broj bodova  </w:t>
      </w:r>
      <w:r>
        <w:rPr>
          <w:rFonts w:ascii="Arial" w:hAnsi="Arial" w:eastAsia="Calibri" w:cs="Arial"/>
          <w:sz w:val="24"/>
          <w:szCs w:val="24"/>
          <w:bdr w:val="single" w:color="auto" w:sz="4" w:space="0"/>
          <w:lang w:val="sr-Latn-ME"/>
        </w:rPr>
        <w:t>30</w:t>
      </w:r>
    </w:p>
    <w:p>
      <w:pPr>
        <w:jc w:val="both"/>
        <w:rPr>
          <w:rFonts w:ascii="Arial" w:hAnsi="Arial" w:eastAsia="Calibri" w:cs="Arial"/>
          <w:b/>
          <w:sz w:val="24"/>
          <w:szCs w:val="24"/>
          <w:lang w:val="sr-Latn-ME"/>
        </w:rPr>
      </w:pPr>
      <w:r>
        <w:rPr>
          <w:rFonts w:ascii="Arial" w:hAnsi="Arial" w:eastAsia="Calibri" w:cs="Arial"/>
          <w:color w:val="000000"/>
          <w:sz w:val="24"/>
          <w:szCs w:val="24"/>
          <w:lang w:val="sr-Latn-ME"/>
        </w:rPr>
        <w:sym w:font="Wingdings" w:char="F0FE"/>
      </w:r>
      <w:r>
        <w:rPr>
          <w:rFonts w:ascii="Arial" w:hAnsi="Arial" w:eastAsia="Calibri" w:cs="Arial"/>
          <w:color w:val="000000"/>
          <w:sz w:val="24"/>
          <w:szCs w:val="24"/>
          <w:lang w:val="sr-Latn-ME"/>
        </w:rPr>
        <w:t xml:space="preserve"> </w:t>
      </w:r>
      <w:r>
        <w:rPr>
          <w:rFonts w:ascii="Arial" w:hAnsi="Arial" w:eastAsia="Calibri" w:cs="Arial"/>
          <w:b/>
          <w:sz w:val="24"/>
          <w:szCs w:val="24"/>
          <w:lang w:val="sr-Latn-ME"/>
        </w:rPr>
        <w:t>parametar najniža ponuđena cijena (C) vrednovaće se na sljedeći način: ukupno 70 bodova</w:t>
      </w:r>
    </w:p>
    <w:p>
      <w:pPr>
        <w:tabs>
          <w:tab w:val="left" w:pos="0"/>
        </w:tabs>
        <w:jc w:val="both"/>
        <w:rPr>
          <w:rFonts w:ascii="Arial" w:hAnsi="Arial" w:eastAsia="Calibri" w:cs="Arial"/>
          <w:iCs/>
          <w:sz w:val="24"/>
          <w:szCs w:val="24"/>
          <w:lang w:val="sr-Latn-ME"/>
        </w:rPr>
      </w:pPr>
      <w:r>
        <w:rPr>
          <w:rFonts w:ascii="Arial" w:hAnsi="Arial" w:eastAsia="Calibri" w:cs="Arial"/>
          <w:iCs/>
          <w:sz w:val="24"/>
          <w:szCs w:val="24"/>
          <w:lang w:val="sr-Latn-ME"/>
        </w:rPr>
        <w:t>Bodovi za parametar najniža ponuđena cijena izračunavaju se na način što se kao osnova za vrednovanje uzima najniža ponuđena cijena, koja dobija maksimalan broj bodova – 70 bodova.</w:t>
      </w:r>
    </w:p>
    <w:p>
      <w:pPr>
        <w:numPr>
          <w:ilvl w:val="0"/>
          <w:numId w:val="6"/>
        </w:numPr>
        <w:spacing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Ostale ponude će dobiti bodove po sljedećoj formuli: </w:t>
      </w:r>
    </w:p>
    <w:p>
      <w:pPr>
        <w:spacing w:before="96" w:after="0" w:line="240" w:lineRule="auto"/>
        <w:ind w:left="567"/>
        <w:rPr>
          <w:rFonts w:ascii="Arial" w:hAnsi="Arial" w:eastAsia="PMingLiU" w:cs="Arial"/>
          <w:sz w:val="24"/>
          <w:szCs w:val="24"/>
          <w:u w:val="single"/>
          <w:lang w:val="sr-Latn-ME" w:eastAsia="zh-TW"/>
        </w:rPr>
      </w:pPr>
      <w:r>
        <w:rPr>
          <w:rFonts w:ascii="Arial" w:hAnsi="Arial" w:eastAsia="PMingLiU" w:cs="Arial"/>
          <w:sz w:val="24"/>
          <w:szCs w:val="24"/>
          <w:lang w:val="sr-Latn-ME" w:eastAsia="zh-TW"/>
        </w:rPr>
        <w:t xml:space="preserve">           C=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 70</w:t>
      </w:r>
    </w:p>
    <w:p>
      <w:pPr>
        <w:ind w:left="851"/>
        <w:jc w:val="both"/>
        <w:rPr>
          <w:rFonts w:ascii="Arial" w:hAnsi="Arial" w:eastAsia="Calibri" w:cs="Arial"/>
          <w:b/>
          <w:bCs/>
          <w:i/>
          <w:iCs/>
          <w:color w:val="000000"/>
          <w:sz w:val="24"/>
          <w:szCs w:val="24"/>
          <w:lang w:val="sr-Latn-ME"/>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min</w:t>
      </w:r>
      <w:r>
        <w:rPr>
          <w:rFonts w:ascii="Arial" w:hAnsi="Arial" w:eastAsia="PMingLiU" w:cs="Arial"/>
          <w:sz w:val="24"/>
          <w:szCs w:val="24"/>
          <w:lang w:val="sr-Latn-ME" w:eastAsia="zh-TW"/>
        </w:rPr>
        <w:t xml:space="preserve"> – najniža ponuđena cijena </w:t>
      </w:r>
    </w:p>
    <w:p>
      <w:pPr>
        <w:ind w:left="1134"/>
        <w:rPr>
          <w:rFonts w:ascii="Arial" w:hAnsi="Arial" w:eastAsia="PMingLiU" w:cs="Arial"/>
          <w:sz w:val="24"/>
          <w:szCs w:val="24"/>
          <w:lang w:val="sr-Latn-ME" w:eastAsia="zh-TW"/>
        </w:rPr>
      </w:pPr>
      <w:r>
        <w:rPr>
          <w:rFonts w:ascii="Arial" w:hAnsi="Arial" w:eastAsia="PMingLiU" w:cs="Arial"/>
          <w:sz w:val="24"/>
          <w:szCs w:val="24"/>
          <w:lang w:val="sr-Latn-ME" w:eastAsia="zh-TW"/>
        </w:rPr>
        <w:t xml:space="preserve">  C</w:t>
      </w:r>
      <w:r>
        <w:rPr>
          <w:rFonts w:ascii="Arial" w:hAnsi="Arial" w:eastAsia="PMingLiU" w:cs="Arial"/>
          <w:sz w:val="24"/>
          <w:szCs w:val="24"/>
          <w:vertAlign w:val="subscript"/>
          <w:lang w:val="sr-Latn-ME" w:eastAsia="zh-TW"/>
        </w:rPr>
        <w:t>p</w:t>
      </w:r>
      <w:r>
        <w:rPr>
          <w:rFonts w:ascii="Arial" w:hAnsi="Arial" w:eastAsia="PMingLiU" w:cs="Arial"/>
          <w:sz w:val="24"/>
          <w:szCs w:val="24"/>
          <w:lang w:val="sr-Latn-ME" w:eastAsia="zh-TW"/>
        </w:rPr>
        <w:t xml:space="preserve">   – ponuđena cijena </w:t>
      </w:r>
    </w:p>
    <w:p>
      <w:pPr>
        <w:spacing w:after="0" w:line="240" w:lineRule="auto"/>
        <w:jc w:val="both"/>
        <w:rPr>
          <w:rFonts w:ascii="Arial" w:hAnsi="Arial" w:eastAsia="Calibri" w:cs="Arial"/>
          <w:b/>
          <w:sz w:val="24"/>
          <w:szCs w:val="24"/>
          <w:lang w:val="sr-Latn-ME"/>
        </w:rPr>
      </w:pPr>
      <w:r>
        <w:rPr>
          <w:rFonts w:ascii="Arial" w:hAnsi="Arial" w:eastAsia="Calibri" w:cs="Arial"/>
          <w:b/>
          <w:color w:val="000000"/>
          <w:sz w:val="24"/>
          <w:szCs w:val="24"/>
          <w:lang w:val="sr-Latn-ME"/>
        </w:rPr>
        <w:sym w:font="Wingdings" w:char="F0FE"/>
      </w:r>
      <w:r>
        <w:rPr>
          <w:rFonts w:ascii="Arial" w:hAnsi="Arial" w:eastAsia="Calibri" w:cs="Arial"/>
          <w:b/>
          <w:sz w:val="24"/>
          <w:szCs w:val="24"/>
          <w:lang w:val="sr-Latn-ME"/>
        </w:rPr>
        <w:t xml:space="preserve"> parametar kvalitet (K) – iskustvo lica kojima će biti povjereno izvršenje predmeta nabavke vrednovaće se na sljedeći način – ukupno 30 bodova</w:t>
      </w:r>
    </w:p>
    <w:p>
      <w:pPr>
        <w:spacing w:after="0" w:line="240" w:lineRule="auto"/>
        <w:rPr>
          <w:rFonts w:ascii="Arial" w:hAnsi="Arial" w:eastAsia="Calibri" w:cs="Arial"/>
          <w:b/>
          <w:sz w:val="24"/>
          <w:szCs w:val="24"/>
          <w:lang w:val="sr-Latn-ME"/>
        </w:rPr>
      </w:pPr>
    </w:p>
    <w:p>
      <w:pPr>
        <w:jc w:val="both"/>
        <w:rPr>
          <w:rFonts w:ascii="Arial" w:hAnsi="Arial" w:eastAsia="Calibri" w:cs="Arial"/>
          <w:sz w:val="24"/>
          <w:szCs w:val="24"/>
          <w:lang w:val="sr-Latn-ME"/>
        </w:rPr>
      </w:pPr>
      <w:r>
        <w:rPr>
          <w:rFonts w:ascii="Arial" w:hAnsi="Arial" w:eastAsia="Calibri" w:cs="Arial"/>
          <w:sz w:val="24"/>
          <w:szCs w:val="24"/>
          <w:lang w:val="sr-Latn-ME"/>
        </w:rPr>
        <w:t>Kao osnova za vrednovanje uzimaju se reference osoblja angažovanog na projektu. Naručilac je u cilju vrednovanja odredio da se za parametar kvalitet uvedu dodatni elementi, na način što se za svaki element utvrdi određeni broj bodova tako da njihov zbir daje maksimalan broj bodova predviđen po ovom parametru (30 bodova), i to:</w:t>
      </w:r>
    </w:p>
    <w:p>
      <w:pPr>
        <w:spacing w:before="96" w:after="120" w:line="360" w:lineRule="atLeast"/>
        <w:jc w:val="both"/>
        <w:rPr>
          <w:rFonts w:ascii="Arial" w:hAnsi="Arial" w:eastAsia="Calibri" w:cs="Arial"/>
          <w:sz w:val="24"/>
          <w:szCs w:val="24"/>
          <w:u w:val="single"/>
          <w:lang w:val="sr-Latn-ME"/>
        </w:rPr>
      </w:pPr>
      <w:r>
        <w:rPr>
          <w:rFonts w:ascii="Arial" w:hAnsi="Arial" w:eastAsia="Calibri" w:cs="Arial"/>
          <w:b/>
          <w:sz w:val="24"/>
          <w:szCs w:val="24"/>
          <w:lang w:val="sr-Latn-ME"/>
        </w:rPr>
        <w:t xml:space="preserve">a) </w:t>
      </w:r>
      <w:r>
        <w:rPr>
          <w:rFonts w:ascii="Arial" w:hAnsi="Arial" w:eastAsia="Calibri" w:cs="Arial"/>
          <w:b/>
          <w:color w:val="000000"/>
          <w:sz w:val="24"/>
          <w:szCs w:val="24"/>
          <w:lang w:val="sl-SI"/>
        </w:rPr>
        <w:t>Konsultant za održavanje funkcionalnosti SAP modula koji su predmet nabavke</w:t>
      </w:r>
      <w:r>
        <w:rPr>
          <w:rFonts w:ascii="Arial" w:hAnsi="Arial" w:eastAsia="Calibri" w:cs="Arial"/>
          <w:b/>
          <w:sz w:val="24"/>
          <w:szCs w:val="24"/>
          <w:lang w:val="sr-Latn-ME"/>
        </w:rPr>
        <w:t xml:space="preserve"> (K1) – </w:t>
      </w:r>
      <w:r>
        <w:rPr>
          <w:rFonts w:ascii="Arial" w:hAnsi="Arial" w:eastAsia="Calibri" w:cs="Arial"/>
          <w:sz w:val="24"/>
          <w:szCs w:val="24"/>
          <w:lang w:val="sr-Latn-ME"/>
        </w:rPr>
        <w:t>najmanje</w:t>
      </w:r>
      <w:r>
        <w:rPr>
          <w:rFonts w:ascii="Arial" w:hAnsi="Arial" w:eastAsia="Calibri" w:cs="Arial"/>
          <w:b/>
          <w:sz w:val="24"/>
          <w:szCs w:val="24"/>
          <w:lang w:val="sr-Latn-ME"/>
        </w:rPr>
        <w:t xml:space="preserve"> </w:t>
      </w:r>
      <w:r>
        <w:rPr>
          <w:rFonts w:ascii="Arial" w:hAnsi="Arial" w:eastAsia="Calibri" w:cs="Arial"/>
          <w:sz w:val="24"/>
          <w:szCs w:val="24"/>
          <w:lang w:val="sr-Latn-ME"/>
        </w:rPr>
        <w:t>jedno lice</w:t>
      </w:r>
      <w:r>
        <w:rPr>
          <w:rFonts w:ascii="Arial" w:hAnsi="Arial" w:eastAsia="Calibri" w:cs="Arial"/>
          <w:b/>
          <w:sz w:val="24"/>
          <w:szCs w:val="24"/>
          <w:lang w:val="sr-Latn-ME"/>
        </w:rPr>
        <w:t>,</w:t>
      </w:r>
      <w:r>
        <w:rPr>
          <w:rFonts w:ascii="Arial" w:hAnsi="Arial" w:eastAsia="Calibri" w:cs="Arial"/>
          <w:sz w:val="24"/>
          <w:szCs w:val="24"/>
          <w:lang w:val="sr-Latn-ME"/>
        </w:rPr>
        <w:t xml:space="preserve"> izračunava se na način što se kao osnova za vrednovanje uzima broj uspješno realizovanih projekata koji uključuju implementaciju, nadogradnju ili održavanje SAP poslovnih sistema u kojima je lice učestvovalo kao SAP konsultant </w:t>
      </w:r>
      <w:r>
        <w:rPr>
          <w:rFonts w:ascii="Arial" w:hAnsi="Arial" w:eastAsia="Calibri" w:cs="Arial"/>
          <w:color w:val="000000"/>
          <w:sz w:val="24"/>
          <w:szCs w:val="24"/>
          <w:lang w:val="sl-SI"/>
        </w:rPr>
        <w:t>za održavanje funkcionalnosti SAP modula</w:t>
      </w:r>
      <w:r>
        <w:rPr>
          <w:rFonts w:ascii="Arial" w:hAnsi="Arial" w:eastAsia="Calibri" w:cs="Arial"/>
          <w:sz w:val="24"/>
          <w:szCs w:val="24"/>
          <w:lang w:val="sr-Latn-ME"/>
        </w:rPr>
        <w:t xml:space="preserve">: </w:t>
      </w:r>
      <w:r>
        <w:rPr>
          <w:rFonts w:ascii="Arial" w:hAnsi="Arial" w:eastAsia="Calibri" w:cs="Arial"/>
          <w:b/>
          <w:sz w:val="24"/>
          <w:szCs w:val="24"/>
          <w:lang w:val="sr-Latn-ME"/>
        </w:rPr>
        <w:t>ukupno</w:t>
      </w:r>
      <w:r>
        <w:rPr>
          <w:rFonts w:ascii="Arial" w:hAnsi="Arial" w:eastAsia="Calibri" w:cs="Arial"/>
          <w:sz w:val="24"/>
          <w:szCs w:val="24"/>
          <w:lang w:val="sr-Latn-ME"/>
        </w:rPr>
        <w:t xml:space="preserve"> </w:t>
      </w:r>
      <w:r>
        <w:rPr>
          <w:rFonts w:ascii="Arial" w:hAnsi="Arial" w:eastAsia="Calibri" w:cs="Arial"/>
          <w:b/>
          <w:sz w:val="24"/>
          <w:szCs w:val="24"/>
          <w:lang w:val="sr-Latn-ME"/>
        </w:rPr>
        <w:t>10 bodova</w:t>
      </w:r>
    </w:p>
    <w:p>
      <w:pPr>
        <w:spacing w:before="96"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 xml:space="preserve">Broj uspješno realizovanih projekata u kojima je lice učestvovalo kao konsultant </w:t>
      </w:r>
      <w:r>
        <w:rPr>
          <w:rFonts w:ascii="Arial" w:hAnsi="Arial" w:eastAsia="Calibri" w:cs="Arial"/>
          <w:color w:val="000000"/>
          <w:sz w:val="24"/>
          <w:szCs w:val="24"/>
          <w:lang w:val="sl-SI"/>
        </w:rPr>
        <w:t>za održavanje funkcionalnosti SAP modula koji su predmet nabavke</w:t>
      </w:r>
      <w:r>
        <w:rPr>
          <w:rFonts w:ascii="Arial" w:hAnsi="Arial" w:eastAsia="Calibri" w:cs="Arial"/>
          <w:sz w:val="24"/>
          <w:szCs w:val="24"/>
          <w:lang w:val="sr-Latn-ME"/>
        </w:rPr>
        <w:t xml:space="preserve"> će se bodovati na sljedeći način:</w:t>
      </w:r>
    </w:p>
    <w:p>
      <w:pPr>
        <w:spacing w:before="96"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          - Najveći broj uspješno realizovanih projekata u kojima je lice učestvovalo kao konsultant </w:t>
      </w:r>
      <w:r>
        <w:rPr>
          <w:rFonts w:ascii="Arial" w:hAnsi="Arial" w:eastAsia="Calibri" w:cs="Arial"/>
          <w:color w:val="000000"/>
          <w:sz w:val="24"/>
          <w:szCs w:val="24"/>
          <w:lang w:val="sl-SI"/>
        </w:rPr>
        <w:t>za održavanje funkcionalnosti SAP modula koji su predmet nabavke</w:t>
      </w:r>
      <w:r>
        <w:rPr>
          <w:rFonts w:ascii="Arial" w:hAnsi="Arial" w:eastAsia="Calibri" w:cs="Arial"/>
          <w:sz w:val="24"/>
          <w:szCs w:val="24"/>
          <w:lang w:val="sr-Latn-ME"/>
        </w:rPr>
        <w:t xml:space="preserve"> dobija maksimalni broj bodova (10 bodova)</w:t>
      </w:r>
    </w:p>
    <w:p>
      <w:pPr>
        <w:spacing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          - Ostale ponude će dobiti bodove po sljedećoj formuli: </w:t>
      </w:r>
    </w:p>
    <w:p>
      <w:pPr>
        <w:spacing w:after="0" w:line="360" w:lineRule="atLeast"/>
        <w:ind w:left="1440"/>
        <w:jc w:val="both"/>
        <w:rPr>
          <w:rFonts w:ascii="Arial" w:hAnsi="Arial" w:eastAsia="Calibri" w:cs="Arial"/>
          <w:sz w:val="24"/>
          <w:szCs w:val="24"/>
          <w:lang w:val="sr-Latn-ME"/>
        </w:rPr>
      </w:pPr>
      <w:r>
        <w:rPr>
          <w:rFonts w:ascii="Arial" w:hAnsi="Arial" w:eastAsia="Calibri" w:cs="Arial"/>
          <w:sz w:val="24"/>
          <w:szCs w:val="24"/>
          <w:lang w:val="sr-Latn-ME"/>
        </w:rPr>
        <w:t xml:space="preserve">      </w:t>
      </w:r>
      <w:r>
        <w:rPr>
          <w:rFonts w:ascii="Arial" w:hAnsi="Arial" w:eastAsia="Calibri" w:cs="Arial"/>
          <w:sz w:val="24"/>
          <w:szCs w:val="24"/>
          <w:lang w:val="sr-Latn-ME"/>
        </w:rPr>
        <w:tab/>
      </w:r>
      <w:r>
        <w:rPr>
          <w:rFonts w:ascii="Arial" w:hAnsi="Arial" w:eastAsia="Calibri" w:cs="Arial"/>
          <w:sz w:val="24"/>
          <w:szCs w:val="24"/>
          <w:lang w:val="sr-Latn-ME"/>
        </w:rPr>
        <w:t>K1= (Kp/Kmax) x 10</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 xml:space="preserve">Kp –  broj uspješno realizovanih projekata u kojima je lice učestvovalo kao konsultant </w:t>
      </w:r>
      <w:r>
        <w:rPr>
          <w:rFonts w:ascii="Arial" w:hAnsi="Arial" w:eastAsia="Calibri" w:cs="Arial"/>
          <w:color w:val="000000"/>
          <w:sz w:val="24"/>
          <w:szCs w:val="24"/>
          <w:lang w:val="sl-SI"/>
        </w:rPr>
        <w:t>za održavanje funkcionalnosti SAP modula koji su predmet nabavke</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 xml:space="preserve">Kmax – najveći ponuđeni broj uspješno realizovanih projekata u kojima je lice učestvovalo konsultant </w:t>
      </w:r>
      <w:r>
        <w:rPr>
          <w:rFonts w:ascii="Arial" w:hAnsi="Arial" w:eastAsia="Calibri" w:cs="Arial"/>
          <w:color w:val="000000"/>
          <w:sz w:val="24"/>
          <w:szCs w:val="24"/>
          <w:lang w:val="sl-SI"/>
        </w:rPr>
        <w:t>za održavanje funkcionalnosti SAP modula koji su predmet nabavke</w:t>
      </w:r>
      <w:r>
        <w:rPr>
          <w:rFonts w:ascii="Arial" w:hAnsi="Arial" w:eastAsia="Calibri" w:cs="Arial"/>
          <w:sz w:val="24"/>
          <w:szCs w:val="24"/>
          <w:lang w:val="sr-Latn-ME"/>
        </w:rPr>
        <w:t xml:space="preserve"> </w:t>
      </w:r>
    </w:p>
    <w:p>
      <w:pPr>
        <w:spacing w:before="96"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Parametar </w:t>
      </w:r>
      <w:r>
        <w:rPr>
          <w:rFonts w:ascii="Arial" w:hAnsi="Arial" w:eastAsia="Calibri" w:cs="Arial"/>
          <w:sz w:val="24"/>
          <w:szCs w:val="24"/>
          <w:u w:val="single"/>
          <w:lang w:val="sr-Latn-ME"/>
        </w:rPr>
        <w:t>se dokazuje</w:t>
      </w:r>
      <w:r>
        <w:rPr>
          <w:rFonts w:ascii="Arial" w:hAnsi="Arial" w:eastAsia="Calibri" w:cs="Arial"/>
          <w:sz w:val="24"/>
          <w:szCs w:val="24"/>
          <w:lang w:val="sr-Latn-ME"/>
        </w:rPr>
        <w:t xml:space="preserve"> prilaganjem potvrde o uspješno izvršenim uslugama koji uključuju implementaciju, nadogradnju ili održavanje SAP poslovnih sistema u kojima je lice učestvovalo kao konsultant </w:t>
      </w:r>
      <w:r>
        <w:rPr>
          <w:rFonts w:ascii="Arial" w:hAnsi="Arial" w:eastAsia="Calibri" w:cs="Arial"/>
          <w:color w:val="000000"/>
          <w:sz w:val="24"/>
          <w:szCs w:val="24"/>
          <w:lang w:val="sl-SI"/>
        </w:rPr>
        <w:t>za održavanje funkcionalnosti SAP modula koji su predmet nabavke</w:t>
      </w:r>
      <w:r>
        <w:rPr>
          <w:rFonts w:ascii="Arial" w:hAnsi="Arial" w:eastAsia="Calibri" w:cs="Arial"/>
          <w:b/>
          <w:color w:val="000000"/>
          <w:sz w:val="24"/>
          <w:szCs w:val="24"/>
          <w:lang w:val="sl-SI"/>
        </w:rPr>
        <w:t xml:space="preserve"> </w:t>
      </w:r>
      <w:r>
        <w:rPr>
          <w:rFonts w:ascii="Arial" w:hAnsi="Arial" w:eastAsia="Calibri" w:cs="Arial"/>
          <w:sz w:val="24"/>
          <w:szCs w:val="24"/>
          <w:lang w:val="sr-Latn-ME"/>
        </w:rPr>
        <w:t>tokom prethodnih godina ali ne duže od deset godina, računajući i godinu u kojoj je započet postupak javne nabavke, koje sadrže opis i vrijednost predmeta nabavke, vrijeme realizacije ugovora i konstataciju da je ugovor blagovremeno i kvalitetno izvršen.</w:t>
      </w:r>
    </w:p>
    <w:p>
      <w:pPr>
        <w:spacing w:after="0" w:line="240" w:lineRule="auto"/>
        <w:jc w:val="both"/>
        <w:rPr>
          <w:rFonts w:ascii="Arial" w:hAnsi="Arial" w:eastAsia="Calibri" w:cs="Arial"/>
          <w:b/>
          <w:sz w:val="24"/>
          <w:szCs w:val="24"/>
          <w:lang w:val="sr-Latn-ME"/>
        </w:rPr>
      </w:pPr>
    </w:p>
    <w:p>
      <w:pPr>
        <w:spacing w:line="276" w:lineRule="auto"/>
        <w:jc w:val="both"/>
        <w:rPr>
          <w:rFonts w:ascii="Arial" w:hAnsi="Arial" w:eastAsia="Calibri" w:cs="Arial"/>
          <w:sz w:val="24"/>
          <w:szCs w:val="24"/>
          <w:lang w:val="sr-Latn-ME"/>
        </w:rPr>
      </w:pPr>
      <w:r>
        <w:rPr>
          <w:rFonts w:ascii="Arial" w:hAnsi="Arial" w:eastAsia="Calibri" w:cs="Arial"/>
          <w:b/>
          <w:sz w:val="24"/>
          <w:szCs w:val="24"/>
          <w:lang w:val="sr-Latn-ME"/>
        </w:rPr>
        <w:t>b) SAP tehnički konsultant</w:t>
      </w:r>
      <w:r>
        <w:rPr>
          <w:rFonts w:ascii="Arial" w:hAnsi="Arial" w:eastAsia="Calibri" w:cs="Arial"/>
          <w:sz w:val="24"/>
          <w:szCs w:val="24"/>
          <w:lang w:val="sr-Latn-ME"/>
        </w:rPr>
        <w:t xml:space="preserve"> </w:t>
      </w:r>
      <w:r>
        <w:rPr>
          <w:rFonts w:ascii="Arial" w:hAnsi="Arial" w:eastAsia="Calibri" w:cs="Arial"/>
          <w:b/>
          <w:sz w:val="24"/>
          <w:szCs w:val="24"/>
          <w:lang w:val="sr-Latn-ME"/>
        </w:rPr>
        <w:t>(K2) –</w:t>
      </w:r>
      <w:r>
        <w:rPr>
          <w:rFonts w:ascii="Arial" w:hAnsi="Arial" w:eastAsia="Calibri" w:cs="Arial"/>
          <w:sz w:val="24"/>
          <w:szCs w:val="24"/>
          <w:lang w:val="sr-Latn-ME"/>
        </w:rPr>
        <w:t xml:space="preserve"> najmanje jedno lice, izračunava se na način što se kao osnova za vrednovanje uzima broj uspješno realizovanih projekata na kojima je lice učestvovalo kao SAP tehnički konsultant</w:t>
      </w:r>
      <w:r>
        <w:rPr>
          <w:rFonts w:ascii="Arial" w:hAnsi="Arial" w:eastAsia="Calibri" w:cs="Arial"/>
          <w:color w:val="000000"/>
          <w:sz w:val="24"/>
          <w:szCs w:val="24"/>
          <w:lang w:val="sl-SI"/>
        </w:rPr>
        <w:t xml:space="preserve"> na poslovima implementacije, nadogradnje ili održavanja tehničke infrastrukture SAP poslovnih sistema - sistem i baza podataka</w:t>
      </w:r>
      <w:r>
        <w:rPr>
          <w:rFonts w:ascii="Arial" w:hAnsi="Arial" w:eastAsia="Calibri" w:cs="Arial"/>
          <w:sz w:val="24"/>
          <w:szCs w:val="24"/>
          <w:lang w:val="sr-Latn-ME"/>
        </w:rPr>
        <w:t xml:space="preserve">: </w:t>
      </w:r>
      <w:r>
        <w:rPr>
          <w:rFonts w:ascii="Arial" w:hAnsi="Arial" w:eastAsia="Calibri" w:cs="Arial"/>
          <w:b/>
          <w:sz w:val="24"/>
          <w:szCs w:val="24"/>
          <w:lang w:val="sr-Latn-ME"/>
        </w:rPr>
        <w:t>ukupno</w:t>
      </w:r>
      <w:r>
        <w:rPr>
          <w:rFonts w:ascii="Arial" w:hAnsi="Arial" w:eastAsia="Calibri" w:cs="Arial"/>
          <w:sz w:val="24"/>
          <w:szCs w:val="24"/>
          <w:lang w:val="sr-Latn-ME"/>
        </w:rPr>
        <w:t xml:space="preserve"> </w:t>
      </w:r>
      <w:r>
        <w:rPr>
          <w:rFonts w:ascii="Arial" w:hAnsi="Arial" w:eastAsia="Calibri" w:cs="Arial"/>
          <w:b/>
          <w:sz w:val="24"/>
          <w:szCs w:val="24"/>
          <w:lang w:val="sr-Latn-ME"/>
        </w:rPr>
        <w:t>10</w:t>
      </w:r>
      <w:r>
        <w:rPr>
          <w:rFonts w:ascii="Arial" w:hAnsi="Arial" w:eastAsia="Calibri" w:cs="Arial"/>
          <w:sz w:val="24"/>
          <w:szCs w:val="24"/>
          <w:lang w:val="sr-Latn-ME"/>
        </w:rPr>
        <w:t xml:space="preserve"> </w:t>
      </w:r>
      <w:r>
        <w:rPr>
          <w:rFonts w:ascii="Arial" w:hAnsi="Arial" w:eastAsia="Calibri" w:cs="Arial"/>
          <w:b/>
          <w:sz w:val="24"/>
          <w:szCs w:val="24"/>
          <w:lang w:val="sr-Latn-ME"/>
        </w:rPr>
        <w:t>bodova.</w:t>
      </w:r>
    </w:p>
    <w:p>
      <w:pPr>
        <w:spacing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Broj uspješno realizovanih projekata na kojima je lice učestvovalo kao SAP tehnički konsultant će se bodovati na sljedeći način:</w:t>
      </w:r>
    </w:p>
    <w:p>
      <w:pPr>
        <w:spacing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 Najveći broj uspješno realizovanih projekata na kojima je lice učestvovalo kao SAP tehnički konsultant dobija maksimalni broj bodova (10 bodova)</w:t>
      </w:r>
    </w:p>
    <w:p>
      <w:pPr>
        <w:spacing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 xml:space="preserve">- Ostale ponude će dobiti bodove po sljedećoj formuli: </w:t>
      </w:r>
    </w:p>
    <w:p>
      <w:pPr>
        <w:spacing w:after="0" w:line="360" w:lineRule="atLeast"/>
        <w:ind w:left="1440"/>
        <w:jc w:val="both"/>
        <w:rPr>
          <w:rFonts w:ascii="Arial" w:hAnsi="Arial" w:eastAsia="Calibri" w:cs="Arial"/>
          <w:sz w:val="24"/>
          <w:szCs w:val="24"/>
          <w:lang w:val="sr-Latn-ME"/>
        </w:rPr>
      </w:pPr>
      <w:r>
        <w:rPr>
          <w:rFonts w:ascii="Arial" w:hAnsi="Arial" w:eastAsia="Calibri" w:cs="Arial"/>
          <w:sz w:val="24"/>
          <w:szCs w:val="24"/>
          <w:lang w:val="sr-Latn-ME"/>
        </w:rPr>
        <w:t xml:space="preserve">      </w:t>
      </w:r>
      <w:r>
        <w:rPr>
          <w:rFonts w:ascii="Arial" w:hAnsi="Arial" w:eastAsia="Calibri" w:cs="Arial"/>
          <w:sz w:val="24"/>
          <w:szCs w:val="24"/>
          <w:lang w:val="sr-Latn-ME"/>
        </w:rPr>
        <w:tab/>
      </w:r>
      <w:r>
        <w:rPr>
          <w:rFonts w:ascii="Arial" w:hAnsi="Arial" w:eastAsia="Calibri" w:cs="Arial"/>
          <w:sz w:val="24"/>
          <w:szCs w:val="24"/>
          <w:lang w:val="sr-Latn-ME"/>
        </w:rPr>
        <w:t>K2= (Kp/Kmax) x 10</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 xml:space="preserve">Kp –  broj uspješno realizovanih projekata na kojima je lice učestvovalo kao SAP tehnički konsultant </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Kmax – najveći broj ponuđenih uspješno realizovanih projekata na kojima je lice učestvovalo kao SAP tehnički konsultant</w:t>
      </w:r>
    </w:p>
    <w:p>
      <w:pPr>
        <w:spacing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Parametar </w:t>
      </w:r>
      <w:r>
        <w:rPr>
          <w:rFonts w:ascii="Arial" w:hAnsi="Arial" w:eastAsia="Calibri" w:cs="Arial"/>
          <w:sz w:val="24"/>
          <w:szCs w:val="24"/>
          <w:u w:val="single"/>
          <w:lang w:val="sr-Latn-ME"/>
        </w:rPr>
        <w:t>se dokazuje</w:t>
      </w:r>
      <w:r>
        <w:rPr>
          <w:rFonts w:ascii="Arial" w:hAnsi="Arial" w:eastAsia="Calibri" w:cs="Arial"/>
          <w:sz w:val="24"/>
          <w:szCs w:val="24"/>
          <w:lang w:val="sr-Latn-ME"/>
        </w:rPr>
        <w:t xml:space="preserve"> prilaganjem potvrde o uspješno izvršenim uslugama u u kojima je lice učestvovalo kao SAP tehnički konsultant</w:t>
      </w:r>
      <w:r>
        <w:rPr>
          <w:rFonts w:ascii="Arial" w:hAnsi="Arial" w:eastAsia="Calibri" w:cs="Arial"/>
          <w:color w:val="000000"/>
          <w:sz w:val="24"/>
          <w:szCs w:val="24"/>
          <w:lang w:val="sl-SI"/>
        </w:rPr>
        <w:t xml:space="preserve"> na poslovima implementacije, nadogradnje ili održavanja tehničke infrastrukture SAP poslovnih sistema (sistem i baza podataka)</w:t>
      </w:r>
      <w:r>
        <w:rPr>
          <w:rFonts w:ascii="Arial" w:hAnsi="Arial" w:eastAsia="Calibri" w:cs="Arial"/>
          <w:sz w:val="24"/>
          <w:szCs w:val="24"/>
          <w:lang w:val="sr-Latn-ME"/>
        </w:rPr>
        <w:t>, tokom prethodnih godina ali ne duže od deset godina, računajući i godinu u kojoj je započet postupak javne nabavke, koje sadrže opis i vrijednost predmeta nabavke, vrijeme realizacije ugovora i konstataciju da je ugovor blagovremeno i kvalitetno izvršen.</w:t>
      </w:r>
    </w:p>
    <w:p>
      <w:pPr>
        <w:autoSpaceDE w:val="0"/>
        <w:autoSpaceDN w:val="0"/>
        <w:adjustRightInd w:val="0"/>
        <w:spacing w:after="0" w:line="240" w:lineRule="auto"/>
        <w:jc w:val="both"/>
        <w:rPr>
          <w:rFonts w:ascii="Arial" w:hAnsi="Arial" w:eastAsia="Calibri" w:cs="Arial"/>
          <w:color w:val="000000"/>
          <w:sz w:val="24"/>
          <w:szCs w:val="24"/>
          <w:lang w:val="sl-SI"/>
        </w:rPr>
      </w:pPr>
      <w:r>
        <w:rPr>
          <w:rFonts w:ascii="Arial" w:hAnsi="Arial" w:eastAsia="Calibri" w:cs="Arial"/>
          <w:b/>
          <w:sz w:val="24"/>
          <w:szCs w:val="24"/>
          <w:lang w:val="sr-Latn-ME"/>
        </w:rPr>
        <w:t>c) Konsultant</w:t>
      </w:r>
      <w:r>
        <w:rPr>
          <w:rFonts w:ascii="Arial" w:hAnsi="Arial" w:eastAsia="Calibri" w:cs="Arial"/>
          <w:b/>
          <w:color w:val="000000"/>
          <w:sz w:val="24"/>
          <w:szCs w:val="24"/>
          <w:lang w:val="sl-SI"/>
        </w:rPr>
        <w:t xml:space="preserve"> za administraciju i održavanje sistemskog virtuelnog okruženja i infrastrukture neophodne za funkcionisanje sistema</w:t>
      </w:r>
      <w:r>
        <w:rPr>
          <w:rFonts w:ascii="Arial" w:hAnsi="Arial" w:eastAsia="Calibri" w:cs="Arial"/>
          <w:color w:val="000000"/>
          <w:sz w:val="24"/>
          <w:szCs w:val="24"/>
          <w:lang w:val="sl-SI"/>
        </w:rPr>
        <w:t xml:space="preserve"> </w:t>
      </w:r>
      <w:r>
        <w:rPr>
          <w:rFonts w:ascii="Arial" w:hAnsi="Arial" w:eastAsia="Calibri" w:cs="Arial"/>
          <w:b/>
          <w:color w:val="000000"/>
          <w:sz w:val="24"/>
          <w:szCs w:val="24"/>
          <w:lang w:val="sl-SI"/>
        </w:rPr>
        <w:t>(K3)</w:t>
      </w:r>
      <w:r>
        <w:rPr>
          <w:rFonts w:ascii="Arial" w:hAnsi="Arial" w:eastAsia="Calibri" w:cs="Arial"/>
          <w:color w:val="000000"/>
          <w:sz w:val="24"/>
          <w:szCs w:val="24"/>
          <w:lang w:val="sl-SI"/>
        </w:rPr>
        <w:t xml:space="preserve"> - najmanje</w:t>
      </w:r>
      <w:r>
        <w:rPr>
          <w:rFonts w:ascii="Arial" w:hAnsi="Arial" w:eastAsia="Calibri" w:cs="Arial"/>
          <w:sz w:val="24"/>
          <w:szCs w:val="24"/>
          <w:lang w:val="sr-Latn-ME"/>
        </w:rPr>
        <w:t xml:space="preserve"> jedno lice, izračunava se na način što se kao osnova za vrednovanje uzima broj uspješno realizovanih projekata </w:t>
      </w:r>
      <w:r>
        <w:rPr>
          <w:rFonts w:ascii="Arial" w:hAnsi="Arial" w:eastAsia="Calibri" w:cs="Arial"/>
          <w:color w:val="000000"/>
          <w:sz w:val="24"/>
          <w:szCs w:val="24"/>
          <w:lang w:val="sl-SI"/>
        </w:rPr>
        <w:t xml:space="preserve">implementacije, nadogradnje ili održavanja informacionih sistema </w:t>
      </w:r>
      <w:r>
        <w:rPr>
          <w:rFonts w:ascii="Arial" w:hAnsi="Arial" w:eastAsia="Calibri" w:cs="Arial"/>
          <w:sz w:val="24"/>
          <w:szCs w:val="24"/>
          <w:lang w:val="sr-Latn-ME"/>
        </w:rPr>
        <w:t>u kojima je lice učestvovalo kao tehnički konsultant</w:t>
      </w:r>
      <w:r>
        <w:rPr>
          <w:rFonts w:ascii="Arial" w:hAnsi="Arial" w:eastAsia="Calibri" w:cs="Arial"/>
          <w:b/>
          <w:color w:val="000000"/>
          <w:sz w:val="24"/>
          <w:szCs w:val="24"/>
          <w:lang w:val="sl-SI"/>
        </w:rPr>
        <w:t xml:space="preserve"> </w:t>
      </w:r>
      <w:r>
        <w:rPr>
          <w:rFonts w:ascii="Arial" w:hAnsi="Arial" w:eastAsia="Calibri" w:cs="Arial"/>
          <w:color w:val="000000"/>
          <w:sz w:val="24"/>
          <w:szCs w:val="24"/>
          <w:lang w:val="sl-SI"/>
        </w:rPr>
        <w:t>za implementaciju ili održavanje sistemskog virtuelnog okruženja i infrastrukture neophodne za funkcionisanje sistema</w:t>
      </w:r>
      <w:r>
        <w:rPr>
          <w:rFonts w:ascii="Arial" w:hAnsi="Arial" w:eastAsia="Calibri" w:cs="Arial"/>
          <w:sz w:val="24"/>
          <w:szCs w:val="24"/>
          <w:lang w:val="sr-Latn-ME"/>
        </w:rPr>
        <w:t xml:space="preserve">: </w:t>
      </w:r>
      <w:r>
        <w:rPr>
          <w:rFonts w:ascii="Arial" w:hAnsi="Arial" w:eastAsia="Calibri" w:cs="Arial"/>
          <w:b/>
          <w:sz w:val="24"/>
          <w:szCs w:val="24"/>
          <w:lang w:val="sr-Latn-ME"/>
        </w:rPr>
        <w:t>ukupno</w:t>
      </w:r>
      <w:r>
        <w:rPr>
          <w:rFonts w:ascii="Arial" w:hAnsi="Arial" w:eastAsia="Calibri" w:cs="Arial"/>
          <w:sz w:val="24"/>
          <w:szCs w:val="24"/>
          <w:lang w:val="sr-Latn-ME"/>
        </w:rPr>
        <w:t xml:space="preserve"> </w:t>
      </w:r>
      <w:r>
        <w:rPr>
          <w:rFonts w:ascii="Arial" w:hAnsi="Arial" w:eastAsia="Calibri" w:cs="Arial"/>
          <w:b/>
          <w:sz w:val="24"/>
          <w:szCs w:val="24"/>
          <w:lang w:val="sr-Latn-ME"/>
        </w:rPr>
        <w:t>10</w:t>
      </w:r>
      <w:r>
        <w:rPr>
          <w:rFonts w:ascii="Arial" w:hAnsi="Arial" w:eastAsia="Calibri" w:cs="Arial"/>
          <w:sz w:val="24"/>
          <w:szCs w:val="24"/>
          <w:lang w:val="sr-Latn-ME"/>
        </w:rPr>
        <w:t xml:space="preserve"> </w:t>
      </w:r>
      <w:r>
        <w:rPr>
          <w:rFonts w:ascii="Arial" w:hAnsi="Arial" w:eastAsia="Calibri" w:cs="Arial"/>
          <w:b/>
          <w:sz w:val="24"/>
          <w:szCs w:val="24"/>
          <w:lang w:val="sr-Latn-ME"/>
        </w:rPr>
        <w:t>bodova.</w:t>
      </w:r>
    </w:p>
    <w:p>
      <w:pPr>
        <w:spacing w:before="96"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          Broj uspješno realizovanih projekata na kojima je lice učestvovalo kao tehnički konsultant će se bodovati na sljedeći način:</w:t>
      </w:r>
    </w:p>
    <w:p>
      <w:pPr>
        <w:spacing w:after="0" w:line="360" w:lineRule="atLeast"/>
        <w:ind w:firstLine="708"/>
        <w:jc w:val="both"/>
        <w:rPr>
          <w:rFonts w:ascii="Arial" w:hAnsi="Arial" w:eastAsia="Calibri" w:cs="Arial"/>
          <w:sz w:val="24"/>
          <w:szCs w:val="24"/>
          <w:lang w:val="sr-Latn-ME"/>
        </w:rPr>
      </w:pPr>
      <w:r>
        <w:rPr>
          <w:rFonts w:ascii="Arial" w:hAnsi="Arial" w:eastAsia="Calibri" w:cs="Arial"/>
          <w:sz w:val="24"/>
          <w:szCs w:val="24"/>
          <w:lang w:val="sr-Latn-ME"/>
        </w:rPr>
        <w:t>- Najveći broj uspješno realizovanih projekata na kojima je lice učestvovalo kao konsultant</w:t>
      </w:r>
      <w:r>
        <w:rPr>
          <w:rFonts w:ascii="Arial" w:hAnsi="Arial" w:eastAsia="Calibri" w:cs="Arial"/>
          <w:color w:val="000000"/>
          <w:sz w:val="24"/>
          <w:szCs w:val="24"/>
          <w:lang w:val="sl-SI"/>
        </w:rPr>
        <w:t xml:space="preserve"> za administraciju i održavanje sistemskog virtuelnog okruženja i infrastrukture neophodne za funkcionisanje sistema</w:t>
      </w:r>
      <w:r>
        <w:rPr>
          <w:rFonts w:ascii="Arial" w:hAnsi="Arial" w:eastAsia="Calibri" w:cs="Arial"/>
          <w:sz w:val="24"/>
          <w:szCs w:val="24"/>
          <w:lang w:val="sr-Latn-ME"/>
        </w:rPr>
        <w:t xml:space="preserve"> dobija maksimalni broj bodova (10 bodova)</w:t>
      </w:r>
    </w:p>
    <w:p>
      <w:pPr>
        <w:spacing w:after="0"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            - Ostale ponude će dobiti bodove po sljedećoj formuli: </w:t>
      </w:r>
    </w:p>
    <w:p>
      <w:pPr>
        <w:spacing w:after="0" w:line="360" w:lineRule="atLeast"/>
        <w:ind w:left="1440"/>
        <w:jc w:val="both"/>
        <w:rPr>
          <w:rFonts w:ascii="Arial" w:hAnsi="Arial" w:eastAsia="Calibri" w:cs="Arial"/>
          <w:sz w:val="24"/>
          <w:szCs w:val="24"/>
          <w:lang w:val="sr-Latn-ME"/>
        </w:rPr>
      </w:pPr>
      <w:r>
        <w:rPr>
          <w:rFonts w:ascii="Arial" w:hAnsi="Arial" w:eastAsia="Calibri" w:cs="Arial"/>
          <w:sz w:val="24"/>
          <w:szCs w:val="24"/>
          <w:lang w:val="sr-Latn-ME"/>
        </w:rPr>
        <w:t xml:space="preserve">      </w:t>
      </w:r>
      <w:r>
        <w:rPr>
          <w:rFonts w:ascii="Arial" w:hAnsi="Arial" w:eastAsia="Calibri" w:cs="Arial"/>
          <w:sz w:val="24"/>
          <w:szCs w:val="24"/>
          <w:lang w:val="sr-Latn-ME"/>
        </w:rPr>
        <w:tab/>
      </w:r>
      <w:r>
        <w:rPr>
          <w:rFonts w:ascii="Arial" w:hAnsi="Arial" w:eastAsia="Calibri" w:cs="Arial"/>
          <w:sz w:val="24"/>
          <w:szCs w:val="24"/>
          <w:lang w:val="sr-Latn-ME"/>
        </w:rPr>
        <w:t>K3= (Kp/Kmax) x 10</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Kp –  broj uspješno realizovanih projekata na kojima je lice učestvovalo kao konsultant</w:t>
      </w:r>
      <w:r>
        <w:rPr>
          <w:rFonts w:ascii="Arial" w:hAnsi="Arial" w:eastAsia="Calibri" w:cs="Arial"/>
          <w:color w:val="000000"/>
          <w:sz w:val="24"/>
          <w:szCs w:val="24"/>
          <w:lang w:val="sl-SI"/>
        </w:rPr>
        <w:t xml:space="preserve"> za administraciju i održavanje sistemskog virtuelnog okruženja i infrastrukture neophodne za funkcionisanje sistema</w:t>
      </w:r>
    </w:p>
    <w:p>
      <w:pPr>
        <w:spacing w:after="0" w:line="360" w:lineRule="atLeast"/>
        <w:ind w:left="1440" w:firstLine="720"/>
        <w:jc w:val="both"/>
        <w:rPr>
          <w:rFonts w:ascii="Arial" w:hAnsi="Arial" w:eastAsia="Calibri" w:cs="Arial"/>
          <w:sz w:val="24"/>
          <w:szCs w:val="24"/>
          <w:lang w:val="sr-Latn-ME"/>
        </w:rPr>
      </w:pPr>
      <w:r>
        <w:rPr>
          <w:rFonts w:ascii="Arial" w:hAnsi="Arial" w:eastAsia="Calibri" w:cs="Arial"/>
          <w:sz w:val="24"/>
          <w:szCs w:val="24"/>
          <w:lang w:val="sr-Latn-ME"/>
        </w:rPr>
        <w:t>Kmax – najveći broj ponuđenih uspješno realizovanih projekata na kojima je lice učestvovalo kao konsultant</w:t>
      </w:r>
      <w:r>
        <w:rPr>
          <w:rFonts w:ascii="Arial" w:hAnsi="Arial" w:eastAsia="Calibri" w:cs="Arial"/>
          <w:color w:val="000000"/>
          <w:sz w:val="24"/>
          <w:szCs w:val="24"/>
          <w:lang w:val="sl-SI"/>
        </w:rPr>
        <w:t xml:space="preserve"> za administraciju i održavanje sistemskog virtuelnog okruženja i infrastrukture neophodne za funkcionisanje sistema</w:t>
      </w:r>
    </w:p>
    <w:p>
      <w:pPr>
        <w:spacing w:before="96" w:line="360" w:lineRule="atLeast"/>
        <w:jc w:val="both"/>
        <w:rPr>
          <w:rFonts w:ascii="Arial" w:hAnsi="Arial" w:eastAsia="Calibri" w:cs="Arial"/>
          <w:sz w:val="24"/>
          <w:szCs w:val="24"/>
          <w:lang w:val="sr-Latn-ME"/>
        </w:rPr>
      </w:pPr>
      <w:r>
        <w:rPr>
          <w:rFonts w:ascii="Arial" w:hAnsi="Arial" w:eastAsia="Calibri" w:cs="Arial"/>
          <w:sz w:val="24"/>
          <w:szCs w:val="24"/>
          <w:lang w:val="sr-Latn-ME"/>
        </w:rPr>
        <w:t xml:space="preserve">Parametar </w:t>
      </w:r>
      <w:r>
        <w:rPr>
          <w:rFonts w:ascii="Arial" w:hAnsi="Arial" w:eastAsia="Calibri" w:cs="Arial"/>
          <w:sz w:val="24"/>
          <w:szCs w:val="24"/>
          <w:u w:val="single"/>
          <w:lang w:val="sr-Latn-ME"/>
        </w:rPr>
        <w:t>se dokazuje</w:t>
      </w:r>
      <w:r>
        <w:rPr>
          <w:rFonts w:ascii="Arial" w:hAnsi="Arial" w:eastAsia="Calibri" w:cs="Arial"/>
          <w:sz w:val="24"/>
          <w:szCs w:val="24"/>
          <w:lang w:val="sr-Latn-ME"/>
        </w:rPr>
        <w:t xml:space="preserve"> prilaganjem potvrde o uspješno izvršenim uslugama u projektima implementacije, nadogradnje ili održavanja </w:t>
      </w:r>
      <w:r>
        <w:rPr>
          <w:rFonts w:ascii="Arial" w:hAnsi="Arial" w:eastAsia="Calibri" w:cs="Arial"/>
          <w:color w:val="000000"/>
          <w:sz w:val="24"/>
          <w:szCs w:val="24"/>
          <w:lang w:val="sl-SI"/>
        </w:rPr>
        <w:t xml:space="preserve">informacionih sistema, </w:t>
      </w:r>
      <w:r>
        <w:rPr>
          <w:rFonts w:ascii="Arial" w:hAnsi="Arial" w:eastAsia="Calibri" w:cs="Arial"/>
          <w:sz w:val="24"/>
          <w:szCs w:val="24"/>
          <w:lang w:val="sr-Latn-ME"/>
        </w:rPr>
        <w:t>u kojima je lice učestvovalo kao konsultant</w:t>
      </w:r>
      <w:r>
        <w:rPr>
          <w:rFonts w:ascii="Arial" w:hAnsi="Arial" w:eastAsia="Calibri" w:cs="Arial"/>
          <w:b/>
          <w:color w:val="000000"/>
          <w:sz w:val="24"/>
          <w:szCs w:val="24"/>
          <w:lang w:val="sl-SI"/>
        </w:rPr>
        <w:t xml:space="preserve"> </w:t>
      </w:r>
      <w:r>
        <w:rPr>
          <w:rFonts w:ascii="Arial" w:hAnsi="Arial" w:eastAsia="Calibri" w:cs="Arial"/>
          <w:color w:val="000000"/>
          <w:sz w:val="24"/>
          <w:szCs w:val="24"/>
          <w:lang w:val="sl-SI"/>
        </w:rPr>
        <w:t>za implementaciju ili održavanje sistemskog virtuelnog okruženja i infrastrukture neophodne za funkcionisanje sistema</w:t>
      </w:r>
      <w:r>
        <w:rPr>
          <w:rFonts w:ascii="Arial" w:hAnsi="Arial" w:eastAsia="Calibri" w:cs="Arial"/>
          <w:sz w:val="24"/>
          <w:szCs w:val="24"/>
          <w:lang w:val="sr-Latn-ME"/>
        </w:rPr>
        <w:t xml:space="preserve">, tokom prethodnih godina ali ne duže od </w:t>
      </w:r>
      <w:r>
        <w:rPr>
          <w:rFonts w:hint="default" w:ascii="Arial" w:hAnsi="Arial" w:eastAsia="Calibri" w:cs="Arial"/>
          <w:sz w:val="24"/>
          <w:szCs w:val="24"/>
          <w:lang w:val="sr-Latn-ME"/>
        </w:rPr>
        <w:t>pet</w:t>
      </w:r>
      <w:r>
        <w:rPr>
          <w:rFonts w:ascii="Arial" w:hAnsi="Arial" w:eastAsia="Calibri" w:cs="Arial"/>
          <w:sz w:val="24"/>
          <w:szCs w:val="24"/>
          <w:lang w:val="sr-Latn-ME"/>
        </w:rPr>
        <w:t xml:space="preserve"> godina, računajući i godinu u kojoj je započet postupak javne nabavke, koje sadrže opis i vrijednost predmeta nabavke, vrijeme realizacije ugovora i konstataciju da je ugovor blagovremeno i kvalitetno izvršen.</w:t>
      </w:r>
    </w:p>
    <w:p>
      <w:pPr>
        <w:spacing w:after="0" w:line="240" w:lineRule="auto"/>
        <w:jc w:val="both"/>
        <w:rPr>
          <w:rFonts w:ascii="Arial" w:hAnsi="Arial" w:eastAsia="Calibri" w:cs="Arial"/>
          <w:b/>
          <w:sz w:val="24"/>
          <w:szCs w:val="24"/>
          <w:lang w:val="sr-Latn-ME"/>
        </w:rPr>
      </w:pPr>
      <w:r>
        <w:rPr>
          <w:rFonts w:ascii="Arial" w:hAnsi="Arial" w:eastAsia="Calibri" w:cs="Arial"/>
          <w:b/>
          <w:sz w:val="24"/>
          <w:szCs w:val="24"/>
          <w:lang w:val="sr-Latn-ME"/>
        </w:rPr>
        <w:t xml:space="preserve">Napomena: U skladu sa Pravilnikom o metodologiji načina vrednovanja ponuda u postupku javnih nabavki, vrednovanje će se vršiti za ponuđene parametre iznad predviđenih minimalnih zahtjeva stručne i tehničke osposobljenosti. </w:t>
      </w:r>
    </w:p>
    <w:p>
      <w:pPr>
        <w:spacing w:after="0"/>
        <w:jc w:val="both"/>
        <w:rPr>
          <w:rFonts w:ascii="Arial" w:hAnsi="Arial" w:eastAsia="Calibri" w:cs="Arial"/>
          <w:color w:val="000000"/>
          <w:sz w:val="24"/>
          <w:szCs w:val="24"/>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7. JEZIK PONUDE</w:t>
      </w:r>
    </w:p>
    <w:p>
      <w:pPr>
        <w:spacing w:before="240"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Ponuda se sačinjava na: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crnogorski jezik i drugi jezik koji je u službenoj upotrebi u Crnoj Gori, u skladu sa Ustavom i zakonom</w:t>
      </w:r>
    </w:p>
    <w:p>
      <w:pPr>
        <w:spacing w:after="0" w:line="240" w:lineRule="auto"/>
        <w:jc w:val="both"/>
        <w:rPr>
          <w:rFonts w:ascii="Arial" w:hAnsi="Arial" w:eastAsia="Calibri" w:cs="Arial"/>
          <w:color w:val="000000"/>
          <w:sz w:val="24"/>
          <w:szCs w:val="24"/>
          <w:lang w:val="sr-Latn-ME"/>
        </w:rPr>
      </w:pPr>
      <w:r>
        <w:rPr>
          <w:rFonts w:ascii="Arial" w:hAnsi="Arial" w:eastAsia="Calibri" w:cs="Arial"/>
          <w:color w:val="000000"/>
          <w:sz w:val="24"/>
          <w:szCs w:val="24"/>
          <w:lang w:val="sr-Latn-ME"/>
        </w:rPr>
        <w:sym w:font="Wingdings" w:char="F078"/>
      </w:r>
      <w:r>
        <w:rPr>
          <w:rFonts w:ascii="Arial" w:hAnsi="Arial" w:eastAsia="Calibri" w:cs="Arial"/>
          <w:color w:val="000000"/>
          <w:sz w:val="24"/>
          <w:szCs w:val="24"/>
          <w:lang w:val="sr-Latn-ME"/>
        </w:rPr>
        <w:t xml:space="preserve">  engleski jezik za djelove ponude koji se odnose na:</w:t>
      </w:r>
    </w:p>
    <w:p>
      <w:pPr>
        <w:tabs>
          <w:tab w:val="left" w:pos="426"/>
        </w:tabs>
        <w:spacing w:before="96" w:after="0" w:line="240" w:lineRule="auto"/>
        <w:ind w:left="630" w:hanging="270"/>
        <w:jc w:val="both"/>
        <w:rPr>
          <w:rFonts w:ascii="Arial" w:hAnsi="Arial" w:eastAsia="Calibri" w:cs="Arial"/>
          <w:sz w:val="24"/>
          <w:szCs w:val="24"/>
          <w:lang w:val="sr-Latn-CS" w:eastAsia="zh-CN"/>
        </w:rPr>
      </w:pPr>
      <w:bookmarkStart w:id="6" w:name="_Toc62730561"/>
      <w:r>
        <w:rPr>
          <w:rFonts w:ascii="Arial" w:hAnsi="Arial" w:eastAsia="Calibri" w:cs="Arial"/>
          <w:sz w:val="24"/>
          <w:szCs w:val="24"/>
          <w:lang w:val="sr-Latn-CS" w:eastAsia="zh-CN"/>
        </w:rPr>
        <w:t>- tehničke karakteristike u dijelu opisa predmeta nabavke, koje je Naručilac naveo na engleskom jeziku.</w:t>
      </w:r>
    </w:p>
    <w:p>
      <w:pPr>
        <w:tabs>
          <w:tab w:val="left" w:pos="426"/>
        </w:tabs>
        <w:spacing w:before="96" w:after="0" w:line="240" w:lineRule="auto"/>
        <w:ind w:left="630" w:hanging="270"/>
        <w:jc w:val="both"/>
        <w:rPr>
          <w:rFonts w:ascii="Arial" w:hAnsi="Arial" w:eastAsia="Calibri" w:cs="Arial"/>
          <w:sz w:val="24"/>
          <w:szCs w:val="24"/>
          <w:lang w:val="sr-Latn-CS" w:eastAsia="zh-CN"/>
        </w:rPr>
      </w:pPr>
      <w:r>
        <w:rPr>
          <w:rFonts w:ascii="Arial" w:hAnsi="Arial" w:eastAsia="Calibri" w:cs="Arial"/>
          <w:sz w:val="24"/>
          <w:szCs w:val="24"/>
        </w:rPr>
        <w:t xml:space="preserve">- traženi </w:t>
      </w:r>
      <w:r>
        <w:rPr>
          <w:rFonts w:ascii="Arial" w:hAnsi="Arial" w:eastAsia="Times New Roman" w:cs="Arial"/>
          <w:sz w:val="24"/>
          <w:szCs w:val="24"/>
          <w:lang w:val="sr-Latn-CS" w:eastAsia="sr-Latn-CS"/>
        </w:rPr>
        <w:t xml:space="preserve">sertifikati u pogledu ispunjavanja uslova stručno - tehničke sposobnosti  mogu </w:t>
      </w:r>
      <w:r>
        <w:rPr>
          <w:rFonts w:ascii="Arial" w:hAnsi="Arial" w:eastAsia="Calibri" w:cs="Arial"/>
          <w:sz w:val="24"/>
          <w:szCs w:val="24"/>
        </w:rPr>
        <w:t>biti na engleskom jeziku.</w:t>
      </w: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r>
        <w:rPr>
          <w:rFonts w:ascii="Arial" w:hAnsi="Arial" w:eastAsia="Times New Roman" w:cs="Times New Roman"/>
          <w:b/>
          <w:sz w:val="24"/>
          <w:szCs w:val="32"/>
          <w:lang w:val="sr-Latn-ME"/>
        </w:rPr>
        <w:t>8. NAČIN, MJESTO I VRIJEME PODNOŠENJA PONUDA I OTVARANJA PONUDA</w:t>
      </w:r>
      <w:bookmarkEnd w:id="6"/>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Ponude se podnose preko ESJN-a zaključno sa danom </w:t>
      </w:r>
      <w:r>
        <w:rPr>
          <w:rFonts w:hint="default" w:ascii="Arial" w:hAnsi="Arial" w:eastAsia="Times New Roman" w:cs="Arial"/>
          <w:color w:val="000000"/>
          <w:sz w:val="24"/>
          <w:szCs w:val="24"/>
          <w:highlight w:val="none"/>
          <w:lang w:val="sr-Latn-ME"/>
        </w:rPr>
        <w:t>15.05.2026</w:t>
      </w:r>
      <w:r>
        <w:rPr>
          <w:rFonts w:ascii="Arial" w:hAnsi="Arial" w:eastAsia="Times New Roman" w:cs="Arial"/>
          <w:color w:val="000000"/>
          <w:sz w:val="24"/>
          <w:szCs w:val="24"/>
          <w:lang w:val="sr-Latn-ME"/>
        </w:rPr>
        <w:t>. godine do 1</w:t>
      </w:r>
      <w:r>
        <w:rPr>
          <w:rFonts w:hint="default" w:ascii="Arial" w:hAnsi="Arial" w:eastAsia="Times New Roman" w:cs="Arial"/>
          <w:color w:val="000000"/>
          <w:sz w:val="24"/>
          <w:szCs w:val="24"/>
          <w:lang w:val="sr-Latn-ME"/>
        </w:rPr>
        <w:t>4</w:t>
      </w:r>
      <w:r>
        <w:rPr>
          <w:rFonts w:ascii="Arial" w:hAnsi="Arial" w:eastAsia="Times New Roman" w:cs="Arial"/>
          <w:color w:val="000000"/>
          <w:sz w:val="24"/>
          <w:szCs w:val="24"/>
          <w:lang w:val="sr-Latn-ME"/>
        </w:rPr>
        <w:t>:00 sati.</w:t>
      </w:r>
    </w:p>
    <w:p>
      <w:pPr>
        <w:spacing w:after="0" w:line="240" w:lineRule="auto"/>
        <w:jc w:val="both"/>
        <w:rPr>
          <w:rFonts w:ascii="Arial" w:hAnsi="Arial" w:eastAsia="Times New Roman" w:cs="Arial"/>
          <w:b/>
          <w:bCs/>
          <w:i/>
          <w:iCs/>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Otvaranje ponuda održaće se dana </w:t>
      </w:r>
      <w:r>
        <w:rPr>
          <w:rFonts w:hint="default" w:ascii="Arial" w:hAnsi="Arial" w:eastAsia="Times New Roman" w:cs="Arial"/>
          <w:color w:val="000000"/>
          <w:sz w:val="24"/>
          <w:szCs w:val="24"/>
          <w:highlight w:val="none"/>
          <w:lang w:val="sr-Latn-ME"/>
        </w:rPr>
        <w:t>15.05.2026.</w:t>
      </w:r>
      <w:r>
        <w:rPr>
          <w:rFonts w:ascii="Arial" w:hAnsi="Arial" w:eastAsia="Times New Roman" w:cs="Arial"/>
          <w:color w:val="000000"/>
          <w:sz w:val="24"/>
          <w:szCs w:val="24"/>
          <w:highlight w:val="none"/>
          <w:lang w:val="sr-Latn-ME"/>
        </w:rPr>
        <w:t xml:space="preserve"> </w:t>
      </w:r>
      <w:r>
        <w:rPr>
          <w:rFonts w:ascii="Arial" w:hAnsi="Arial" w:eastAsia="Times New Roman" w:cs="Arial"/>
          <w:color w:val="000000"/>
          <w:sz w:val="24"/>
          <w:szCs w:val="24"/>
          <w:lang w:val="sr-Latn-ME"/>
        </w:rPr>
        <w:t>godine u 1</w:t>
      </w:r>
      <w:r>
        <w:rPr>
          <w:rFonts w:hint="default" w:ascii="Arial" w:hAnsi="Arial" w:eastAsia="Times New Roman" w:cs="Arial"/>
          <w:color w:val="000000"/>
          <w:sz w:val="24"/>
          <w:szCs w:val="24"/>
          <w:lang w:val="sr-Latn-ME"/>
        </w:rPr>
        <w:t>4</w:t>
      </w:r>
      <w:r>
        <w:rPr>
          <w:rFonts w:ascii="Arial" w:hAnsi="Arial" w:eastAsia="Times New Roman" w:cs="Arial"/>
          <w:color w:val="000000"/>
          <w:sz w:val="24"/>
          <w:szCs w:val="24"/>
          <w:lang w:val="sr-Latn-ME"/>
        </w:rPr>
        <w:t xml:space="preserve">:00 sati. </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Garancija ponude podnosi se u elektronskom obliku putem ESJN, izuzetno ako ponuđač ne može garanciju ponude da podnese u elekotronskom obliku, </w:t>
      </w:r>
      <w:r>
        <w:rPr>
          <w:rFonts w:ascii="Arial" w:hAnsi="Arial" w:eastAsia="Times New Roman" w:cs="Arial"/>
          <w:b/>
          <w:color w:val="000000"/>
          <w:sz w:val="24"/>
          <w:szCs w:val="24"/>
          <w:lang w:val="sr-Latn-ME"/>
        </w:rPr>
        <w:t>dužan je da putem ESJN dostavi kopiju garancije ponude, a da original garancije ponude dostavi, odnosno uruči naručiocu</w:t>
      </w:r>
      <w:r>
        <w:rPr>
          <w:rFonts w:ascii="Arial" w:hAnsi="Arial" w:eastAsia="Times New Roman" w:cs="Arial"/>
          <w:color w:val="000000"/>
          <w:sz w:val="24"/>
          <w:szCs w:val="24"/>
          <w:lang w:val="sr-Latn-ME"/>
        </w:rPr>
        <w:t>:</w:t>
      </w:r>
    </w:p>
    <w:p>
      <w:pPr>
        <w:pStyle w:val="13"/>
        <w:numPr>
          <w:ilvl w:val="0"/>
          <w:numId w:val="7"/>
        </w:numPr>
        <w:spacing w:after="0" w:line="240" w:lineRule="auto"/>
        <w:jc w:val="both"/>
        <w:rPr>
          <w:rFonts w:ascii="Arial" w:hAnsi="Arial" w:eastAsia="Times New Roman" w:cs="Arial"/>
          <w:sz w:val="24"/>
          <w:szCs w:val="24"/>
          <w:lang w:val="sr-Latn-ME"/>
        </w:rPr>
      </w:pPr>
      <w:r>
        <w:rPr>
          <w:rFonts w:ascii="Arial" w:hAnsi="Arial" w:eastAsia="Times New Roman" w:cs="Arial"/>
          <w:color w:val="000000"/>
          <w:sz w:val="24"/>
          <w:szCs w:val="24"/>
          <w:lang w:val="sr-Latn-ME"/>
        </w:rPr>
        <w:t xml:space="preserve">neposrednom predajom na arhivi naručioca na adresi </w:t>
      </w:r>
      <w:r>
        <w:rPr>
          <w:rFonts w:ascii="Arial" w:hAnsi="Arial" w:eastAsia="Calibri" w:cs="Arial"/>
          <w:color w:val="000000"/>
          <w:sz w:val="24"/>
          <w:szCs w:val="24"/>
          <w:lang w:val="sr-Latn-ME"/>
        </w:rPr>
        <w:t xml:space="preserve">Bulevar </w:t>
      </w:r>
      <w:r>
        <w:rPr>
          <w:rFonts w:ascii="Arial" w:hAnsi="Arial" w:eastAsia="Times New Roman" w:cs="Arial"/>
          <w:sz w:val="24"/>
          <w:szCs w:val="24"/>
          <w:lang w:val="sr-Latn-ME"/>
        </w:rPr>
        <w:t>Stanka Dragojevića br. 2, ili</w:t>
      </w:r>
    </w:p>
    <w:p>
      <w:pPr>
        <w:pStyle w:val="13"/>
        <w:numPr>
          <w:ilvl w:val="0"/>
          <w:numId w:val="7"/>
        </w:num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putem pošte preporučenom pošiljkom sa povratnicom </w:t>
      </w:r>
      <w:r>
        <w:rPr>
          <w:rFonts w:ascii="Arial" w:hAnsi="Arial" w:eastAsia="Calibri" w:cs="Arial"/>
          <w:color w:val="000000"/>
          <w:sz w:val="24"/>
          <w:szCs w:val="24"/>
          <w:lang w:val="sr-Latn-ME"/>
        </w:rPr>
        <w:t xml:space="preserve">na adresi Bulevar </w:t>
      </w:r>
      <w:r>
        <w:rPr>
          <w:rFonts w:ascii="Arial" w:hAnsi="Arial" w:eastAsia="Times New Roman" w:cs="Arial"/>
          <w:sz w:val="24"/>
          <w:szCs w:val="24"/>
          <w:lang w:val="sr-Latn-ME"/>
        </w:rPr>
        <w:t xml:space="preserve">Stanka Dragojevića br. 2,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radnim danima od 8:00 do 14:00 sati, zaključno sa danom </w:t>
      </w:r>
      <w:r>
        <w:rPr>
          <w:rFonts w:hint="default" w:ascii="Arial" w:hAnsi="Arial" w:eastAsia="Times New Roman" w:cs="Arial"/>
          <w:color w:val="000000"/>
          <w:sz w:val="24"/>
          <w:szCs w:val="24"/>
          <w:highlight w:val="none"/>
          <w:lang w:val="sr-Latn-ME"/>
        </w:rPr>
        <w:t>15.05.2026</w:t>
      </w:r>
      <w:r>
        <w:rPr>
          <w:rFonts w:ascii="Arial" w:hAnsi="Arial" w:eastAsia="Times New Roman" w:cs="Arial"/>
          <w:color w:val="000000"/>
          <w:sz w:val="24"/>
          <w:szCs w:val="24"/>
          <w:highlight w:val="none"/>
          <w:lang w:val="sr-Latn-ME"/>
        </w:rPr>
        <w:t>.</w:t>
      </w:r>
      <w:r>
        <w:rPr>
          <w:rFonts w:ascii="Arial" w:hAnsi="Arial" w:eastAsia="Times New Roman" w:cs="Arial"/>
          <w:color w:val="000000"/>
          <w:sz w:val="24"/>
          <w:szCs w:val="24"/>
          <w:lang w:val="sr-Latn-ME"/>
        </w:rPr>
        <w:t xml:space="preserve"> godine </w:t>
      </w:r>
      <w:r>
        <w:rPr>
          <w:rFonts w:ascii="Arial" w:hAnsi="Arial" w:eastAsia="Times New Roman" w:cs="Arial"/>
          <w:b/>
          <w:color w:val="000000"/>
          <w:sz w:val="24"/>
          <w:szCs w:val="24"/>
          <w:lang w:val="sr-Latn-ME"/>
        </w:rPr>
        <w:t>najkasnije prije isteka roka za podnošenje ponuda</w:t>
      </w:r>
      <w:r>
        <w:rPr>
          <w:rFonts w:ascii="Arial" w:hAnsi="Arial" w:eastAsia="Times New Roman" w:cs="Arial"/>
          <w:color w:val="000000"/>
          <w:sz w:val="24"/>
          <w:szCs w:val="24"/>
          <w:lang w:val="sr-Latn-ME"/>
        </w:rPr>
        <w:t xml:space="preserve"> (do 1</w:t>
      </w:r>
      <w:r>
        <w:rPr>
          <w:rFonts w:hint="default" w:ascii="Arial" w:hAnsi="Arial" w:eastAsia="Times New Roman" w:cs="Arial"/>
          <w:color w:val="000000"/>
          <w:sz w:val="24"/>
          <w:szCs w:val="24"/>
          <w:lang w:val="sr-Latn-RS"/>
        </w:rPr>
        <w:t>3</w:t>
      </w:r>
      <w:r>
        <w:rPr>
          <w:rFonts w:ascii="Arial" w:hAnsi="Arial" w:eastAsia="Times New Roman" w:cs="Arial"/>
          <w:color w:val="000000"/>
          <w:sz w:val="24"/>
          <w:szCs w:val="24"/>
          <w:lang w:val="sr-Latn-ME"/>
        </w:rPr>
        <w:t>:00 sati).</w:t>
      </w:r>
    </w:p>
    <w:p>
      <w:pPr>
        <w:spacing w:after="0" w:line="240" w:lineRule="auto"/>
        <w:rPr>
          <w:rFonts w:ascii="Arial" w:hAnsi="Arial" w:eastAsia="Times New Roman" w:cs="Arial"/>
          <w:i/>
          <w:iCs/>
          <w:color w:val="000000"/>
          <w:sz w:val="24"/>
          <w:szCs w:val="24"/>
          <w:lang w:val="sr-Latn-ME"/>
        </w:rPr>
      </w:pPr>
    </w:p>
    <w:p>
      <w:pPr>
        <w:spacing w:after="0" w:line="240" w:lineRule="auto"/>
        <w:jc w:val="both"/>
        <w:rPr>
          <w:rFonts w:ascii="Arial" w:hAnsi="Arial" w:eastAsia="Calibri" w:cs="Arial"/>
          <w:sz w:val="24"/>
          <w:szCs w:val="24"/>
          <w:lang w:val="sr-Latn-CS"/>
        </w:rPr>
      </w:pPr>
      <w:r>
        <w:rPr>
          <w:rFonts w:ascii="Arial" w:hAnsi="Arial" w:eastAsia="Times New Roman" w:cs="Arial"/>
          <w:color w:val="000000"/>
          <w:sz w:val="24"/>
          <w:szCs w:val="24"/>
          <w:lang w:val="sr-Latn-ME"/>
        </w:rPr>
        <w:t xml:space="preserve">Original garancije ponude u pisanom obliku dostavlja se u koverti, na kojoj se navodi: naziv i sjedište naručioca, </w:t>
      </w:r>
      <w:r>
        <w:rPr>
          <w:rFonts w:ascii="Arial" w:hAnsi="Arial" w:eastAsia="Calibri" w:cs="Arial"/>
          <w:sz w:val="24"/>
          <w:szCs w:val="24"/>
          <w:lang w:val="sr-Latn-CS"/>
        </w:rPr>
        <w:t>broj tenderske dokumentacije za koju se podnosi garancija, naziv, sjedište i adresa ponuđača i naznake „garancija ponude“ i "ne otvaraj prije roka za otvaranja ponuda".</w:t>
      </w:r>
    </w:p>
    <w:p>
      <w:pPr>
        <w:spacing w:after="0" w:line="240" w:lineRule="auto"/>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7" w:name="_Toc62730562"/>
      <w:r>
        <w:rPr>
          <w:rFonts w:ascii="Arial" w:hAnsi="Arial" w:eastAsia="Times New Roman" w:cs="Times New Roman"/>
          <w:b/>
          <w:sz w:val="24"/>
          <w:szCs w:val="32"/>
          <w:lang w:val="sr-Latn-ME"/>
        </w:rPr>
        <w:t>9. USLOVI ZA AKTIVIRANJE GARANCIJE PONUDE</w:t>
      </w:r>
      <w:r>
        <w:rPr>
          <w:rFonts w:ascii="Arial" w:hAnsi="Arial" w:eastAsia="Times New Roman" w:cs="Times New Roman"/>
          <w:b/>
          <w:sz w:val="24"/>
          <w:szCs w:val="32"/>
          <w:vertAlign w:val="superscript"/>
          <w:lang w:val="sr-Latn-ME"/>
        </w:rPr>
        <w:footnoteReference w:id="6"/>
      </w:r>
      <w:bookmarkEnd w:id="7"/>
    </w:p>
    <w:p>
      <w:pPr>
        <w:spacing w:after="0" w:line="240" w:lineRule="auto"/>
        <w:jc w:val="both"/>
        <w:rPr>
          <w:rFonts w:ascii="Arial" w:hAnsi="Arial" w:eastAsia="Times New Roman" w:cs="Arial"/>
          <w:b/>
          <w:bCs/>
          <w:color w:val="000000"/>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Garancija ponude će se aktivirati ako ponuđač: </w:t>
      </w:r>
    </w:p>
    <w:p>
      <w:pPr>
        <w:autoSpaceDE w:val="0"/>
        <w:autoSpaceDN w:val="0"/>
        <w:adjustRightInd w:val="0"/>
        <w:spacing w:before="60" w:after="60" w:line="240" w:lineRule="auto"/>
        <w:ind w:left="567" w:hanging="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1) odustane od ponude u roku važenja ponude i/ili</w:t>
      </w:r>
    </w:p>
    <w:p>
      <w:pPr>
        <w:autoSpaceDE w:val="0"/>
        <w:autoSpaceDN w:val="0"/>
        <w:adjustRightInd w:val="0"/>
        <w:spacing w:before="60" w:after="60" w:line="240" w:lineRule="auto"/>
        <w:ind w:firstLine="283"/>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2) odbije da zaključi ugovor o javnoj nabavci ili okvirni sporazum.</w:t>
      </w: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8" w:name="_Toc62730563"/>
      <w:r>
        <w:rPr>
          <w:rFonts w:ascii="Arial" w:hAnsi="Arial" w:eastAsia="Times New Roman" w:cs="Times New Roman"/>
          <w:b/>
          <w:sz w:val="24"/>
          <w:szCs w:val="32"/>
          <w:lang w:val="sr-Latn-ME"/>
        </w:rPr>
        <w:t>10. TAJNOST PODATAKA</w:t>
      </w:r>
      <w:bookmarkEnd w:id="8"/>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Tenderska dokumentacija sadrži tajne podatke</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ne</w:t>
      </w:r>
    </w:p>
    <w:p>
      <w:pPr>
        <w:spacing w:after="0" w:line="240" w:lineRule="auto"/>
        <w:rPr>
          <w:rFonts w:ascii="Arial" w:hAnsi="Arial" w:eastAsia="Times New Roman" w:cs="Arial"/>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sz w:val="24"/>
          <w:szCs w:val="32"/>
          <w:lang w:val="sr-Latn-ME"/>
        </w:rPr>
      </w:pPr>
      <w:bookmarkStart w:id="9" w:name="_Toc62730564"/>
      <w:r>
        <w:rPr>
          <w:rFonts w:ascii="Arial" w:hAnsi="Arial" w:eastAsia="Times New Roman" w:cs="Times New Roman"/>
          <w:b/>
          <w:sz w:val="24"/>
          <w:szCs w:val="32"/>
          <w:lang w:val="sr-Latn-ME"/>
        </w:rPr>
        <w:t>11. UPUTSTVO ZA SAČINJAVANJE PONUDE</w:t>
      </w:r>
      <w:bookmarkEnd w:id="9"/>
    </w:p>
    <w:p>
      <w:pPr>
        <w:spacing w:after="0" w:line="240" w:lineRule="auto"/>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Ponude se sačinjava u ESJN u skladu sa tenderskom dokumentacijom i važećim Pravilnikom o sadržaju ponude i uputstvu za sačinjavanje i podnošenje ponude. </w:t>
      </w: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Ispunjenost uslova za učešće u postupku javne nabavke dokazuje se izjavom privrednog subjekta, koja se sačinjava na obrascu datom u Pravilniku o obrascu izjave privrednog subjekta.</w:t>
      </w:r>
    </w:p>
    <w:p>
      <w:pPr>
        <w:spacing w:after="0" w:line="240" w:lineRule="auto"/>
        <w:jc w:val="both"/>
        <w:rPr>
          <w:rFonts w:ascii="Arial" w:hAnsi="Arial" w:eastAsia="Calibri" w:cs="Arial"/>
          <w:sz w:val="24"/>
          <w:szCs w:val="24"/>
          <w:lang w:val="sr-Latn-ME"/>
        </w:rPr>
      </w:pPr>
      <w:r>
        <w:rPr>
          <w:rFonts w:ascii="Arial" w:hAnsi="Arial" w:eastAsia="Times New Roman" w:cs="Arial"/>
          <w:sz w:val="24"/>
          <w:szCs w:val="24"/>
          <w:lang w:val="sr-Latn-ME"/>
        </w:rPr>
        <w:t xml:space="preserve">Ponuđač je dužan da tačno, potpuno, pravilno i nedvosmisleno popuni </w:t>
      </w:r>
      <w:r>
        <w:rPr>
          <w:rFonts w:ascii="Arial" w:hAnsi="Arial" w:eastAsia="Calibri" w:cs="Arial"/>
          <w:sz w:val="24"/>
          <w:szCs w:val="24"/>
          <w:lang w:val="sr-Latn-ME"/>
        </w:rPr>
        <w:t>Izjavu privrednog subjekta u skladu sa zahtjevima iz tenderske dokumentacije.</w:t>
      </w:r>
    </w:p>
    <w:p>
      <w:pPr>
        <w:spacing w:after="0" w:line="240" w:lineRule="auto"/>
        <w:jc w:val="both"/>
        <w:rPr>
          <w:rFonts w:ascii="Arial" w:hAnsi="Arial" w:eastAsia="Times New Roman" w:cs="Arial"/>
          <w:i/>
          <w:iCs/>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0" w:name="_Toc62730565"/>
      <w:r>
        <w:rPr>
          <w:rFonts w:ascii="Arial" w:hAnsi="Arial" w:eastAsia="Times New Roman" w:cs="Times New Roman"/>
          <w:b/>
          <w:sz w:val="24"/>
          <w:szCs w:val="32"/>
          <w:lang w:val="sr-Latn-ME"/>
        </w:rPr>
        <w:t>12. NAČIN ZAKLJUČIVANJA I IZMJENE UGOVORA O JAVNOJ NABAVCI</w:t>
      </w:r>
      <w:bookmarkEnd w:id="10"/>
    </w:p>
    <w:p>
      <w:pPr>
        <w:spacing w:after="0" w:line="240" w:lineRule="auto"/>
        <w:jc w:val="both"/>
        <w:rPr>
          <w:rFonts w:ascii="Arial" w:hAnsi="Arial" w:eastAsia="Times New Roman" w:cs="Arial"/>
          <w:i/>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Ugovor o javnoj nabavci mora da bude u skladu sa uslovima utvrđenim tenderskom dokumentacijom, izabranom ponudom i odlukom o izboru najpovoljnije ponude, osim u pogledu iskazivanja PDV-a.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Ugovor između naručioca i ponuđača čija je ponuda izabrana kao najpovoljnija, </w:t>
      </w:r>
      <w:r>
        <w:rPr>
          <w:rFonts w:ascii="Arial" w:hAnsi="Arial" w:eastAsia="Times New Roman" w:cs="Arial"/>
          <w:b/>
          <w:color w:val="000000"/>
          <w:sz w:val="24"/>
          <w:szCs w:val="24"/>
          <w:lang w:val="sr-Latn-ME"/>
        </w:rPr>
        <w:t>pored uslova koji su propisani ovom tenderskom dokumentacijom</w:t>
      </w:r>
      <w:r>
        <w:rPr>
          <w:rFonts w:ascii="Arial" w:hAnsi="Arial" w:eastAsia="Times New Roman" w:cs="Arial"/>
          <w:color w:val="000000"/>
          <w:sz w:val="24"/>
          <w:szCs w:val="24"/>
          <w:lang w:val="sr-Latn-ME"/>
        </w:rPr>
        <w:t>, će sadržati i sljedeće:</w:t>
      </w:r>
      <w:r>
        <w:rPr>
          <w:rFonts w:ascii="Arial" w:hAnsi="Arial" w:eastAsia="Times New Roman" w:cs="Arial"/>
          <w:color w:val="000000"/>
          <w:sz w:val="24"/>
          <w:szCs w:val="24"/>
          <w:vertAlign w:val="superscript"/>
          <w:lang w:val="sr-Latn-ME"/>
        </w:rPr>
        <w:footnoteReference w:id="7"/>
      </w:r>
    </w:p>
    <w:p>
      <w:pPr>
        <w:spacing w:after="0" w:line="240" w:lineRule="auto"/>
        <w:jc w:val="both"/>
        <w:rPr>
          <w:rFonts w:ascii="Arial" w:hAnsi="Arial" w:eastAsia="Times New Roman" w:cs="Arial"/>
          <w:color w:val="000000"/>
          <w:sz w:val="24"/>
          <w:szCs w:val="24"/>
          <w:lang w:val="sr-Latn-ME"/>
        </w:rPr>
      </w:pPr>
    </w:p>
    <w:p>
      <w:pPr>
        <w:spacing w:line="240" w:lineRule="auto"/>
        <w:jc w:val="both"/>
        <w:rPr>
          <w:rFonts w:ascii="Arial" w:hAnsi="Arial" w:eastAsia="Times New Roman" w:cs="Arial"/>
          <w:color w:val="000000"/>
          <w:sz w:val="24"/>
          <w:szCs w:val="24"/>
          <w:u w:val="single"/>
          <w:lang w:val="sr-Latn-ME"/>
        </w:rPr>
      </w:pPr>
      <w:r>
        <w:rPr>
          <w:rFonts w:ascii="Arial" w:hAnsi="Arial" w:eastAsia="Times New Roman" w:cs="Arial"/>
          <w:color w:val="000000"/>
          <w:sz w:val="24"/>
          <w:szCs w:val="24"/>
          <w:u w:val="single"/>
          <w:lang w:val="sr-Latn-ME"/>
        </w:rPr>
        <w:t>Obaveze ugovornih strana</w:t>
      </w:r>
    </w:p>
    <w:p>
      <w:pPr>
        <w:spacing w:after="0" w:line="276" w:lineRule="auto"/>
        <w:rPr>
          <w:rFonts w:ascii="Arial" w:hAnsi="Arial" w:eastAsia="Calibri" w:cs="Arial"/>
          <w:bCs/>
          <w:sz w:val="24"/>
          <w:szCs w:val="24"/>
          <w:lang w:val="es-AR"/>
        </w:rPr>
      </w:pPr>
      <w:r>
        <w:rPr>
          <w:rFonts w:ascii="Arial" w:hAnsi="Arial" w:eastAsia="Calibri" w:cs="Arial"/>
          <w:sz w:val="24"/>
          <w:szCs w:val="24"/>
          <w:lang w:val="es-AR"/>
        </w:rPr>
        <w:t>Izvršilac</w:t>
      </w:r>
      <w:r>
        <w:rPr>
          <w:rFonts w:ascii="Arial" w:hAnsi="Arial" w:eastAsia="Calibri" w:cs="Arial"/>
          <w:bCs/>
          <w:sz w:val="24"/>
          <w:szCs w:val="24"/>
          <w:lang w:val="es-AR"/>
        </w:rPr>
        <w:t xml:space="preserve"> se obavezuje:</w:t>
      </w:r>
    </w:p>
    <w:p>
      <w:pPr>
        <w:tabs>
          <w:tab w:val="left" w:pos="284"/>
        </w:tabs>
        <w:spacing w:after="0" w:line="240" w:lineRule="auto"/>
        <w:jc w:val="both"/>
        <w:rPr>
          <w:rFonts w:ascii="Arial" w:hAnsi="Arial" w:eastAsia="Calibri" w:cs="Arial"/>
          <w:sz w:val="24"/>
          <w:szCs w:val="24"/>
          <w:lang w:val="pl-PL"/>
        </w:rPr>
      </w:pPr>
      <w:r>
        <w:rPr>
          <w:rFonts w:ascii="Arial" w:hAnsi="Arial" w:eastAsia="Calibri" w:cs="Arial"/>
          <w:bCs/>
          <w:sz w:val="24"/>
          <w:szCs w:val="24"/>
          <w:lang w:val="es-AR"/>
        </w:rPr>
        <w:t xml:space="preserve">- </w:t>
      </w:r>
      <w:r>
        <w:rPr>
          <w:rFonts w:ascii="Arial" w:hAnsi="Arial" w:eastAsia="Calibri" w:cs="Arial"/>
          <w:sz w:val="24"/>
          <w:szCs w:val="24"/>
          <w:lang w:val="sl-SI"/>
        </w:rPr>
        <w:t>da će, ukoliko dođe do promjene partnerskog statusa u kompaniji tokom trajanja ugovora, a definisanog u posebnim uslovima u pozivu za nadmetanje, obezbijediti u roku od 10 dana kontinuitet i dostaviti ugovor sa podugovaračem koji zadovoljava navedene uslove;</w:t>
      </w:r>
    </w:p>
    <w:p>
      <w:p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it-IT"/>
        </w:rPr>
        <w:t xml:space="preserve">- da </w:t>
      </w:r>
      <w:r>
        <w:rPr>
          <w:rFonts w:ascii="Arial" w:hAnsi="Arial" w:eastAsia="Calibri" w:cs="Arial"/>
          <w:sz w:val="24"/>
          <w:szCs w:val="24"/>
          <w:lang w:val="sr-Latn-CS"/>
        </w:rPr>
        <w:t>usluge</w:t>
      </w:r>
      <w:r>
        <w:rPr>
          <w:rFonts w:ascii="Arial" w:hAnsi="Arial" w:eastAsia="Calibri" w:cs="Arial"/>
          <w:sz w:val="24"/>
          <w:szCs w:val="24"/>
          <w:lang w:val="it-IT"/>
        </w:rPr>
        <w:t xml:space="preserve"> koj</w:t>
      </w:r>
      <w:r>
        <w:rPr>
          <w:rFonts w:ascii="Arial" w:hAnsi="Arial" w:eastAsia="Calibri" w:cs="Arial"/>
          <w:sz w:val="24"/>
          <w:szCs w:val="24"/>
          <w:lang w:val="sr-Latn-CS"/>
        </w:rPr>
        <w:t>e</w:t>
      </w:r>
      <w:r>
        <w:rPr>
          <w:rFonts w:ascii="Arial" w:hAnsi="Arial" w:eastAsia="Calibri" w:cs="Arial"/>
          <w:sz w:val="24"/>
          <w:szCs w:val="24"/>
          <w:lang w:val="it-IT"/>
        </w:rPr>
        <w:t xml:space="preserve"> su predmet ovog Ugovora izvodi u skladu sa važećim </w:t>
      </w:r>
      <w:r>
        <w:rPr>
          <w:rFonts w:ascii="Arial" w:hAnsi="Arial" w:eastAsia="Calibri" w:cs="Arial"/>
          <w:sz w:val="24"/>
          <w:szCs w:val="24"/>
          <w:lang w:val="sr-Latn-CS"/>
        </w:rPr>
        <w:t xml:space="preserve">zakonskim </w:t>
      </w:r>
      <w:r>
        <w:rPr>
          <w:rFonts w:ascii="Arial" w:hAnsi="Arial" w:eastAsia="Calibri" w:cs="Arial"/>
          <w:sz w:val="24"/>
          <w:szCs w:val="24"/>
          <w:lang w:val="it-IT"/>
        </w:rPr>
        <w:t xml:space="preserve">propisima, normativima i standardima za ovu vrstu </w:t>
      </w:r>
      <w:r>
        <w:rPr>
          <w:rFonts w:ascii="Arial" w:hAnsi="Arial" w:eastAsia="Calibri" w:cs="Arial"/>
          <w:sz w:val="24"/>
          <w:szCs w:val="24"/>
          <w:lang w:val="sr-Latn-CS"/>
        </w:rPr>
        <w:t>posla</w:t>
      </w:r>
      <w:r>
        <w:rPr>
          <w:rFonts w:ascii="Arial" w:hAnsi="Arial" w:eastAsia="Calibri" w:cs="Arial"/>
          <w:sz w:val="24"/>
          <w:szCs w:val="24"/>
          <w:lang w:val="it-IT"/>
        </w:rPr>
        <w:t>;</w:t>
      </w:r>
    </w:p>
    <w:p>
      <w:p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it-IT"/>
        </w:rPr>
        <w:t xml:space="preserve">- da rukovodi izvršenjem svih </w:t>
      </w:r>
      <w:r>
        <w:rPr>
          <w:rFonts w:ascii="Arial" w:hAnsi="Arial" w:eastAsia="Calibri" w:cs="Arial"/>
          <w:sz w:val="24"/>
          <w:szCs w:val="24"/>
          <w:lang w:val="sr-Latn-CS"/>
        </w:rPr>
        <w:t>usluga</w:t>
      </w:r>
      <w:r>
        <w:rPr>
          <w:rFonts w:ascii="Arial" w:hAnsi="Arial" w:eastAsia="Calibri" w:cs="Arial"/>
          <w:sz w:val="24"/>
          <w:szCs w:val="24"/>
          <w:lang w:val="it-IT"/>
        </w:rPr>
        <w:t>;</w:t>
      </w:r>
    </w:p>
    <w:p>
      <w:pPr>
        <w:tabs>
          <w:tab w:val="left" w:pos="284"/>
        </w:tabs>
        <w:spacing w:after="0" w:line="240" w:lineRule="auto"/>
        <w:jc w:val="both"/>
        <w:rPr>
          <w:rFonts w:ascii="Arial" w:hAnsi="Arial" w:eastAsia="Calibri" w:cs="Arial"/>
          <w:sz w:val="24"/>
          <w:szCs w:val="24"/>
          <w:lang w:val="pl-PL"/>
        </w:rPr>
      </w:pPr>
      <w:r>
        <w:rPr>
          <w:rFonts w:ascii="Arial" w:hAnsi="Arial" w:eastAsia="Calibri" w:cs="Arial"/>
          <w:sz w:val="24"/>
          <w:szCs w:val="24"/>
          <w:lang w:val="pl-PL"/>
        </w:rPr>
        <w:t xml:space="preserve">- da obezbijedi kompletnu dokumentaciju po kojoj se izvode </w:t>
      </w:r>
      <w:r>
        <w:rPr>
          <w:rFonts w:ascii="Arial" w:hAnsi="Arial" w:eastAsia="Calibri" w:cs="Arial"/>
          <w:sz w:val="24"/>
          <w:szCs w:val="24"/>
          <w:lang w:val="sr-Latn-CS"/>
        </w:rPr>
        <w:t>usluge</w:t>
      </w:r>
      <w:r>
        <w:rPr>
          <w:rFonts w:ascii="Arial" w:hAnsi="Arial" w:eastAsia="Calibri" w:cs="Arial"/>
          <w:sz w:val="24"/>
          <w:szCs w:val="24"/>
          <w:lang w:val="pl-PL"/>
        </w:rPr>
        <w:t>;</w:t>
      </w:r>
    </w:p>
    <w:p>
      <w:pPr>
        <w:tabs>
          <w:tab w:val="left" w:pos="284"/>
        </w:tabs>
        <w:spacing w:after="0" w:line="240" w:lineRule="auto"/>
        <w:jc w:val="both"/>
        <w:rPr>
          <w:rFonts w:ascii="Arial" w:hAnsi="Arial" w:eastAsia="Calibri" w:cs="Arial"/>
          <w:sz w:val="24"/>
          <w:szCs w:val="24"/>
          <w:lang w:val="pl-PL"/>
        </w:rPr>
      </w:pPr>
      <w:r>
        <w:rPr>
          <w:rFonts w:ascii="Arial" w:hAnsi="Arial" w:eastAsia="Calibri" w:cs="Arial"/>
          <w:sz w:val="24"/>
          <w:szCs w:val="24"/>
          <w:lang w:val="sr-Latn-CS"/>
        </w:rPr>
        <w:t xml:space="preserve">- da </w:t>
      </w:r>
      <w:r>
        <w:rPr>
          <w:rFonts w:ascii="Arial" w:hAnsi="Arial" w:eastAsia="Calibri" w:cs="Arial"/>
          <w:sz w:val="24"/>
          <w:szCs w:val="24"/>
          <w:lang w:val="pl-PL"/>
        </w:rPr>
        <w:t>sistemsku i funkcionalnu podršku, koja se sastoji od korektivnih mjera koje se tiču rješavanja problema u operativnom radu, pruža u skladu sa prioritetima koji će biti definisani u prilogu A ugovora;</w:t>
      </w:r>
    </w:p>
    <w:p>
      <w:pPr>
        <w:tabs>
          <w:tab w:val="left" w:pos="284"/>
        </w:tabs>
        <w:spacing w:after="0" w:line="240" w:lineRule="auto"/>
        <w:jc w:val="both"/>
        <w:rPr>
          <w:rFonts w:ascii="Arial" w:hAnsi="Arial" w:eastAsia="Calibri" w:cs="Arial"/>
          <w:sz w:val="24"/>
          <w:szCs w:val="24"/>
          <w:lang w:val="sr-Latn-CS"/>
        </w:rPr>
      </w:pPr>
      <w:r>
        <w:rPr>
          <w:rFonts w:ascii="Arial" w:hAnsi="Arial" w:eastAsia="Calibri" w:cs="Arial"/>
          <w:sz w:val="24"/>
          <w:szCs w:val="24"/>
          <w:lang w:val="sr-Latn-CS"/>
        </w:rPr>
        <w:t>- da nadoknadi svu štetu Naručiocu, koja bude prouzrokovana nesavjesnim ili nekvalitetnim postupanjem Izvršioca, suprotno pažnji dobrog stručnjaka.</w:t>
      </w:r>
    </w:p>
    <w:p>
      <w:pPr>
        <w:tabs>
          <w:tab w:val="left" w:pos="284"/>
        </w:tabs>
        <w:spacing w:after="0" w:line="240" w:lineRule="auto"/>
        <w:rPr>
          <w:rFonts w:ascii="Arial" w:hAnsi="Arial" w:eastAsia="Calibri" w:cs="Arial"/>
          <w:sz w:val="24"/>
          <w:szCs w:val="24"/>
          <w:lang w:val="sr-Latn-CS"/>
        </w:rPr>
      </w:pPr>
    </w:p>
    <w:p>
      <w:pPr>
        <w:tabs>
          <w:tab w:val="left" w:pos="284"/>
        </w:tabs>
        <w:spacing w:after="0" w:line="276" w:lineRule="auto"/>
        <w:jc w:val="both"/>
        <w:rPr>
          <w:rFonts w:ascii="Arial" w:hAnsi="Arial" w:eastAsia="Calibri" w:cs="Arial"/>
          <w:sz w:val="24"/>
          <w:szCs w:val="24"/>
          <w:lang w:val="sr-Latn-CS"/>
        </w:rPr>
      </w:pPr>
      <w:r>
        <w:rPr>
          <w:rFonts w:ascii="Arial" w:hAnsi="Arial" w:eastAsia="Calibri" w:cs="Arial"/>
          <w:sz w:val="24"/>
          <w:szCs w:val="24"/>
          <w:lang w:val="sr-Latn-CS"/>
        </w:rPr>
        <w:t>Naručilac se obavezuje:</w:t>
      </w:r>
    </w:p>
    <w:p>
      <w:p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it-IT"/>
        </w:rPr>
        <w:t xml:space="preserve">- da </w:t>
      </w:r>
      <w:r>
        <w:rPr>
          <w:rFonts w:ascii="Arial" w:hAnsi="Arial" w:eastAsia="Calibri" w:cs="Arial"/>
          <w:sz w:val="24"/>
          <w:szCs w:val="24"/>
          <w:lang w:val="sr-Latn-CS"/>
        </w:rPr>
        <w:t>po dogovorenom terminu i planu Izvršioca uvede u posao, što podrazumijeva obezbjeđenje svih potrebnih uslova za nesmetano obavljanje posla;</w:t>
      </w:r>
    </w:p>
    <w:p>
      <w:pPr>
        <w:tabs>
          <w:tab w:val="left" w:pos="284"/>
        </w:tabs>
        <w:spacing w:after="0" w:line="240" w:lineRule="auto"/>
        <w:jc w:val="both"/>
        <w:rPr>
          <w:rFonts w:ascii="Arial" w:hAnsi="Arial" w:eastAsia="Calibri" w:cs="Arial"/>
          <w:sz w:val="24"/>
          <w:szCs w:val="24"/>
          <w:lang w:val="it-IT"/>
        </w:rPr>
      </w:pPr>
      <w:r>
        <w:rPr>
          <w:rFonts w:ascii="Arial" w:hAnsi="Arial" w:eastAsia="Calibri" w:cs="Arial"/>
          <w:sz w:val="24"/>
          <w:szCs w:val="24"/>
          <w:lang w:val="sr-Latn-CS"/>
        </w:rPr>
        <w:t>- da izvrši plaćanje za usluge koje su predmet ovog Ugovora, na način preciziran u ovoj tenderskoj dokumentaciji.</w:t>
      </w:r>
    </w:p>
    <w:p>
      <w:pPr>
        <w:spacing w:after="0" w:line="240" w:lineRule="auto"/>
        <w:jc w:val="both"/>
        <w:rPr>
          <w:rFonts w:ascii="Arial" w:hAnsi="Arial" w:eastAsia="Times New Roman" w:cs="Arial"/>
          <w:color w:val="000000"/>
          <w:sz w:val="24"/>
          <w:szCs w:val="24"/>
          <w:lang w:val="sr-Latn-ME"/>
        </w:rPr>
      </w:pPr>
    </w:p>
    <w:p>
      <w:pPr>
        <w:tabs>
          <w:tab w:val="left" w:pos="284"/>
        </w:tabs>
        <w:spacing w:line="240" w:lineRule="auto"/>
        <w:jc w:val="both"/>
        <w:rPr>
          <w:rFonts w:ascii="Arial" w:hAnsi="Arial" w:eastAsia="Calibri" w:cs="Arial"/>
          <w:color w:val="000000"/>
          <w:sz w:val="24"/>
          <w:szCs w:val="24"/>
          <w:u w:val="single"/>
        </w:rPr>
      </w:pPr>
      <w:r>
        <w:rPr>
          <w:rFonts w:ascii="Arial" w:hAnsi="Arial" w:eastAsia="Calibri" w:cs="Arial"/>
          <w:color w:val="000000"/>
          <w:sz w:val="24"/>
          <w:szCs w:val="24"/>
          <w:u w:val="single"/>
        </w:rPr>
        <w:t>Prava intelektualne svojine</w:t>
      </w:r>
    </w:p>
    <w:p>
      <w:pPr>
        <w:tabs>
          <w:tab w:val="left" w:pos="284"/>
        </w:tabs>
        <w:spacing w:after="200" w:line="240" w:lineRule="auto"/>
        <w:jc w:val="both"/>
        <w:rPr>
          <w:rFonts w:ascii="Arial" w:hAnsi="Arial" w:eastAsia="Calibri" w:cs="Arial"/>
          <w:color w:val="000000"/>
          <w:sz w:val="24"/>
          <w:szCs w:val="24"/>
        </w:rPr>
      </w:pPr>
      <w:r>
        <w:rPr>
          <w:rFonts w:ascii="Arial" w:hAnsi="Arial" w:eastAsia="Calibri" w:cs="Arial"/>
          <w:color w:val="000000"/>
          <w:sz w:val="24"/>
          <w:szCs w:val="24"/>
        </w:rPr>
        <w:t>Ugovorne strane su saglasne da Naručilac isplatom ugovorene cijene održavanja u cjelosti stiče sva prava iskorišćavanja produkata održavanja razvijenih od strane Izvršioca za potrebe izvršenja ovog Ugovora.</w:t>
      </w:r>
    </w:p>
    <w:p>
      <w:pPr>
        <w:spacing w:line="240" w:lineRule="auto"/>
        <w:jc w:val="both"/>
        <w:rPr>
          <w:rFonts w:ascii="Arial" w:hAnsi="Arial" w:eastAsia="Calibri" w:cs="Arial"/>
          <w:sz w:val="24"/>
          <w:szCs w:val="24"/>
          <w:u w:val="single"/>
          <w:lang w:val="sr-Latn-ME"/>
        </w:rPr>
      </w:pPr>
      <w:r>
        <w:rPr>
          <w:rFonts w:ascii="Arial" w:hAnsi="Arial" w:eastAsia="Calibri" w:cs="Arial"/>
          <w:sz w:val="24"/>
          <w:szCs w:val="24"/>
          <w:u w:val="single"/>
          <w:lang w:val="sr-Latn-ME"/>
        </w:rPr>
        <w:t>Izvještavanje</w:t>
      </w:r>
    </w:p>
    <w:p>
      <w:pPr>
        <w:spacing w:after="200" w:line="276" w:lineRule="auto"/>
        <w:jc w:val="both"/>
        <w:rPr>
          <w:rFonts w:ascii="Arial" w:hAnsi="Arial" w:eastAsia="PMingLiU" w:cs="Arial"/>
          <w:sz w:val="24"/>
          <w:szCs w:val="24"/>
          <w:lang w:val="sr-Latn-CS" w:eastAsia="zh-TW"/>
        </w:rPr>
      </w:pPr>
      <w:r>
        <w:rPr>
          <w:rFonts w:ascii="Arial" w:hAnsi="Arial" w:eastAsia="PMingLiU" w:cs="Arial"/>
          <w:sz w:val="24"/>
          <w:szCs w:val="24"/>
          <w:lang w:val="sr-Latn-CS" w:eastAsia="zh-TW"/>
        </w:rPr>
        <w:t xml:space="preserve">Ugovorne strane su saglasne da će Izvršilac biti u obavezi tokom čitavog trajanja ovog Ugovora da jednom mjesečno redovno izvještava Naručioca o detaljima izvršenih usluga koje su predmet ovog Ugovora. Izvještaji moraju sadržati detalje rješenja za svaki upućeni zahtjev. Ukoliko se radi o preventivnim aktivnostima Izvršilac treba da dostavi rezultate i predloge za eventualna poboljšanja ili promjene u cilju poboljšavanja performasi ili izbjegavanja potencijalnih grešaka i problema. Stručno osoblje koje odredi Naručilac će u slučaju da iz redovnih izvještaja utvrdi određene nepravilnosti, zatražiti od Izvršioca preduzimanje svih mjera u pravcu njihovog pravovremenog korigovanja. </w:t>
      </w:r>
      <w:r>
        <w:rPr>
          <w:rFonts w:ascii="Arial" w:hAnsi="Arial" w:eastAsia="Calibri" w:cs="Arial"/>
          <w:sz w:val="24"/>
          <w:szCs w:val="24"/>
        </w:rPr>
        <w:t xml:space="preserve">Izvršilac je dužan da postupi po primjedbama stručnog osoblja, u roku od 3 dana od dana kada je zapisnički konstatovana uočena nepravilnost. </w:t>
      </w:r>
    </w:p>
    <w:p>
      <w:pPr>
        <w:spacing w:after="0" w:line="240" w:lineRule="auto"/>
        <w:jc w:val="both"/>
        <w:rPr>
          <w:rFonts w:ascii="Arial" w:hAnsi="Arial" w:eastAsia="PMingLiU" w:cs="Arial"/>
          <w:sz w:val="24"/>
          <w:szCs w:val="24"/>
          <w:lang w:val="sr-Latn-CS" w:eastAsia="zh-TW"/>
        </w:rPr>
      </w:pPr>
      <w:r>
        <w:rPr>
          <w:rFonts w:ascii="Arial" w:hAnsi="Arial" w:eastAsia="PMingLiU" w:cs="Arial"/>
          <w:sz w:val="24"/>
          <w:szCs w:val="24"/>
          <w:lang w:val="sr-Latn-CS" w:eastAsia="zh-TW"/>
        </w:rPr>
        <w:t>Pored izvještavanja, Izvršilac će biti u obavezi da Naručioca informiše i o nastupanju nepredviđenih okolnosti koje se mogu javiti tokom realizacije ovog Ugovora, a koje se na bilo koji način odnose, ili se mogu odnositi na realizaciju prava i obaveza definisanih ovim Ugovorom.</w:t>
      </w:r>
    </w:p>
    <w:p>
      <w:pPr>
        <w:spacing w:after="0" w:line="240" w:lineRule="auto"/>
        <w:jc w:val="both"/>
        <w:rPr>
          <w:rFonts w:ascii="Arial" w:hAnsi="Arial" w:eastAsia="PMingLiU" w:cs="Arial"/>
          <w:sz w:val="24"/>
          <w:szCs w:val="24"/>
          <w:u w:val="single"/>
          <w:lang w:val="sr-Latn-ME" w:eastAsia="zh-TW"/>
        </w:rPr>
      </w:pPr>
    </w:p>
    <w:p>
      <w:pPr>
        <w:spacing w:line="240" w:lineRule="auto"/>
        <w:jc w:val="both"/>
        <w:rPr>
          <w:rFonts w:ascii="Arial" w:hAnsi="Arial" w:eastAsia="PMingLiU" w:cs="Arial"/>
          <w:sz w:val="24"/>
          <w:szCs w:val="24"/>
          <w:u w:val="single"/>
          <w:lang w:val="sr-Latn-ME" w:eastAsia="zh-TW"/>
        </w:rPr>
      </w:pPr>
      <w:r>
        <w:rPr>
          <w:rFonts w:ascii="Arial" w:hAnsi="Arial" w:eastAsia="PMingLiU" w:cs="Arial"/>
          <w:sz w:val="24"/>
          <w:szCs w:val="24"/>
          <w:u w:val="single"/>
          <w:lang w:val="sr-Latn-ME" w:eastAsia="zh-TW"/>
        </w:rPr>
        <w:t>Ugovorne kazne</w:t>
      </w:r>
    </w:p>
    <w:p>
      <w:pPr>
        <w:spacing w:after="0" w:line="240" w:lineRule="auto"/>
        <w:jc w:val="both"/>
        <w:rPr>
          <w:rFonts w:ascii="Arial" w:hAnsi="Arial" w:eastAsia="PMingLiU" w:cs="Arial"/>
          <w:sz w:val="24"/>
          <w:szCs w:val="24"/>
          <w:highlight w:val="none"/>
          <w:lang w:val="sr-Latn-ME" w:eastAsia="zh-TW"/>
        </w:rPr>
      </w:pPr>
      <w:r>
        <w:rPr>
          <w:rFonts w:ascii="Arial" w:hAnsi="Arial" w:eastAsia="PMingLiU" w:cs="Arial"/>
          <w:sz w:val="24"/>
          <w:szCs w:val="24"/>
          <w:highlight w:val="none"/>
          <w:lang w:val="sr-Latn-ME" w:eastAsia="zh-TW"/>
        </w:rPr>
        <w:t>Ugovorne kazne su:</w:t>
      </w:r>
    </w:p>
    <w:p>
      <w:pPr>
        <w:numPr>
          <w:ilvl w:val="0"/>
          <w:numId w:val="8"/>
        </w:numPr>
        <w:spacing w:after="0" w:line="240" w:lineRule="auto"/>
        <w:jc w:val="both"/>
        <w:rPr>
          <w:rFonts w:ascii="Arial" w:hAnsi="Arial" w:eastAsia="PMingLiU" w:cs="Arial"/>
          <w:sz w:val="24"/>
          <w:szCs w:val="24"/>
          <w:highlight w:val="none"/>
          <w:lang w:eastAsia="zh-TW"/>
        </w:rPr>
      </w:pPr>
      <w:r>
        <w:rPr>
          <w:rFonts w:ascii="Arial" w:hAnsi="Arial" w:eastAsia="PMingLiU" w:cs="Arial"/>
          <w:sz w:val="24"/>
          <w:szCs w:val="24"/>
          <w:highlight w:val="none"/>
          <w:lang w:eastAsia="zh-TW"/>
        </w:rPr>
        <w:t>Ukoliko sistem, u toku jednog mjeseca, nije bio u funkciji više od dva radna dana ( kritični kvar), izvršiće se smanjenje fakture za taj mjesec u visini od 30%;</w:t>
      </w:r>
    </w:p>
    <w:p>
      <w:pPr>
        <w:numPr>
          <w:ilvl w:val="0"/>
          <w:numId w:val="8"/>
        </w:numPr>
        <w:spacing w:after="0" w:line="240" w:lineRule="auto"/>
        <w:jc w:val="both"/>
        <w:rPr>
          <w:rFonts w:ascii="Arial" w:hAnsi="Arial" w:eastAsia="PMingLiU" w:cs="Arial"/>
          <w:sz w:val="24"/>
          <w:szCs w:val="24"/>
          <w:lang w:eastAsia="zh-TW"/>
        </w:rPr>
      </w:pPr>
      <w:r>
        <w:rPr>
          <w:rFonts w:ascii="Arial" w:hAnsi="Arial" w:eastAsia="PMingLiU" w:cs="Arial"/>
          <w:sz w:val="24"/>
          <w:szCs w:val="24"/>
          <w:lang w:val="sr-Latn-CS" w:eastAsia="zh-TW"/>
        </w:rPr>
        <w:t>Ukoliko se u razumnom roku, a najviše u roku do 20 radnih dana (osim u slučaju da su se Naručilac i Izvršilac drugačije usaglasili), ne otkloni manji manji kvar, izvršiće se smanjenje fakture za taj mjesec u visini do 70%.</w:t>
      </w:r>
    </w:p>
    <w:p>
      <w:pPr>
        <w:spacing w:after="0" w:line="276" w:lineRule="auto"/>
        <w:jc w:val="both"/>
        <w:rPr>
          <w:rFonts w:ascii="Arial" w:hAnsi="Arial" w:eastAsia="PMingLiU" w:cs="Arial"/>
          <w:sz w:val="24"/>
          <w:szCs w:val="24"/>
          <w:lang w:val="sr-Latn-CS" w:eastAsia="zh-TW"/>
        </w:rPr>
      </w:pPr>
    </w:p>
    <w:p>
      <w:pPr>
        <w:spacing w:after="200" w:line="276" w:lineRule="auto"/>
        <w:jc w:val="both"/>
        <w:rPr>
          <w:rFonts w:ascii="Arial" w:hAnsi="Arial" w:eastAsia="PMingLiU" w:cs="Arial"/>
          <w:sz w:val="24"/>
          <w:szCs w:val="24"/>
          <w:lang w:val="sr-Latn-CS" w:eastAsia="zh-TW"/>
        </w:rPr>
      </w:pPr>
      <w:r>
        <w:rPr>
          <w:rFonts w:ascii="Arial" w:hAnsi="Arial" w:eastAsia="PMingLiU" w:cs="Arial"/>
          <w:sz w:val="24"/>
          <w:szCs w:val="24"/>
          <w:lang w:val="sr-Latn-CS" w:eastAsia="zh-TW"/>
        </w:rPr>
        <w:t>Ugovorne kazne se neće uzimati u obzir ukoliko je greška nastala pod uticajem više sile ili kvara izvan uticaja Izvršioca, kao i kvara nastalog usljed greške Naručioca.</w:t>
      </w:r>
    </w:p>
    <w:p>
      <w:pPr>
        <w:spacing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Plaćanje ugovorene kazne ne oslobađa Izvršioca obaveze da u cjelosti završi ugovoreni, posao i to u roku do 10 dana od dana utvrđene ugovorne kazne iz stava 1 ovog člana, u suprotnom će se smatrati ne izvršavanjem ugovorene obaveze.</w:t>
      </w:r>
    </w:p>
    <w:p>
      <w:pPr>
        <w:spacing w:line="240" w:lineRule="auto"/>
        <w:jc w:val="both"/>
        <w:rPr>
          <w:rFonts w:ascii="Arial" w:hAnsi="Arial" w:eastAsia="Calibri" w:cs="Arial"/>
          <w:sz w:val="24"/>
          <w:szCs w:val="24"/>
          <w:u w:val="single"/>
          <w:lang w:val="sr-Latn-ME"/>
        </w:rPr>
      </w:pPr>
      <w:r>
        <w:rPr>
          <w:rFonts w:ascii="Arial" w:hAnsi="Arial" w:eastAsia="Calibri" w:cs="Arial"/>
          <w:sz w:val="24"/>
          <w:szCs w:val="24"/>
          <w:u w:val="single"/>
          <w:lang w:val="sr-Latn-ME"/>
        </w:rPr>
        <w:t>Naknada štete</w:t>
      </w:r>
    </w:p>
    <w:p>
      <w:pPr>
        <w:spacing w:after="0" w:line="240" w:lineRule="auto"/>
        <w:jc w:val="both"/>
        <w:rPr>
          <w:rFonts w:ascii="Arial" w:hAnsi="Arial" w:eastAsia="PMingLiU" w:cs="Arial"/>
          <w:sz w:val="24"/>
          <w:szCs w:val="24"/>
          <w:lang w:val="sr-Latn-ME" w:eastAsia="zh-TW"/>
        </w:rPr>
      </w:pPr>
      <w:r>
        <w:rPr>
          <w:rFonts w:ascii="Arial" w:hAnsi="Arial" w:eastAsia="PMingLiU" w:cs="Arial"/>
          <w:sz w:val="24"/>
          <w:szCs w:val="24"/>
          <w:lang w:val="sr-Latn-ME" w:eastAsia="zh-TW"/>
        </w:rPr>
        <w:t>Ukoliko Izvršilac, namjerno ili krajnjom nepažnjom, postupi suprotno odredbama Ugovora, a zbog toga dođe do neoperativnosti i nefunkcionisanja softverskog rješenja, te zbog toga Naručilac pretrpi štetu, dužan je da prouzrokovanu štetu nadoknadi.</w:t>
      </w:r>
    </w:p>
    <w:p>
      <w:pPr>
        <w:spacing w:after="0" w:line="240" w:lineRule="auto"/>
        <w:jc w:val="both"/>
        <w:rPr>
          <w:rFonts w:ascii="Arial" w:hAnsi="Arial" w:eastAsia="PMingLiU" w:cs="Arial"/>
          <w:sz w:val="24"/>
          <w:szCs w:val="24"/>
          <w:lang w:val="sr-Latn-ME" w:eastAsia="zh-TW"/>
        </w:rPr>
      </w:pPr>
    </w:p>
    <w:p>
      <w:pPr>
        <w:spacing w:after="0" w:line="240" w:lineRule="auto"/>
        <w:jc w:val="both"/>
        <w:rPr>
          <w:rFonts w:ascii="Arial" w:hAnsi="Arial" w:eastAsia="PMingLiU" w:cs="Arial"/>
          <w:sz w:val="24"/>
          <w:szCs w:val="24"/>
          <w:lang w:val="sr-Latn-ME" w:eastAsia="zh-TW"/>
        </w:rPr>
      </w:pPr>
      <w:r>
        <w:rPr>
          <w:rFonts w:ascii="Arial" w:hAnsi="Arial" w:eastAsia="PMingLiU" w:cs="Arial"/>
          <w:sz w:val="24"/>
          <w:szCs w:val="24"/>
          <w:lang w:val="sr-Latn-ME" w:eastAsia="zh-TW"/>
        </w:rPr>
        <w:t>Procjenu uzroka štete izvršiće Komisija Naručioca u prisustvu predstavnika Izvršioca. Ukoliko Komisija Naručioca u prisustvu predstavnika Izvršioca utvrdi da je uzrok nastale štete neispunjavanje ugovrnih obaveza, Naručilac će imati pravo na naknadu štete i na raskid ovog Ugovora.</w:t>
      </w:r>
    </w:p>
    <w:p>
      <w:pPr>
        <w:spacing w:after="0" w:line="240" w:lineRule="auto"/>
        <w:jc w:val="both"/>
        <w:rPr>
          <w:rFonts w:ascii="Arial" w:hAnsi="Arial" w:eastAsia="PMingLiU" w:cs="Arial"/>
          <w:sz w:val="24"/>
          <w:szCs w:val="24"/>
          <w:lang w:val="sr-Latn-ME" w:eastAsia="zh-TW"/>
        </w:rPr>
      </w:pPr>
    </w:p>
    <w:p>
      <w:pPr>
        <w:spacing w:line="240" w:lineRule="auto"/>
        <w:jc w:val="both"/>
        <w:rPr>
          <w:rFonts w:ascii="Arial" w:hAnsi="Arial" w:eastAsia="PMingLiU" w:cs="Arial"/>
          <w:u w:val="single"/>
          <w:lang w:val="sr-Latn-ME" w:eastAsia="zh-TW"/>
        </w:rPr>
      </w:pPr>
      <w:r>
        <w:rPr>
          <w:rFonts w:ascii="Arial" w:hAnsi="Arial" w:eastAsia="PMingLiU" w:cs="Arial"/>
          <w:u w:val="single"/>
          <w:lang w:val="sr-Latn-ME" w:eastAsia="zh-TW"/>
        </w:rPr>
        <w:t>Raskid ugovora</w:t>
      </w:r>
    </w:p>
    <w:p>
      <w:pPr>
        <w:spacing w:before="100" w:beforeAutospacing="1" w:after="0" w:line="240" w:lineRule="auto"/>
        <w:jc w:val="both"/>
        <w:rPr>
          <w:rFonts w:ascii="Arial" w:hAnsi="Arial" w:eastAsia="Calibri" w:cs="Arial"/>
          <w:sz w:val="24"/>
          <w:szCs w:val="24"/>
          <w:lang w:val="sr-Latn-ME"/>
        </w:rPr>
      </w:pPr>
      <w:r>
        <w:rPr>
          <w:rFonts w:ascii="Arial" w:hAnsi="Arial" w:eastAsia="Calibri" w:cs="Arial"/>
          <w:sz w:val="24"/>
          <w:szCs w:val="24"/>
          <w:lang w:val="sr-Latn-ME"/>
        </w:rPr>
        <w:t>Naručilac će jednostrano rakinuti ovaj ugovor u slučaju ako:</w:t>
      </w:r>
    </w:p>
    <w:p>
      <w:pPr>
        <w:spacing w:after="0" w:line="240" w:lineRule="auto"/>
        <w:jc w:val="both"/>
        <w:rPr>
          <w:rFonts w:ascii="Arial" w:hAnsi="Arial" w:eastAsia="Calibri" w:cs="Arial"/>
          <w:color w:val="000000"/>
          <w:sz w:val="24"/>
          <w:szCs w:val="24"/>
        </w:rPr>
      </w:pPr>
      <w:r>
        <w:rPr>
          <w:rFonts w:ascii="Arial" w:hAnsi="Arial" w:eastAsia="Calibri" w:cs="Arial"/>
          <w:sz w:val="24"/>
          <w:szCs w:val="24"/>
          <w:lang w:val="sr-Latn-ME"/>
        </w:rPr>
        <w:t xml:space="preserve">1) Izvršilac </w:t>
      </w:r>
      <w:r>
        <w:rPr>
          <w:rFonts w:ascii="Arial" w:hAnsi="Arial" w:eastAsia="Calibri" w:cs="Arial"/>
          <w:color w:val="000000"/>
          <w:sz w:val="24"/>
          <w:szCs w:val="24"/>
        </w:rPr>
        <w:t>ne bude izvršavao svoje obaveze u rokovima i na način predviđenim Ugovorom;</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2) nastupe okolnosti koje za posljedicu imaju bitnu izmjenu ugovora koja iziskuje sprovođenje novog postupka javne nabavke;</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 xml:space="preserve">2) nastupi neki razlog koji predstavlja osnov za obavezno isključenje iz člana 108 Zakona o javnim nabavkama („Službeni list CG“ br.74/19, 3/23 i 11/23) ili člana 110 ovog zakona, koji je predviđen tenderskom dokumentacijom. </w:t>
      </w:r>
    </w:p>
    <w:p>
      <w:pPr>
        <w:autoSpaceDE w:val="0"/>
        <w:autoSpaceDN w:val="0"/>
        <w:adjustRightInd w:val="0"/>
        <w:spacing w:before="240" w:after="0" w:line="240" w:lineRule="auto"/>
        <w:jc w:val="both"/>
        <w:rPr>
          <w:rFonts w:ascii="Arial" w:hAnsi="Arial" w:eastAsia="Calibri" w:cs="Arial"/>
          <w:sz w:val="24"/>
          <w:szCs w:val="24"/>
          <w:lang w:val="sr-Latn-ME"/>
        </w:rPr>
      </w:pPr>
      <w:r>
        <w:rPr>
          <w:rFonts w:ascii="Arial" w:hAnsi="Arial" w:eastAsia="Calibri" w:cs="Arial"/>
          <w:sz w:val="24"/>
          <w:szCs w:val="24"/>
          <w:lang w:val="sr-Latn-ME"/>
        </w:rPr>
        <w:t>Bitnom izmjenom ugovora iz stava 1 tačka 2 ovog člana smatra se izmjena prirode ugovora u materijalnom smislu u odnosu na ugovor koji je prvobitno zaključen ako je ispunjen jedan ili više sljedećih uslova: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2) izmjenom se mijenja privredna ravnoteža ugovora u korist privrednog subjekta sa kojim je zaključen ugovor na način koji nije predviđen prvobitnim ugovorom;</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3) izmjenom se značajno povećava obim ugovora;</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4) promjena privrednog subjekta sa kojim je zaključen ugovor o javnoj nabavci, osim u slučaju iz člana 151 stav 1 tačka 4 ZJN;</w:t>
      </w:r>
    </w:p>
    <w:p>
      <w:pPr>
        <w:autoSpaceDE w:val="0"/>
        <w:autoSpaceDN w:val="0"/>
        <w:adjustRightInd w:val="0"/>
        <w:spacing w:after="0" w:line="240" w:lineRule="auto"/>
        <w:jc w:val="both"/>
        <w:rPr>
          <w:rFonts w:ascii="Arial" w:hAnsi="Arial" w:eastAsia="Calibri" w:cs="Arial"/>
          <w:sz w:val="24"/>
          <w:szCs w:val="24"/>
        </w:rPr>
      </w:pPr>
      <w:r>
        <w:rPr>
          <w:rFonts w:ascii="Arial" w:hAnsi="Arial" w:eastAsia="Calibri" w:cs="Arial"/>
          <w:sz w:val="24"/>
          <w:szCs w:val="24"/>
          <w:lang w:val="sl-SI"/>
        </w:rPr>
        <w:t>5) dođe do promjene partnerskog statusa u kompaniji tokom trajanja ugovora, definisanog u posebnim uslovima u predmetnoj tenderskoj dokumentaciji, a Izvršilac ne obezbijedi u roku od 10 dana kontinuitet i ne dostavi ugovor sa podugovaračem koji zadovoljava navedene uslove</w:t>
      </w:r>
      <w:r>
        <w:rPr>
          <w:rFonts w:ascii="Arial" w:hAnsi="Arial" w:eastAsia="Calibri" w:cs="Arial"/>
          <w:color w:val="000000"/>
          <w:sz w:val="24"/>
          <w:szCs w:val="24"/>
          <w:lang w:val="sl-SI"/>
        </w:rPr>
        <w:t>;</w:t>
      </w:r>
    </w:p>
    <w:p>
      <w:pPr>
        <w:autoSpaceDE w:val="0"/>
        <w:autoSpaceDN w:val="0"/>
        <w:adjustRightInd w:val="0"/>
        <w:spacing w:after="0" w:line="240" w:lineRule="auto"/>
        <w:jc w:val="both"/>
        <w:rPr>
          <w:rFonts w:ascii="Arial" w:hAnsi="Arial" w:eastAsia="Calibri" w:cs="Arial"/>
          <w:sz w:val="24"/>
          <w:szCs w:val="24"/>
          <w:lang w:val="sr-Latn-ME"/>
        </w:rPr>
      </w:pPr>
      <w:r>
        <w:rPr>
          <w:rFonts w:ascii="Arial" w:hAnsi="Arial" w:eastAsia="Calibri" w:cs="Arial"/>
          <w:sz w:val="24"/>
          <w:szCs w:val="24"/>
          <w:lang w:val="sr-Latn-ME"/>
        </w:rPr>
        <w:t>6) ako ponuđač ne izvršava ugovorene obaveze i u drugim slučajevima utvrđenim tenderskom dokumentacijom u skladu sa Zakona o javnim nabavkama („Službeni list CG“ br.74/19, 3/23 i 11/23).</w:t>
      </w:r>
    </w:p>
    <w:p>
      <w:pPr>
        <w:spacing w:before="100" w:beforeAutospacing="1" w:after="0" w:line="240" w:lineRule="auto"/>
        <w:jc w:val="both"/>
        <w:rPr>
          <w:rFonts w:ascii="Arial" w:hAnsi="Arial" w:eastAsia="Calibri" w:cs="Arial"/>
          <w:color w:val="000000"/>
          <w:sz w:val="24"/>
          <w:szCs w:val="24"/>
        </w:rPr>
      </w:pPr>
      <w:r>
        <w:rPr>
          <w:rFonts w:ascii="Arial" w:hAnsi="Arial" w:eastAsia="Calibri" w:cs="Arial"/>
          <w:color w:val="000000"/>
          <w:sz w:val="24"/>
          <w:szCs w:val="24"/>
        </w:rPr>
        <w:t>Izvršilac ima pravo da jednostrano raskine Ugovor ako Naručilac ne plaća Izvršiocu u rokovima i na način predviđen Ugovorom.</w:t>
      </w:r>
    </w:p>
    <w:p>
      <w:pPr>
        <w:autoSpaceDE w:val="0"/>
        <w:autoSpaceDN w:val="0"/>
        <w:adjustRightInd w:val="0"/>
        <w:spacing w:after="0" w:line="240" w:lineRule="auto"/>
        <w:jc w:val="both"/>
        <w:rPr>
          <w:rFonts w:ascii="Arial" w:hAnsi="Arial" w:eastAsia="Calibri" w:cs="Arial"/>
        </w:rPr>
      </w:pP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 xml:space="preserve">U bilo kom slučaju prestanka važenja Ugovora iz ovog člana, otkazni rok je 30 dana od dana </w:t>
      </w:r>
      <w:r>
        <w:rPr>
          <w:rFonts w:ascii="Arial" w:hAnsi="Arial" w:eastAsia="Calibri" w:cs="Arial"/>
          <w:sz w:val="24"/>
          <w:szCs w:val="24"/>
          <w:lang w:val="sr-Latn-ME"/>
        </w:rPr>
        <w:t>prijema</w:t>
      </w:r>
      <w:r>
        <w:rPr>
          <w:rFonts w:ascii="Arial" w:hAnsi="Arial" w:eastAsia="PMingLiU" w:cs="Arial"/>
          <w:sz w:val="24"/>
          <w:szCs w:val="24"/>
          <w:lang w:val="sr-Latn-ME"/>
        </w:rPr>
        <w:t xml:space="preserve"> obavještenja o raskidu Ugovora, u kom su oba ugovarača dužna da izvršavaju svoje ugovorene obaveze do isteka otkaznog roka.</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Ako strane Ugovora sporazumno raskinu ugovor, sporazumom o raskidu ugovora utvrđuju se međusobna prava i obaveze koje proističu iz ugovora.</w:t>
      </w:r>
    </w:p>
    <w:p>
      <w:pPr>
        <w:autoSpaceDE w:val="0"/>
        <w:autoSpaceDN w:val="0"/>
        <w:adjustRightInd w:val="0"/>
        <w:spacing w:after="0" w:line="240" w:lineRule="auto"/>
        <w:jc w:val="both"/>
        <w:rPr>
          <w:rFonts w:ascii="Arial" w:hAnsi="Arial" w:eastAsia="Calibri" w:cs="Arial"/>
        </w:rPr>
      </w:pPr>
    </w:p>
    <w:p>
      <w:pPr>
        <w:spacing w:line="240" w:lineRule="auto"/>
        <w:jc w:val="both"/>
        <w:rPr>
          <w:rFonts w:ascii="Arial" w:hAnsi="Arial" w:eastAsia="PMingLiU" w:cs="Arial"/>
          <w:sz w:val="24"/>
          <w:szCs w:val="24"/>
          <w:u w:val="single"/>
          <w:lang w:val="sr-Latn-ME"/>
        </w:rPr>
      </w:pPr>
      <w:r>
        <w:rPr>
          <w:rFonts w:ascii="Arial" w:hAnsi="Arial" w:eastAsia="PMingLiU" w:cs="Arial"/>
          <w:sz w:val="24"/>
          <w:szCs w:val="24"/>
          <w:u w:val="single"/>
          <w:lang w:val="sr-Latn-ME"/>
        </w:rPr>
        <w:t>Zaštita poslovnih interesa i čuvanje poslovne tajne</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Ugovorne strane se obavezuju da sa pažnjom dobrog privrednika čuvaju i štite poslovne interese druge ugovorne strane, koje proizilaze iz ovog Ugovora, kao i da u obostranom interesu rade na unapređenju svojih odnosa.</w:t>
      </w:r>
    </w:p>
    <w:p>
      <w:pPr>
        <w:spacing w:line="240" w:lineRule="auto"/>
        <w:jc w:val="both"/>
        <w:rPr>
          <w:rFonts w:ascii="Arial" w:hAnsi="Arial" w:eastAsia="PMingLiU" w:cs="Arial"/>
          <w:sz w:val="24"/>
          <w:szCs w:val="24"/>
          <w:lang w:val="sr-Latn-ME"/>
        </w:rPr>
      </w:pPr>
      <w:r>
        <w:rPr>
          <w:rFonts w:ascii="Arial" w:hAnsi="Arial" w:eastAsia="PMingLiU" w:cs="Arial"/>
          <w:sz w:val="24"/>
          <w:szCs w:val="24"/>
          <w:lang w:val="sr-Latn-ME"/>
        </w:rPr>
        <w:t>Izvršilac se obavezuje na čuvanje svih podataka iz predmeta nabavke, te da iste ni na koji način neće učiniti dostupnim trećim licima bez saglasnosti Naručioca.</w:t>
      </w:r>
    </w:p>
    <w:p>
      <w:pPr>
        <w:spacing w:after="0" w:line="240" w:lineRule="auto"/>
        <w:jc w:val="both"/>
        <w:rPr>
          <w:rFonts w:ascii="Arial" w:hAnsi="Arial" w:eastAsia="PMingLiU" w:cs="Arial"/>
          <w:sz w:val="24"/>
          <w:szCs w:val="24"/>
          <w:lang w:val="sr-Latn-ME"/>
        </w:rPr>
      </w:pPr>
    </w:p>
    <w:p>
      <w:pPr>
        <w:spacing w:line="240" w:lineRule="auto"/>
        <w:jc w:val="both"/>
        <w:rPr>
          <w:rFonts w:ascii="Arial" w:hAnsi="Arial" w:eastAsia="PMingLiU" w:cs="Arial"/>
          <w:sz w:val="24"/>
          <w:szCs w:val="24"/>
          <w:u w:val="single"/>
          <w:lang w:val="sr-Latn-ME"/>
        </w:rPr>
      </w:pPr>
      <w:r>
        <w:rPr>
          <w:rFonts w:ascii="Arial" w:hAnsi="Arial" w:eastAsia="PMingLiU" w:cs="Arial"/>
          <w:sz w:val="24"/>
          <w:szCs w:val="24"/>
          <w:u w:val="single"/>
          <w:lang w:val="sr-Latn-ME"/>
        </w:rPr>
        <w:t>Ostali elementi ugovora</w:t>
      </w:r>
    </w:p>
    <w:p>
      <w:pPr>
        <w:spacing w:after="0" w:line="276" w:lineRule="auto"/>
        <w:jc w:val="both"/>
        <w:rPr>
          <w:rFonts w:ascii="Arial" w:hAnsi="Arial" w:eastAsia="Calibri" w:cs="Arial"/>
          <w:color w:val="000000"/>
          <w:sz w:val="24"/>
          <w:szCs w:val="24"/>
          <w:lang w:val="sl-SI"/>
        </w:rPr>
      </w:pPr>
      <w:r>
        <w:rPr>
          <w:rFonts w:ascii="Arial" w:hAnsi="Arial" w:eastAsia="Calibri" w:cs="Arial"/>
          <w:color w:val="000000"/>
          <w:sz w:val="24"/>
          <w:szCs w:val="24"/>
          <w:lang w:val="sl-SI"/>
        </w:rPr>
        <w:t>Ugovor o javnoj nabavci koji je zaključen uz kršenje antikorupcijskih pravila u skladu sa odredbama člana 38 Zakona o javnim nabavkama („Službeni list CG“ br. 74/19, 3/23 i 11/23) ništav je.</w:t>
      </w:r>
    </w:p>
    <w:p>
      <w:pPr>
        <w:spacing w:after="0" w:line="240" w:lineRule="auto"/>
        <w:jc w:val="both"/>
        <w:rPr>
          <w:rFonts w:ascii="Arial" w:hAnsi="Arial" w:eastAsia="Calibri" w:cs="Arial"/>
          <w:bCs/>
          <w:color w:val="000000"/>
          <w:sz w:val="24"/>
          <w:szCs w:val="24"/>
          <w:lang w:val="sr-Latn-CS"/>
        </w:rPr>
      </w:pPr>
    </w:p>
    <w:p>
      <w:pPr>
        <w:jc w:val="both"/>
        <w:rPr>
          <w:rFonts w:ascii="Arial" w:hAnsi="Arial" w:eastAsia="Calibri" w:cs="Arial"/>
          <w:sz w:val="24"/>
          <w:szCs w:val="24"/>
          <w:lang w:val="sl-SI"/>
        </w:rPr>
      </w:pPr>
      <w:r>
        <w:rPr>
          <w:rFonts w:ascii="Arial" w:hAnsi="Arial" w:eastAsia="Calibri" w:cs="Arial"/>
          <w:sz w:val="24"/>
          <w:szCs w:val="24"/>
          <w:lang w:val="sl-SI"/>
        </w:rPr>
        <w:t>Za sve što nije definisano ovim ugovorom primjenjivaće se odredbe Zakona o obligacionim odnosima.</w:t>
      </w:r>
    </w:p>
    <w:p>
      <w:pPr>
        <w:jc w:val="both"/>
        <w:rPr>
          <w:rFonts w:ascii="Arial" w:hAnsi="Arial" w:eastAsia="Calibri" w:cs="Arial"/>
          <w:color w:val="000000"/>
          <w:sz w:val="24"/>
          <w:szCs w:val="24"/>
          <w:lang w:val="sl-SI"/>
        </w:rPr>
      </w:pPr>
      <w:r>
        <w:rPr>
          <w:rFonts w:ascii="Arial" w:hAnsi="Arial" w:eastAsia="Calibri" w:cs="Arial"/>
          <w:color w:val="000000"/>
          <w:sz w:val="24"/>
          <w:szCs w:val="24"/>
          <w:lang w:val="sl-SI"/>
        </w:rPr>
        <w:t>Eventualne nesporazume koji mogu da se pojave u vezi ovog Ugovora ugovorne strane će pokušati da  riješe sporazumno. Sve sporove koji nasta</w:t>
      </w:r>
      <w:r>
        <w:rPr>
          <w:rFonts w:ascii="Arial" w:hAnsi="Arial" w:eastAsia="Calibri" w:cs="Arial"/>
          <w:color w:val="000000"/>
          <w:sz w:val="24"/>
          <w:szCs w:val="24"/>
          <w:lang w:val="sr-Latn-CS"/>
        </w:rPr>
        <w:t>nu</w:t>
      </w:r>
      <w:r>
        <w:rPr>
          <w:rFonts w:ascii="Arial" w:hAnsi="Arial" w:eastAsia="Calibri" w:cs="Arial"/>
          <w:color w:val="000000"/>
          <w:sz w:val="24"/>
          <w:szCs w:val="24"/>
          <w:lang w:val="sl-SI"/>
        </w:rPr>
        <w:t xml:space="preserve"> u vezi ovog Ugovora rješavaće nadležni sud u Podgorici.</w:t>
      </w:r>
    </w:p>
    <w:p>
      <w:pPr>
        <w:spacing w:after="0" w:line="240" w:lineRule="auto"/>
        <w:jc w:val="both"/>
        <w:rPr>
          <w:rFonts w:ascii="Arial" w:hAnsi="Arial" w:eastAsia="Times New Roman" w:cs="Arial"/>
          <w:b/>
          <w:bCs/>
          <w:color w:val="000000"/>
          <w:sz w:val="24"/>
          <w:szCs w:val="24"/>
          <w:highlight w:val="yellow"/>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sym w:font="Wingdings" w:char="F078"/>
      </w:r>
      <w:r>
        <w:rPr>
          <w:rFonts w:ascii="Arial" w:hAnsi="Arial" w:eastAsia="Times New Roman" w:cs="Arial"/>
          <w:color w:val="000000"/>
          <w:sz w:val="24"/>
          <w:szCs w:val="24"/>
          <w:lang w:val="sr-Latn-ME"/>
        </w:rPr>
        <w:t xml:space="preserve"> </w:t>
      </w:r>
      <w:r>
        <w:rPr>
          <w:rFonts w:ascii="Arial" w:hAnsi="Arial" w:eastAsia="Times New Roman" w:cs="Arial"/>
          <w:color w:val="000000"/>
          <w:sz w:val="24"/>
          <w:szCs w:val="24"/>
          <w:u w:val="single"/>
          <w:lang w:val="sr-Latn-ME"/>
        </w:rPr>
        <w:t>Izmjena ugovora</w:t>
      </w:r>
      <w:r>
        <w:rPr>
          <w:rFonts w:ascii="Arial" w:hAnsi="Arial" w:eastAsia="Times New Roman" w:cs="Arial"/>
          <w:color w:val="000000"/>
          <w:sz w:val="24"/>
          <w:szCs w:val="24"/>
          <w:lang w:val="sr-Latn-ME"/>
        </w:rPr>
        <w:t>:</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Ugovor o javnoj nabavci tokom njegovog trajanja može da se izmijeni bez sprovođenja novog postupka javne nabavke u skladu sa članom 151 Zakona o javnim nabavkama, i to: </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kada je potreba za izmjenom ugovora nastala zbog okolnosti koje naručilac u vrijeme zaključivanja ugovora nije mogao da predvidi, a izmjenom se ne mijenja priroda ugovora već se vrši samo smanjenje ugovorene vrijednosti;</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kad se vrši zamjena podugovarača, u skladu sa članom 128 st. 10, 11 i 12 ovog zakona;</w:t>
      </w: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ako privrednog subjekta nakon restruktuiranja, uključujući preuzimanje, spajanje, kupovina ili stečaj, zamjenjuje u potpunosti ili djelimično novi pravni sljedbenik, odnosno privredni subjekat, koji ispunjava prvobitno određene uslove zaključenog ugovora o javnoij nabavci, a izmjene su predviđene tenderskom dokumentaciojom, pod uslovom da se ne vrše druge bitne izmjene ugovora iz člana 15 stav 2 ovog zakona.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sz w:val="24"/>
          <w:szCs w:val="32"/>
          <w:lang w:val="sr-Latn-ME"/>
        </w:rPr>
      </w:pPr>
      <w:bookmarkStart w:id="11" w:name="_Toc62730566"/>
      <w:r>
        <w:rPr>
          <w:rFonts w:ascii="Arial" w:hAnsi="Arial" w:eastAsia="Times New Roman" w:cs="Times New Roman"/>
          <w:b/>
          <w:sz w:val="24"/>
          <w:szCs w:val="32"/>
          <w:lang w:val="sr-Latn-ME"/>
        </w:rPr>
        <w:t>13. ZAHTJEV ZA POJAŠNJENJE ILI IZMJENU I DOPUNU TENDERSKE DOKUMENTACIJE</w:t>
      </w:r>
      <w:bookmarkEnd w:id="11"/>
    </w:p>
    <w:p>
      <w:pPr>
        <w:spacing w:after="0" w:line="240" w:lineRule="auto"/>
        <w:jc w:val="both"/>
        <w:rPr>
          <w:rFonts w:ascii="Arial" w:hAnsi="Arial" w:eastAsia="Times New Roman" w:cs="Arial"/>
          <w:sz w:val="24"/>
          <w:szCs w:val="24"/>
          <w:lang w:val="sr-Latn-ME"/>
        </w:rPr>
      </w:pPr>
    </w:p>
    <w:p>
      <w:pPr>
        <w:autoSpaceDE w:val="0"/>
        <w:autoSpaceDN w:val="0"/>
        <w:adjustRightInd w:val="0"/>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sz w:val="24"/>
          <w:szCs w:val="24"/>
          <w:lang w:val="sr-Latn-ME"/>
        </w:rPr>
      </w:pPr>
      <w:r>
        <w:rPr>
          <w:rFonts w:ascii="Arial" w:hAnsi="Arial" w:eastAsia="Times New Roman" w:cs="Arial"/>
          <w:sz w:val="24"/>
          <w:szCs w:val="24"/>
          <w:lang w:val="sr-Latn-ME"/>
        </w:rPr>
        <w:t>Privredni subjekat ima pravo da pisanim zahtjevom traži od naručioca pojašnjenje tenderske dokumentacije najkasnije deset dana prije isteka roka određenog za dostavljanje ponuda.</w:t>
      </w:r>
    </w:p>
    <w:p>
      <w:pPr>
        <w:spacing w:after="0" w:line="240" w:lineRule="auto"/>
        <w:jc w:val="both"/>
        <w:rPr>
          <w:rFonts w:ascii="Arial" w:hAnsi="Arial" w:eastAsia="Times New Roman" w:cs="Arial"/>
          <w:sz w:val="24"/>
          <w:szCs w:val="24"/>
          <w:lang w:val="sr-Latn-ME"/>
        </w:rPr>
      </w:pPr>
    </w:p>
    <w:p>
      <w:pPr>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Zahtjev se podnosi isključivo putem ESJN-a.</w:t>
      </w: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spacing w:after="0" w:line="240" w:lineRule="auto"/>
        <w:jc w:val="both"/>
        <w:rPr>
          <w:rFonts w:ascii="Arial" w:hAnsi="Arial" w:eastAsia="Times New Roman" w:cs="Arial"/>
          <w:color w:val="000000"/>
          <w:sz w:val="24"/>
          <w:szCs w:val="24"/>
          <w:lang w:val="sr-Latn-ME"/>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jc w:val="both"/>
        <w:outlineLvl w:val="0"/>
        <w:rPr>
          <w:rFonts w:ascii="Arial" w:hAnsi="Arial" w:eastAsia="Times New Roman" w:cs="Times New Roman"/>
          <w:b/>
          <w:color w:val="000000"/>
          <w:sz w:val="24"/>
          <w:szCs w:val="32"/>
          <w:lang w:val="sr-Latn-ME"/>
        </w:rPr>
      </w:pPr>
      <w:bookmarkStart w:id="12" w:name="_Toc62730567"/>
      <w:bookmarkStart w:id="13" w:name="_Toc416180136"/>
      <w:bookmarkStart w:id="14" w:name="_Toc508349235"/>
      <w:r>
        <w:rPr>
          <w:rFonts w:ascii="Arial" w:hAnsi="Arial" w:eastAsia="Times New Roman" w:cs="Times New Roman"/>
          <w:b/>
          <w:sz w:val="24"/>
          <w:szCs w:val="32"/>
          <w:lang w:val="sr-Latn-ME"/>
        </w:rPr>
        <w:t>14. IZJAVA NARUČIOCA O NEPOSTOJANJU SUKOBA INTERESA</w:t>
      </w:r>
      <w:bookmarkEnd w:id="12"/>
      <w:bookmarkEnd w:id="13"/>
      <w:bookmarkEnd w:id="14"/>
    </w:p>
    <w:p>
      <w:pPr>
        <w:tabs>
          <w:tab w:val="left" w:pos="1701"/>
          <w:tab w:val="left" w:pos="4820"/>
        </w:tabs>
        <w:spacing w:after="0" w:line="240" w:lineRule="auto"/>
        <w:jc w:val="both"/>
        <w:rPr>
          <w:rFonts w:ascii="Arial" w:hAnsi="Arial" w:eastAsia="Times New Roman" w:cs="Arial"/>
          <w:color w:val="000000"/>
          <w:sz w:val="24"/>
          <w:szCs w:val="24"/>
          <w:u w:val="single"/>
          <w:lang w:val="sr-Latn-ME"/>
        </w:rPr>
      </w:pPr>
    </w:p>
    <w:p>
      <w:pPr>
        <w:tabs>
          <w:tab w:val="left" w:pos="851"/>
          <w:tab w:val="right" w:pos="3402"/>
        </w:tabs>
        <w:spacing w:after="0" w:line="240" w:lineRule="auto"/>
        <w:jc w:val="both"/>
        <w:rPr>
          <w:rFonts w:ascii="Arial" w:hAnsi="Arial" w:eastAsia="Calibri" w:cs="Arial"/>
          <w:color w:val="000000"/>
          <w:lang w:val="pl-PL"/>
        </w:rPr>
      </w:pPr>
      <w:bookmarkStart w:id="15" w:name="_Toc62730568"/>
      <w:r>
        <w:rPr>
          <w:rFonts w:ascii="Arial" w:hAnsi="Arial" w:eastAsia="Calibri" w:cs="Arial"/>
          <w:color w:val="000000"/>
          <w:lang w:val="pl-PL"/>
        </w:rPr>
        <w:t xml:space="preserve">Naručilac: Ministarstvo finansija </w:t>
      </w:r>
    </w:p>
    <w:p>
      <w:pPr>
        <w:tabs>
          <w:tab w:val="right" w:pos="3402"/>
        </w:tabs>
        <w:spacing w:after="0" w:line="240" w:lineRule="auto"/>
        <w:jc w:val="both"/>
        <w:rPr>
          <w:rFonts w:hint="default" w:ascii="Arial" w:hAnsi="Arial" w:eastAsia="Calibri" w:cs="Arial"/>
          <w:lang w:val="sr-Latn-ME"/>
        </w:rPr>
      </w:pPr>
      <w:r>
        <w:rPr>
          <w:rFonts w:ascii="Arial" w:hAnsi="Arial" w:eastAsia="Calibri" w:cs="Arial"/>
          <w:lang w:val="pl-PL"/>
        </w:rPr>
        <w:t xml:space="preserve">Broj: </w:t>
      </w:r>
      <w:r>
        <w:rPr>
          <w:rFonts w:hint="default" w:ascii="Arial" w:hAnsi="Arial" w:eastAsia="Calibri" w:cs="Arial"/>
          <w:lang w:val="sr-Latn-ME"/>
        </w:rPr>
        <w:t>21/2-426/26-16006/2</w:t>
      </w:r>
      <w:bookmarkStart w:id="16" w:name="_GoBack"/>
      <w:bookmarkEnd w:id="16"/>
    </w:p>
    <w:p>
      <w:pPr>
        <w:tabs>
          <w:tab w:val="right" w:pos="3402"/>
        </w:tabs>
        <w:spacing w:after="0" w:line="240" w:lineRule="auto"/>
        <w:rPr>
          <w:rFonts w:ascii="Arial" w:hAnsi="Arial" w:eastAsia="Calibri" w:cs="Arial"/>
          <w:lang w:val="pl-PL"/>
        </w:rPr>
      </w:pPr>
      <w:r>
        <w:rPr>
          <w:rFonts w:ascii="Arial" w:hAnsi="Arial" w:eastAsia="Calibri" w:cs="Arial"/>
          <w:lang w:val="pl-PL"/>
        </w:rPr>
        <w:t xml:space="preserve">Podgorica, </w:t>
      </w:r>
      <w:r>
        <w:rPr>
          <w:rFonts w:hint="default" w:ascii="Arial" w:hAnsi="Arial" w:eastAsia="Calibri" w:cs="Arial"/>
          <w:lang w:val="sr-Latn-ME"/>
        </w:rPr>
        <w:t>29.04.2026.</w:t>
      </w:r>
      <w:r>
        <w:rPr>
          <w:rFonts w:hint="default" w:ascii="Arial" w:hAnsi="Arial" w:eastAsia="Calibri" w:cs="Arial"/>
          <w:lang w:val="sr-Latn-RS"/>
        </w:rPr>
        <w:t xml:space="preserve"> </w:t>
      </w:r>
      <w:r>
        <w:rPr>
          <w:rFonts w:ascii="Arial" w:hAnsi="Arial" w:eastAsia="Calibri" w:cs="Arial"/>
          <w:lang w:val="pl-PL"/>
        </w:rPr>
        <w:t>godine</w:t>
      </w:r>
    </w:p>
    <w:p>
      <w:pPr>
        <w:spacing w:after="0" w:line="240" w:lineRule="auto"/>
        <w:jc w:val="both"/>
        <w:rPr>
          <w:rFonts w:ascii="Arial" w:hAnsi="Arial" w:eastAsia="Times New Roman" w:cs="Arial"/>
          <w:b/>
          <w:bCs/>
          <w:color w:val="000000"/>
          <w:lang w:val="sr-Latn-ME"/>
        </w:rPr>
      </w:pPr>
    </w:p>
    <w:p>
      <w:pPr>
        <w:tabs>
          <w:tab w:val="left" w:pos="3290"/>
        </w:tabs>
        <w:spacing w:after="0" w:line="240" w:lineRule="auto"/>
        <w:ind w:firstLine="708"/>
        <w:jc w:val="both"/>
        <w:rPr>
          <w:rFonts w:ascii="Arial" w:hAnsi="Arial" w:eastAsia="Times New Roman" w:cs="Arial"/>
          <w:color w:val="000000"/>
          <w:lang w:val="sr-Latn-ME"/>
        </w:rPr>
      </w:pPr>
      <w:r>
        <w:rPr>
          <w:rFonts w:ascii="Arial" w:hAnsi="Arial" w:eastAsia="Times New Roman" w:cs="Arial"/>
          <w:color w:val="000000"/>
          <w:lang w:val="sr-Latn-ME"/>
        </w:rPr>
        <w:t>U skladu sa članom 43 stav 1 Zakona o javnim nabavkama („Službeni list CG”, br.74/19, 3/23</w:t>
      </w:r>
      <w:r>
        <w:rPr>
          <w:rFonts w:hint="default" w:ascii="Arial" w:hAnsi="Arial" w:eastAsia="Times New Roman" w:cs="Arial"/>
          <w:color w:val="000000"/>
          <w:lang w:val="sr-Latn-RS"/>
        </w:rPr>
        <w:t xml:space="preserve">, </w:t>
      </w:r>
      <w:r>
        <w:rPr>
          <w:rFonts w:ascii="Arial" w:hAnsi="Arial" w:eastAsia="Times New Roman" w:cs="Arial"/>
          <w:color w:val="000000"/>
          <w:lang w:val="sr-Latn-ME"/>
        </w:rPr>
        <w:t>11/23</w:t>
      </w:r>
      <w:r>
        <w:rPr>
          <w:rFonts w:hint="default" w:ascii="Arial" w:hAnsi="Arial" w:eastAsia="Times New Roman" w:cs="Arial"/>
          <w:color w:val="000000"/>
          <w:lang w:val="sr-Latn-RS"/>
        </w:rPr>
        <w:t xml:space="preserve"> i 84/24</w:t>
      </w:r>
      <w:r>
        <w:rPr>
          <w:rFonts w:ascii="Arial" w:hAnsi="Arial" w:eastAsia="Times New Roman" w:cs="Arial"/>
          <w:color w:val="000000"/>
          <w:lang w:val="sr-Latn-ME"/>
        </w:rPr>
        <w:t xml:space="preserve">), </w:t>
      </w: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center"/>
        <w:rPr>
          <w:rFonts w:ascii="Arial" w:hAnsi="Arial" w:eastAsia="Times New Roman" w:cs="Arial"/>
          <w:b/>
          <w:bCs/>
          <w:color w:val="000000"/>
          <w:lang w:val="sr-Latn-ME"/>
        </w:rPr>
      </w:pPr>
      <w:r>
        <w:rPr>
          <w:rFonts w:ascii="Arial" w:hAnsi="Arial" w:eastAsia="Times New Roman" w:cs="Arial"/>
          <w:b/>
          <w:bCs/>
          <w:color w:val="000000"/>
          <w:lang w:val="sr-Latn-ME"/>
        </w:rPr>
        <w:t>Izjavljujem</w:t>
      </w: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both"/>
        <w:rPr>
          <w:rFonts w:ascii="Arial" w:hAnsi="Arial" w:eastAsia="Calibri" w:cs="Arial"/>
          <w:lang w:val="sr-Latn-CS"/>
        </w:rPr>
      </w:pPr>
      <w:r>
        <w:rPr>
          <w:rFonts w:ascii="Arial" w:hAnsi="Arial" w:eastAsia="Times New Roman" w:cs="Arial"/>
          <w:color w:val="000000"/>
          <w:lang w:val="sr-Latn-ME"/>
        </w:rPr>
        <w:t xml:space="preserve">da u postupku javne nabavke redni broj </w:t>
      </w:r>
      <w:r>
        <w:rPr>
          <w:rFonts w:hint="default" w:ascii="Arial" w:hAnsi="Arial" w:eastAsia="Times New Roman" w:cs="Arial"/>
          <w:color w:val="000000"/>
          <w:lang w:val="sr-Latn-ME"/>
        </w:rPr>
        <w:t>2</w:t>
      </w:r>
      <w:r>
        <w:rPr>
          <w:rFonts w:ascii="Arial" w:hAnsi="Arial" w:eastAsia="Times New Roman" w:cs="Arial"/>
          <w:color w:val="000000"/>
          <w:lang w:val="sr-Latn-ME"/>
        </w:rPr>
        <w:t xml:space="preserve"> iz Plana javnih nabavki broj: </w:t>
      </w:r>
      <w:r>
        <w:rPr>
          <w:rFonts w:hint="default" w:ascii="Arial" w:hAnsi="Arial" w:eastAsia="Times New Roman"/>
          <w:color w:val="000000"/>
          <w:lang w:val="sr-Latn-ME"/>
        </w:rPr>
        <w:t>21/2-426/26-10715/1 od 24.03.2026. godine, šifra 24921</w:t>
      </w:r>
      <w:r>
        <w:rPr>
          <w:rFonts w:ascii="Arial" w:hAnsi="Arial" w:eastAsia="Calibri" w:cs="Arial"/>
          <w:lang w:val="sr-Latn-CS"/>
        </w:rPr>
        <w:t>,</w:t>
      </w:r>
      <w:r>
        <w:rPr>
          <w:rFonts w:ascii="Arial" w:hAnsi="Arial" w:eastAsia="Times New Roman" w:cs="Arial"/>
          <w:color w:val="000000"/>
          <w:lang w:val="sr-Latn-ME"/>
        </w:rPr>
        <w:t xml:space="preserve"> za </w:t>
      </w:r>
      <w:r>
        <w:rPr>
          <w:rFonts w:ascii="Arial" w:hAnsi="Arial" w:eastAsia="Calibri" w:cs="Arial"/>
          <w:lang w:val="sr-Latn-CS"/>
        </w:rPr>
        <w:t xml:space="preserve">nabavku usluga </w:t>
      </w:r>
      <w:r>
        <w:rPr>
          <w:rFonts w:ascii="Arial" w:hAnsi="Arial" w:eastAsia="Calibri" w:cs="Arial"/>
          <w:lang w:val="sr-Latn-ME"/>
        </w:rPr>
        <w:t>održavanja integrisanog informacionog sistema državnog trezora - SAP</w:t>
      </w:r>
      <w:r>
        <w:rPr>
          <w:rFonts w:ascii="Arial" w:hAnsi="Arial" w:eastAsia="Times New Roman"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pPr>
        <w:tabs>
          <w:tab w:val="left" w:pos="3290"/>
        </w:tabs>
        <w:spacing w:after="0" w:line="240" w:lineRule="auto"/>
        <w:jc w:val="both"/>
        <w:rPr>
          <w:rFonts w:ascii="Arial" w:hAnsi="Arial" w:eastAsia="Times New Roman" w:cs="Arial"/>
          <w:color w:val="000000"/>
          <w:lang w:val="sr-Latn-ME"/>
        </w:rPr>
      </w:pPr>
    </w:p>
    <w:p>
      <w:pPr>
        <w:tabs>
          <w:tab w:val="left" w:pos="3290"/>
        </w:tabs>
        <w:spacing w:after="0" w:line="240" w:lineRule="auto"/>
        <w:jc w:val="both"/>
        <w:rPr>
          <w:rFonts w:ascii="Arial" w:hAnsi="Arial" w:eastAsia="Times New Roman" w:cs="Arial"/>
          <w:color w:val="000000"/>
          <w:lang w:val="sr-Latn-ME"/>
        </w:rPr>
      </w:pPr>
    </w:p>
    <w:p>
      <w:pPr>
        <w:spacing w:after="0" w:line="240" w:lineRule="auto"/>
        <w:ind w:firstLine="1134"/>
        <w:rPr>
          <w:rFonts w:ascii="Arial" w:hAnsi="Arial" w:eastAsia="Calibri" w:cs="Arial"/>
          <w:color w:val="000000"/>
          <w:lang w:val="sr-Latn-CS"/>
        </w:rPr>
      </w:pPr>
      <w:r>
        <w:rPr>
          <w:rFonts w:ascii="Arial" w:hAnsi="Arial" w:eastAsia="Calibri" w:cs="Arial"/>
          <w:color w:val="000000"/>
          <w:lang w:val="sr-Latn-CS"/>
        </w:rPr>
        <w:t xml:space="preserve">                         Ovlašćeno lice naručioca:                                   </w:t>
      </w:r>
    </w:p>
    <w:p>
      <w:pPr>
        <w:spacing w:after="0" w:line="240" w:lineRule="auto"/>
        <w:ind w:firstLine="1134"/>
        <w:jc w:val="center"/>
        <w:rPr>
          <w:rFonts w:ascii="Arial" w:hAnsi="Arial" w:eastAsia="Calibri" w:cs="Arial"/>
          <w:color w:val="000000"/>
          <w:lang w:val="sr-Latn-CS"/>
        </w:rPr>
      </w:pPr>
      <w:r>
        <w:rPr>
          <w:rFonts w:ascii="Arial" w:hAnsi="Arial" w:eastAsia="Calibri" w:cs="Arial"/>
          <w:color w:val="000000"/>
          <w:lang w:val="sr-Latn-CS"/>
        </w:rPr>
        <w:t xml:space="preserve">                                                                             </w:t>
      </w:r>
      <w:r>
        <w:rPr>
          <w:rFonts w:hint="default" w:ascii="Arial" w:hAnsi="Arial" w:eastAsia="Calibri" w:cs="Arial"/>
          <w:color w:val="000000"/>
          <w:lang w:val="sr-Latn-RS"/>
        </w:rPr>
        <w:t>Maja Mitrovi</w:t>
      </w:r>
      <w:r>
        <w:rPr>
          <w:rFonts w:hint="default" w:ascii="Arial" w:hAnsi="Arial" w:eastAsia="Calibri" w:cs="Arial"/>
          <w:color w:val="000000"/>
          <w:lang w:val="sr-Latn-ME"/>
        </w:rPr>
        <w:t>ć</w:t>
      </w:r>
      <w:r>
        <w:rPr>
          <w:rFonts w:ascii="Arial" w:hAnsi="Arial" w:eastAsia="Calibri" w:cs="Arial"/>
          <w:color w:val="000000"/>
          <w:lang w:val="sr-Latn-CS"/>
        </w:rPr>
        <w:t>, sekretarka</w:t>
      </w:r>
    </w:p>
    <w:p>
      <w:pPr>
        <w:spacing w:after="0" w:line="240" w:lineRule="auto"/>
        <w:ind w:left="5664" w:firstLine="708"/>
        <w:rPr>
          <w:rFonts w:ascii="Arial" w:hAnsi="Arial" w:eastAsia="Calibri" w:cs="Arial"/>
          <w:i/>
          <w:iCs/>
          <w:color w:val="000000"/>
        </w:rPr>
      </w:pPr>
      <w:r>
        <w:rPr>
          <w:rFonts w:ascii="Arial" w:hAnsi="Arial" w:eastAsia="Calibri" w:cs="Arial"/>
          <w:i/>
          <w:iCs/>
          <w:color w:val="000000"/>
          <w:lang w:val="sr-Latn-CS"/>
        </w:rPr>
        <w:t xml:space="preserve">                   s.r.</w:t>
      </w:r>
    </w:p>
    <w:p>
      <w:pPr>
        <w:spacing w:after="0" w:line="240" w:lineRule="auto"/>
        <w:jc w:val="right"/>
        <w:rPr>
          <w:rFonts w:ascii="Arial" w:hAnsi="Arial" w:eastAsia="Calibri" w:cs="Arial"/>
          <w:color w:val="000000"/>
        </w:rPr>
      </w:pPr>
    </w:p>
    <w:p>
      <w:pPr>
        <w:tabs>
          <w:tab w:val="left" w:pos="8160"/>
        </w:tabs>
        <w:spacing w:after="0" w:line="240" w:lineRule="auto"/>
        <w:jc w:val="center"/>
        <w:rPr>
          <w:rFonts w:ascii="Arial" w:hAnsi="Arial" w:eastAsia="Calibri" w:cs="Arial"/>
          <w:i/>
          <w:color w:val="000000"/>
        </w:rPr>
      </w:pPr>
    </w:p>
    <w:p>
      <w:pPr>
        <w:tabs>
          <w:tab w:val="left" w:pos="8160"/>
        </w:tabs>
        <w:spacing w:after="0" w:line="240" w:lineRule="auto"/>
        <w:jc w:val="center"/>
        <w:rPr>
          <w:rFonts w:ascii="Arial" w:hAnsi="Arial" w:eastAsia="Calibri" w:cs="Arial"/>
          <w:i/>
          <w:color w:val="000000"/>
        </w:rPr>
      </w:pPr>
    </w:p>
    <w:p>
      <w:pPr>
        <w:tabs>
          <w:tab w:val="left" w:pos="6405"/>
        </w:tabs>
        <w:spacing w:after="0" w:line="240" w:lineRule="auto"/>
        <w:rPr>
          <w:rFonts w:ascii="Arial" w:hAnsi="Arial" w:eastAsia="Calibri" w:cs="Arial"/>
          <w:color w:val="000000"/>
        </w:rPr>
      </w:pPr>
      <w:r>
        <w:rPr>
          <w:rFonts w:ascii="Arial" w:hAnsi="Arial" w:eastAsia="Calibri" w:cs="Arial"/>
          <w:color w:val="000000"/>
        </w:rPr>
        <w:t>Lica koja su učestvovala u planiranju javne nabavke:</w:t>
      </w:r>
    </w:p>
    <w:p>
      <w:pPr>
        <w:tabs>
          <w:tab w:val="left" w:pos="6405"/>
        </w:tabs>
        <w:spacing w:after="0" w:line="240" w:lineRule="auto"/>
        <w:rPr>
          <w:rFonts w:ascii="Arial" w:hAnsi="Arial" w:eastAsia="Calibri" w:cs="Arial"/>
          <w:color w:val="000000"/>
        </w:rPr>
      </w:pPr>
    </w:p>
    <w:p>
      <w:pPr>
        <w:tabs>
          <w:tab w:val="left" w:pos="6405"/>
        </w:tabs>
        <w:spacing w:after="0" w:line="240" w:lineRule="auto"/>
        <w:rPr>
          <w:rFonts w:ascii="Arial" w:hAnsi="Arial" w:eastAsia="Calibri" w:cs="Arial"/>
          <w:color w:val="000000"/>
          <w:lang w:val="it-IT"/>
        </w:rPr>
      </w:pPr>
      <w:r>
        <w:rPr>
          <w:rFonts w:ascii="Arial" w:hAnsi="Arial" w:eastAsia="Calibri" w:cs="Arial"/>
          <w:color w:val="000000"/>
        </w:rPr>
        <w:t xml:space="preserve">                                                                  </w:t>
      </w:r>
      <w:r>
        <w:rPr>
          <w:rFonts w:hint="default" w:ascii="Arial" w:hAnsi="Arial" w:eastAsia="Calibri" w:cs="Arial"/>
          <w:color w:val="000000"/>
          <w:lang w:val="sr-Latn-RS"/>
        </w:rPr>
        <w:t xml:space="preserve">     </w:t>
      </w:r>
      <w:r>
        <w:rPr>
          <w:rFonts w:hint="default" w:ascii="Arial" w:hAnsi="Arial" w:eastAsia="Calibri" w:cs="Arial"/>
          <w:color w:val="000000"/>
          <w:lang w:val="sr-Latn-ME"/>
        </w:rPr>
        <w:t xml:space="preserve"> </w:t>
      </w:r>
      <w:r>
        <w:rPr>
          <w:rFonts w:ascii="Arial" w:hAnsi="Arial" w:eastAsia="Calibri" w:cs="Arial"/>
          <w:color w:val="000000"/>
        </w:rPr>
        <w:t>G</w:t>
      </w:r>
      <w:r>
        <w:rPr>
          <w:rFonts w:ascii="Arial" w:hAnsi="Arial" w:eastAsia="Calibri" w:cs="Arial"/>
          <w:color w:val="000000"/>
          <w:lang w:val="it-IT"/>
        </w:rPr>
        <w:t>eneralni direktor Direktorata državnog trezora</w:t>
      </w:r>
    </w:p>
    <w:p>
      <w:pPr>
        <w:tabs>
          <w:tab w:val="left" w:pos="6405"/>
          <w:tab w:val="left" w:pos="8235"/>
          <w:tab w:val="right" w:pos="9360"/>
        </w:tabs>
        <w:spacing w:after="0" w:line="240" w:lineRule="auto"/>
        <w:rPr>
          <w:rFonts w:hint="default" w:ascii="Arial" w:hAnsi="Arial" w:eastAsia="Calibri" w:cs="Arial"/>
          <w:color w:val="000000"/>
          <w:lang w:val="sr-Latn-ME"/>
        </w:rPr>
      </w:pPr>
      <w:r>
        <w:rPr>
          <w:rFonts w:ascii="Arial" w:hAnsi="Arial" w:eastAsia="Calibri" w:cs="Arial"/>
          <w:color w:val="000000"/>
          <w:lang w:val="it-IT"/>
        </w:rPr>
        <w:t xml:space="preserve">                                                                                                                         </w:t>
      </w:r>
      <w:r>
        <w:rPr>
          <w:rFonts w:hint="default" w:ascii="Arial" w:hAnsi="Arial" w:eastAsia="Calibri" w:cs="Arial"/>
          <w:color w:val="000000"/>
          <w:lang w:val="sr-Latn-ME"/>
        </w:rPr>
        <w:t>Dragan Darmanović</w:t>
      </w:r>
    </w:p>
    <w:p>
      <w:pPr>
        <w:tabs>
          <w:tab w:val="left" w:pos="6405"/>
          <w:tab w:val="left" w:pos="6480"/>
          <w:tab w:val="left" w:pos="7200"/>
        </w:tabs>
        <w:spacing w:after="0" w:line="240" w:lineRule="auto"/>
        <w:rPr>
          <w:rFonts w:ascii="Arial" w:hAnsi="Arial" w:eastAsia="Calibri" w:cs="Arial"/>
          <w:i/>
          <w:color w:val="000000"/>
          <w:lang w:val="it-IT"/>
        </w:rPr>
      </w:pPr>
      <w:r>
        <w:rPr>
          <w:rFonts w:ascii="Arial" w:hAnsi="Arial" w:eastAsia="Calibri" w:cs="Arial"/>
          <w:color w:val="000000"/>
          <w:lang w:val="it-IT"/>
        </w:rPr>
        <w:t xml:space="preserve">                  </w:t>
      </w:r>
      <w:r>
        <w:rPr>
          <w:rFonts w:ascii="Arial" w:hAnsi="Arial" w:eastAsia="Calibri" w:cs="Arial"/>
          <w:color w:val="000000"/>
          <w:lang w:val="it-IT"/>
        </w:rPr>
        <w:tab/>
      </w:r>
      <w:r>
        <w:rPr>
          <w:rFonts w:ascii="Arial" w:hAnsi="Arial" w:eastAsia="Calibri" w:cs="Arial"/>
          <w:color w:val="000000"/>
          <w:lang w:val="it-IT"/>
        </w:rPr>
        <w:t xml:space="preserve">       </w:t>
      </w:r>
      <w:r>
        <w:rPr>
          <w:rFonts w:ascii="Arial" w:hAnsi="Arial" w:eastAsia="Calibri" w:cs="Arial"/>
          <w:color w:val="000000"/>
          <w:lang w:val="it-IT"/>
        </w:rPr>
        <w:tab/>
      </w:r>
      <w:r>
        <w:rPr>
          <w:rFonts w:ascii="Arial" w:hAnsi="Arial" w:eastAsia="Calibri" w:cs="Arial"/>
          <w:color w:val="000000"/>
          <w:lang w:val="it-IT"/>
        </w:rPr>
        <w:tab/>
      </w:r>
      <w:r>
        <w:rPr>
          <w:rFonts w:ascii="Arial" w:hAnsi="Arial" w:eastAsia="Calibri" w:cs="Arial"/>
          <w:color w:val="000000"/>
          <w:lang w:val="it-IT"/>
        </w:rPr>
        <w:t xml:space="preserve">  </w:t>
      </w:r>
      <w:r>
        <w:rPr>
          <w:rFonts w:ascii="Arial" w:hAnsi="Arial" w:eastAsia="Calibri" w:cs="Arial"/>
          <w:i/>
          <w:color w:val="000000"/>
          <w:lang w:val="it-IT"/>
        </w:rPr>
        <w:t>s.r.</w:t>
      </w:r>
    </w:p>
    <w:p>
      <w:pPr>
        <w:tabs>
          <w:tab w:val="left" w:pos="6405"/>
          <w:tab w:val="left" w:pos="6480"/>
          <w:tab w:val="left" w:pos="7200"/>
        </w:tabs>
        <w:spacing w:after="0" w:line="240" w:lineRule="auto"/>
        <w:rPr>
          <w:rFonts w:ascii="Arial" w:hAnsi="Arial" w:eastAsia="Calibri" w:cs="Arial"/>
          <w:i/>
          <w:color w:val="000000"/>
          <w:lang w:val="it-IT"/>
        </w:rPr>
      </w:pPr>
    </w:p>
    <w:p>
      <w:pPr>
        <w:tabs>
          <w:tab w:val="left" w:pos="6405"/>
        </w:tabs>
        <w:spacing w:after="0" w:line="240" w:lineRule="auto"/>
        <w:rPr>
          <w:rFonts w:ascii="Arial" w:hAnsi="Arial" w:eastAsia="Calibri" w:cs="Arial"/>
          <w:i/>
          <w:iCs/>
          <w:color w:val="000000"/>
          <w:lang w:val="sr-Latn-CS"/>
        </w:rPr>
      </w:pPr>
      <w:r>
        <w:rPr>
          <w:rFonts w:ascii="Arial" w:hAnsi="Arial" w:eastAsia="Calibri" w:cs="Arial"/>
          <w:color w:val="000000"/>
          <w:lang w:val="it-IT"/>
        </w:rPr>
        <w:t xml:space="preserve">                                                                                                 </w:t>
      </w:r>
    </w:p>
    <w:p>
      <w:pPr>
        <w:tabs>
          <w:tab w:val="left" w:pos="3290"/>
        </w:tabs>
        <w:spacing w:after="0" w:line="240" w:lineRule="auto"/>
        <w:rPr>
          <w:rFonts w:ascii="Arial" w:hAnsi="Arial" w:eastAsia="Times New Roman" w:cs="Arial"/>
          <w:iCs/>
          <w:color w:val="000000"/>
          <w:sz w:val="24"/>
          <w:szCs w:val="24"/>
        </w:rPr>
      </w:pPr>
      <w:r>
        <w:rPr>
          <w:rFonts w:ascii="Arial" w:hAnsi="Arial" w:eastAsia="Times New Roman" w:cs="Arial"/>
          <w:iCs/>
          <w:color w:val="000000"/>
          <w:sz w:val="24"/>
          <w:szCs w:val="24"/>
        </w:rPr>
        <w:t xml:space="preserve">                </w:t>
      </w:r>
    </w:p>
    <w:p>
      <w:pPr>
        <w:tabs>
          <w:tab w:val="left" w:pos="3290"/>
        </w:tabs>
        <w:spacing w:after="0" w:line="240" w:lineRule="auto"/>
        <w:rPr>
          <w:rFonts w:ascii="Arial" w:hAnsi="Arial" w:eastAsia="Times New Roman" w:cs="Arial"/>
          <w:iCs/>
          <w:color w:val="00000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 xml:space="preserve">e: Zorica Tadić, predsjednik </w:t>
      </w:r>
    </w:p>
    <w:p>
      <w:pPr>
        <w:tabs>
          <w:tab w:val="left" w:pos="3290"/>
        </w:tabs>
        <w:spacing w:after="0" w:line="240" w:lineRule="auto"/>
        <w:rPr>
          <w:rFonts w:hint="default" w:ascii="Arial" w:hAnsi="Arial" w:eastAsia="Times New Roman"/>
          <w:i/>
          <w:iCs w:val="0"/>
          <w:color w:val="000000"/>
          <w:lang w:val="sr-Latn-RS"/>
        </w:rPr>
      </w:pPr>
      <w:r>
        <w:rPr>
          <w:rFonts w:hint="default" w:ascii="Arial" w:hAnsi="Arial" w:eastAsia="Times New Roman" w:cs="Arial"/>
          <w:iCs/>
          <w:color w:val="000000"/>
          <w:lang w:val="sr-Latn-RS"/>
        </w:rPr>
        <w:t xml:space="preserve">                                                                                                      </w:t>
      </w:r>
      <w:r>
        <w:rPr>
          <w:rFonts w:hint="default" w:ascii="Arial" w:hAnsi="Arial" w:eastAsia="Times New Roman"/>
          <w:i/>
          <w:iCs w:val="0"/>
          <w:color w:val="000000"/>
          <w:lang w:val="sr-Latn-RS"/>
        </w:rPr>
        <w:t xml:space="preserve">  s.r.</w:t>
      </w:r>
    </w:p>
    <w:p>
      <w:pPr>
        <w:tabs>
          <w:tab w:val="left" w:pos="3290"/>
        </w:tabs>
        <w:spacing w:after="0" w:line="240" w:lineRule="auto"/>
        <w:rPr>
          <w:rFonts w:hint="default" w:ascii="Arial" w:hAnsi="Arial" w:eastAsia="Times New Roman"/>
          <w:i/>
          <w:iCs w:val="0"/>
          <w:color w:val="000000"/>
          <w:lang w:val="sr-Latn-RS"/>
        </w:rPr>
      </w:pPr>
    </w:p>
    <w:p>
      <w:pPr>
        <w:tabs>
          <w:tab w:val="left" w:pos="3290"/>
        </w:tabs>
        <w:spacing w:after="0" w:line="240" w:lineRule="auto"/>
        <w:rPr>
          <w:rFonts w:ascii="Arial" w:hAnsi="Arial" w:eastAsia="Times New Roman" w:cs="Arial"/>
          <w:i/>
          <w:iCs/>
          <w:color w:val="000000"/>
          <w:sz w:val="20"/>
          <w:szCs w:val="20"/>
        </w:rPr>
      </w:pPr>
      <w:r>
        <w:rPr>
          <w:rFonts w:ascii="Arial" w:hAnsi="Arial" w:eastAsia="Times New Roman" w:cs="Arial"/>
          <w:iCs/>
          <w:color w:val="000000"/>
        </w:rPr>
        <w:t xml:space="preserve">        </w:t>
      </w:r>
    </w:p>
    <w:p>
      <w:pPr>
        <w:tabs>
          <w:tab w:val="left" w:pos="3290"/>
        </w:tabs>
        <w:spacing w:after="0" w:line="480" w:lineRule="auto"/>
        <w:rPr>
          <w:rFonts w:ascii="Arial" w:hAnsi="Arial" w:eastAsia="Times New Roman" w:cs="Arial"/>
          <w:iCs/>
          <w:color w:val="00000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e: Ljeposava Pavlović,</w:t>
      </w:r>
      <w:r>
        <w:rPr>
          <w:rFonts w:hint="default" w:ascii="Arial" w:hAnsi="Arial" w:eastAsia="Times New Roman" w:cs="Arial"/>
          <w:iCs/>
          <w:color w:val="000000"/>
          <w:lang w:val="sr-Latn-ME"/>
        </w:rPr>
        <w:t xml:space="preserve"> </w:t>
      </w:r>
      <w:r>
        <w:rPr>
          <w:rFonts w:ascii="Arial" w:hAnsi="Arial" w:eastAsia="Times New Roman" w:cs="Arial"/>
          <w:iCs/>
          <w:color w:val="000000"/>
        </w:rPr>
        <w:t xml:space="preserve">član   </w:t>
      </w:r>
    </w:p>
    <w:p>
      <w:pPr>
        <w:tabs>
          <w:tab w:val="left" w:pos="3290"/>
        </w:tabs>
        <w:spacing w:after="0" w:line="480" w:lineRule="auto"/>
        <w:rPr>
          <w:rFonts w:hint="default" w:ascii="Arial" w:hAnsi="Arial" w:eastAsia="Times New Roman"/>
          <w:i/>
          <w:iCs w:val="0"/>
          <w:color w:val="000000"/>
          <w:lang w:val="sr-Latn-RS"/>
        </w:rPr>
      </w:pPr>
      <w:r>
        <w:rPr>
          <w:rFonts w:ascii="Arial" w:hAnsi="Arial" w:eastAsia="Times New Roman" w:cs="Arial"/>
          <w:iCs/>
          <w:color w:val="000000"/>
        </w:rPr>
        <w:t xml:space="preserve">      </w:t>
      </w:r>
      <w:r>
        <w:rPr>
          <w:rFonts w:hint="default" w:ascii="Arial" w:hAnsi="Arial" w:eastAsia="Times New Roman" w:cs="Arial"/>
          <w:iCs/>
          <w:color w:val="000000"/>
          <w:lang w:val="sr-Latn-RS"/>
        </w:rPr>
        <w:t xml:space="preserve">                                                                                                  </w:t>
      </w:r>
      <w:r>
        <w:rPr>
          <w:rFonts w:hint="default" w:ascii="Arial" w:hAnsi="Arial" w:eastAsia="Times New Roman"/>
          <w:iCs/>
          <w:color w:val="000000"/>
          <w:lang w:val="sr-Latn-RS"/>
        </w:rPr>
        <w:t xml:space="preserve">  </w:t>
      </w:r>
      <w:r>
        <w:rPr>
          <w:rFonts w:hint="default" w:ascii="Arial" w:hAnsi="Arial" w:eastAsia="Times New Roman"/>
          <w:i/>
          <w:iCs w:val="0"/>
          <w:color w:val="000000"/>
          <w:lang w:val="sr-Latn-RS"/>
        </w:rPr>
        <w:t>s.r.</w:t>
      </w:r>
    </w:p>
    <w:p>
      <w:pPr>
        <w:tabs>
          <w:tab w:val="left" w:pos="3290"/>
        </w:tabs>
        <w:spacing w:after="0" w:line="480" w:lineRule="auto"/>
        <w:rPr>
          <w:rFonts w:ascii="Arial" w:hAnsi="Arial" w:eastAsia="Times New Roman" w:cs="Arial"/>
          <w:iCs/>
          <w:color w:val="000000"/>
        </w:rPr>
      </w:pPr>
      <w:r>
        <w:rPr>
          <w:rFonts w:ascii="Arial" w:hAnsi="Arial" w:eastAsia="Times New Roman" w:cs="Arial"/>
          <w:iCs/>
          <w:color w:val="000000"/>
        </w:rPr>
        <w:t xml:space="preserve">Član komisije </w:t>
      </w:r>
      <w:r>
        <w:rPr>
          <w:rFonts w:ascii="Arial" w:hAnsi="Arial" w:eastAsia="Times New Roman" w:cs="Arial"/>
        </w:rPr>
        <w:t>za sprovođenje postupka javne nabavk</w:t>
      </w:r>
      <w:r>
        <w:rPr>
          <w:rFonts w:ascii="Arial" w:hAnsi="Arial" w:eastAsia="Times New Roman" w:cs="Arial"/>
          <w:iCs/>
          <w:color w:val="000000"/>
        </w:rPr>
        <w:t xml:space="preserve">e: </w:t>
      </w:r>
      <w:r>
        <w:rPr>
          <w:rFonts w:hint="default" w:ascii="Arial" w:hAnsi="Arial" w:eastAsia="Times New Roman" w:cs="Arial"/>
          <w:iCs/>
          <w:color w:val="000000"/>
          <w:lang w:val="sr-Latn-ME"/>
        </w:rPr>
        <w:t xml:space="preserve">Dragan Prenkić, </w:t>
      </w:r>
      <w:r>
        <w:rPr>
          <w:rFonts w:ascii="Arial" w:hAnsi="Arial" w:eastAsia="Times New Roman" w:cs="Arial"/>
          <w:iCs/>
          <w:color w:val="000000"/>
        </w:rPr>
        <w:t xml:space="preserve">član, </w:t>
      </w:r>
    </w:p>
    <w:p>
      <w:pPr>
        <w:tabs>
          <w:tab w:val="left" w:pos="3290"/>
        </w:tabs>
        <w:spacing w:after="0" w:line="480" w:lineRule="auto"/>
        <w:rPr>
          <w:rFonts w:ascii="Arial" w:hAnsi="Arial" w:eastAsia="Times New Roman" w:cs="Arial"/>
          <w:iCs/>
          <w:color w:val="000000"/>
        </w:rPr>
      </w:pPr>
      <w:r>
        <w:rPr>
          <w:rFonts w:hint="default" w:ascii="Arial" w:hAnsi="Arial" w:eastAsia="Times New Roman" w:cs="Arial"/>
          <w:iCs/>
          <w:color w:val="000000"/>
          <w:lang w:val="sr-Latn-RS"/>
        </w:rPr>
        <w:t xml:space="preserve">                                                                                                        </w:t>
      </w:r>
      <w:r>
        <w:rPr>
          <w:rFonts w:hint="default" w:ascii="Arial" w:hAnsi="Arial" w:eastAsia="Times New Roman"/>
          <w:iCs/>
          <w:color w:val="000000"/>
          <w:lang w:val="sr-Latn-RS"/>
        </w:rPr>
        <w:t xml:space="preserve">  </w:t>
      </w:r>
      <w:r>
        <w:rPr>
          <w:rFonts w:hint="default" w:ascii="Arial" w:hAnsi="Arial" w:eastAsia="Times New Roman"/>
          <w:i/>
          <w:iCs w:val="0"/>
          <w:color w:val="000000"/>
          <w:lang w:val="sr-Latn-RS"/>
        </w:rPr>
        <w:t>s.r</w:t>
      </w:r>
    </w:p>
    <w:p>
      <w:pPr>
        <w:tabs>
          <w:tab w:val="left" w:pos="3290"/>
        </w:tabs>
        <w:spacing w:after="0" w:line="480" w:lineRule="auto"/>
        <w:rPr>
          <w:rFonts w:ascii="Arial" w:hAnsi="Arial" w:eastAsia="Times New Roman" w:cs="Arial"/>
          <w:iCs/>
          <w:color w:val="000000"/>
        </w:rPr>
      </w:pPr>
    </w:p>
    <w:p>
      <w:pPr>
        <w:tabs>
          <w:tab w:val="left" w:pos="3290"/>
        </w:tabs>
        <w:spacing w:after="0" w:line="480" w:lineRule="auto"/>
        <w:rPr>
          <w:rFonts w:ascii="Arial" w:hAnsi="Arial" w:eastAsia="Times New Roman" w:cs="Arial"/>
          <w:iCs/>
          <w:color w:val="000000"/>
        </w:rPr>
      </w:pPr>
    </w:p>
    <w:p>
      <w:pPr>
        <w:keepNext/>
        <w:keepLines/>
        <w:pBdr>
          <w:top w:val="single" w:color="auto" w:sz="4" w:space="1"/>
          <w:left w:val="single" w:color="auto" w:sz="4" w:space="4"/>
          <w:bottom w:val="single" w:color="auto" w:sz="4" w:space="1"/>
          <w:right w:val="single" w:color="auto" w:sz="4" w:space="4"/>
        </w:pBdr>
        <w:shd w:val="clear" w:color="auto" w:fill="D9D9D9"/>
        <w:spacing w:before="240" w:after="0" w:line="240" w:lineRule="auto"/>
        <w:outlineLvl w:val="0"/>
        <w:rPr>
          <w:rFonts w:ascii="Arial" w:hAnsi="Arial" w:eastAsia="Times New Roman" w:cs="Times New Roman"/>
          <w:b/>
          <w:iCs/>
          <w:sz w:val="24"/>
          <w:szCs w:val="24"/>
          <w:lang w:val="sr-Latn-ME"/>
        </w:rPr>
      </w:pPr>
      <w:r>
        <w:rPr>
          <w:rFonts w:ascii="Arial" w:hAnsi="Arial" w:eastAsia="Times New Roman" w:cs="Times New Roman"/>
          <w:b/>
          <w:sz w:val="24"/>
          <w:szCs w:val="24"/>
          <w:lang w:val="sr-Latn-ME"/>
        </w:rPr>
        <w:t>15. UPUTSTVO O PRAVNOM SREDSTVU</w:t>
      </w:r>
      <w:bookmarkEnd w:id="15"/>
    </w:p>
    <w:p>
      <w:pPr>
        <w:tabs>
          <w:tab w:val="left" w:pos="5760"/>
        </w:tabs>
        <w:spacing w:after="0" w:line="240" w:lineRule="auto"/>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rPr>
      </w:pPr>
      <w:r>
        <w:rPr>
          <w:rFonts w:ascii="Arial" w:hAnsi="Arial" w:eastAsia="Times New Roman" w:cs="Arial"/>
          <w:color w:val="000000"/>
          <w:sz w:val="24"/>
          <w:szCs w:val="24"/>
          <w:lang w:val="sr-Latn-ME"/>
        </w:rPr>
        <w:t xml:space="preserve">    Privredni subjekat može da izjavi žalbu protiv ove tenderske dokumentacije Komisiji za zaštitu prava</w:t>
      </w:r>
      <w:r>
        <w:rPr>
          <w:rFonts w:ascii="Arial" w:hAnsi="Arial" w:eastAsia="Times New Roman" w:cs="Arial"/>
          <w:color w:val="000000"/>
          <w:sz w:val="24"/>
          <w:szCs w:val="24"/>
        </w:rPr>
        <w:t>:</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autoSpaceDE w:val="0"/>
        <w:autoSpaceDN w:val="0"/>
        <w:adjustRightInd w:val="0"/>
        <w:spacing w:before="60" w:after="60" w:line="240" w:lineRule="auto"/>
        <w:ind w:left="566" w:hanging="283"/>
        <w:jc w:val="both"/>
        <w:rPr>
          <w:rFonts w:ascii="Arial" w:hAnsi="Arial" w:eastAsia="Times New Roman" w:cs="Arial"/>
          <w:color w:val="000000"/>
          <w:sz w:val="24"/>
          <w:szCs w:val="24"/>
        </w:rPr>
      </w:pPr>
      <w:r>
        <w:rPr>
          <w:rFonts w:ascii="Arial" w:hAnsi="Arial" w:eastAsia="Times New Roman"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spacing w:after="0" w:line="240" w:lineRule="auto"/>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Žalba se izjavljuje preko naručioca neposredno putem ESJN-a. Žalba koja nije podnesena na naprijed predviđeni način biće odbijena kao nedozvoljena.</w:t>
      </w:r>
    </w:p>
    <w:p>
      <w:pPr>
        <w:autoSpaceDE w:val="0"/>
        <w:autoSpaceDN w:val="0"/>
        <w:adjustRightInd w:val="0"/>
        <w:spacing w:after="0" w:line="240" w:lineRule="auto"/>
        <w:ind w:firstLine="567"/>
        <w:jc w:val="both"/>
        <w:rPr>
          <w:rFonts w:ascii="Arial" w:hAnsi="Arial" w:eastAsia="Times New Roman" w:cs="Arial"/>
          <w:color w:val="000000"/>
          <w:sz w:val="24"/>
          <w:szCs w:val="24"/>
          <w:lang w:val="sr-Latn-ME"/>
        </w:rPr>
      </w:pPr>
    </w:p>
    <w:p>
      <w:pPr>
        <w:autoSpaceDE w:val="0"/>
        <w:autoSpaceDN w:val="0"/>
        <w:adjustRightInd w:val="0"/>
        <w:spacing w:after="0" w:line="240" w:lineRule="auto"/>
        <w:jc w:val="both"/>
        <w:rPr>
          <w:rFonts w:ascii="Arial" w:hAnsi="Arial" w:eastAsia="Times New Roman" w:cs="Arial"/>
          <w:color w:val="000000"/>
          <w:sz w:val="24"/>
          <w:szCs w:val="24"/>
          <w:highlight w:val="yellow"/>
          <w:lang w:val="sr-Latn-ME"/>
        </w:rPr>
      </w:pPr>
      <w:r>
        <w:rPr>
          <w:rFonts w:ascii="Arial" w:hAnsi="Arial" w:eastAsia="Times New Roman" w:cs="Arial"/>
          <w:color w:val="000000"/>
          <w:sz w:val="24"/>
          <w:szCs w:val="24"/>
          <w:lang w:val="sr-Latn-ME"/>
        </w:rPr>
        <w:t xml:space="preserve">    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Ukoliko je predmet nabavke podijeljen po partijama, a žalba se odnosi samo na određenu/e partiju/e, naknada se plaća u iznosu 1% od procijenjene vrijednosti javne nabavke te/tih partije/a.</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r>
        <w:rPr>
          <w:rFonts w:ascii="Arial" w:hAnsi="Arial" w:eastAsia="Times New Roman" w:cs="Arial"/>
          <w:color w:val="000000"/>
          <w:sz w:val="24"/>
          <w:szCs w:val="24"/>
          <w:lang w:val="sr-Latn-ME"/>
        </w:rPr>
        <w:t xml:space="preserve">    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Fonts w:ascii="Arial" w:hAnsi="Arial" w:eastAsia="Times New Roman" w:cs="Arial"/>
          <w:color w:val="0000FF"/>
          <w:sz w:val="24"/>
          <w:szCs w:val="24"/>
          <w:u w:val="single"/>
          <w:lang w:val="sr-Latn-ME"/>
        </w:rPr>
        <w:t>http://www.kontrola-nabavki.me/</w:t>
      </w:r>
      <w:r>
        <w:rPr>
          <w:rFonts w:ascii="Arial" w:hAnsi="Arial" w:eastAsia="Times New Roman" w:cs="Arial"/>
          <w:color w:val="0000FF"/>
          <w:sz w:val="24"/>
          <w:szCs w:val="24"/>
          <w:u w:val="single"/>
          <w:lang w:val="sr-Latn-ME"/>
        </w:rPr>
        <w:fldChar w:fldCharType="end"/>
      </w:r>
      <w:r>
        <w:rPr>
          <w:rFonts w:ascii="Arial" w:hAnsi="Arial" w:eastAsia="Times New Roman" w:cs="Arial"/>
          <w:color w:val="000000"/>
          <w:sz w:val="24"/>
          <w:szCs w:val="24"/>
          <w:lang w:val="sr-Latn-ME"/>
        </w:rPr>
        <w:t>.“.</w:t>
      </w: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ind w:firstLine="567"/>
        <w:jc w:val="both"/>
        <w:rPr>
          <w:rFonts w:ascii="Arial" w:hAnsi="Arial" w:eastAsia="Times New Roman" w:cs="Arial"/>
          <w:color w:val="000000"/>
          <w:sz w:val="24"/>
          <w:szCs w:val="24"/>
          <w:lang w:val="sr-Latn-ME"/>
        </w:rPr>
      </w:pPr>
    </w:p>
    <w:p>
      <w:pPr>
        <w:tabs>
          <w:tab w:val="left" w:pos="5760"/>
        </w:tabs>
        <w:spacing w:after="0" w:line="240" w:lineRule="auto"/>
        <w:jc w:val="both"/>
        <w:rPr>
          <w:rFonts w:ascii="Arial" w:hAnsi="Arial" w:eastAsia="Times New Roman" w:cs="Arial"/>
          <w:color w:val="000000"/>
          <w:sz w:val="24"/>
          <w:szCs w:val="24"/>
          <w:lang w:val="sr-Latn-ME"/>
        </w:rPr>
      </w:pPr>
    </w:p>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pPr>
        <w:spacing w:before="0" w:after="0" w:line="259" w:lineRule="auto"/>
      </w:pPr>
      <w:r>
        <w:separator/>
      </w:r>
    </w:p>
  </w:footnote>
  <w:footnote w:type="continuationSeparator" w:id="17">
    <w:p>
      <w:pPr>
        <w:spacing w:before="0" w:after="0" w:line="259" w:lineRule="auto"/>
      </w:pPr>
      <w:r>
        <w:continuationSeparator/>
      </w:r>
    </w:p>
  </w:footnote>
  <w:footnote w:id="0">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2">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3">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4">
    <w:p>
      <w:pPr>
        <w:pStyle w:val="10"/>
        <w:jc w:val="both"/>
        <w:rPr>
          <w:rFonts w:ascii="Arial" w:hAnsi="Arial" w:cs="Arial"/>
          <w:sz w:val="16"/>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5">
    <w:p>
      <w:pPr>
        <w:pStyle w:val="10"/>
        <w:jc w:val="both"/>
        <w:rPr>
          <w:rFonts w:ascii="Arial" w:hAnsi="Arial" w:cs="Arial"/>
          <w:sz w:val="14"/>
          <w:szCs w:val="16"/>
          <w:lang w:val="sr-Latn-ME"/>
        </w:rPr>
      </w:pPr>
      <w:r>
        <w:rPr>
          <w:rStyle w:val="9"/>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pPr>
        <w:pStyle w:val="10"/>
        <w:jc w:val="both"/>
        <w:rPr>
          <w:rFonts w:ascii="Arial" w:hAnsi="Arial" w:cs="Arial"/>
          <w:sz w:val="14"/>
          <w:szCs w:val="14"/>
          <w:lang w:val="sr-Latn-ME"/>
        </w:rPr>
      </w:pPr>
      <w:r>
        <w:rPr>
          <w:rStyle w:val="9"/>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pPr>
        <w:jc w:val="both"/>
        <w:rPr>
          <w:rFonts w:ascii="Arial" w:hAnsi="Arial" w:cs="Arial"/>
          <w:color w:val="000000"/>
          <w:sz w:val="16"/>
          <w:szCs w:val="16"/>
        </w:rPr>
      </w:pPr>
      <w:r>
        <w:rPr>
          <w:rStyle w:val="9"/>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176829A7"/>
    <w:multiLevelType w:val="multilevel"/>
    <w:tmpl w:val="176829A7"/>
    <w:lvl w:ilvl="0" w:tentative="0">
      <w:start w:val="0"/>
      <w:numFmt w:val="bullet"/>
      <w:lvlText w:val="-"/>
      <w:lvlJc w:val="left"/>
      <w:pPr>
        <w:ind w:left="360" w:hanging="360"/>
      </w:pPr>
      <w:rPr>
        <w:rFonts w:hint="default" w:ascii="Arial" w:hAnsi="Arial" w:eastAsia="Calibri" w:cs="Arial"/>
      </w:rPr>
    </w:lvl>
    <w:lvl w:ilvl="1" w:tentative="0">
      <w:start w:val="1"/>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Arial" w:hAnsi="Arial" w:eastAsia="Calibri" w:cs="Arial"/>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32D84397"/>
    <w:multiLevelType w:val="multilevel"/>
    <w:tmpl w:val="32D84397"/>
    <w:lvl w:ilvl="0" w:tentative="0">
      <w:start w:val="12"/>
      <w:numFmt w:val="bullet"/>
      <w:lvlText w:val="-"/>
      <w:lvlJc w:val="right"/>
      <w:pPr>
        <w:ind w:left="360" w:hanging="360"/>
      </w:pPr>
      <w:rPr>
        <w:rFonts w:hint="default" w:ascii="Verdana" w:hAnsi="Verdana" w:eastAsia="Times New Roman"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A44128F"/>
    <w:multiLevelType w:val="multilevel"/>
    <w:tmpl w:val="6A4412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6EAE6A37"/>
    <w:multiLevelType w:val="multilevel"/>
    <w:tmpl w:val="6EAE6A37"/>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3"/>
  </w:num>
  <w:num w:numId="3">
    <w:abstractNumId w:val="4"/>
  </w:num>
  <w:num w:numId="4">
    <w:abstractNumId w:val="5"/>
  </w:num>
  <w:num w:numId="5">
    <w:abstractNumId w:val="7"/>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16"/>
    <w:footnote w:id="17"/>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E2"/>
    <w:rsid w:val="00041399"/>
    <w:rsid w:val="00051E7D"/>
    <w:rsid w:val="00061B98"/>
    <w:rsid w:val="00064CB2"/>
    <w:rsid w:val="000829C9"/>
    <w:rsid w:val="00094244"/>
    <w:rsid w:val="00094A08"/>
    <w:rsid w:val="00095E6A"/>
    <w:rsid w:val="000A1F38"/>
    <w:rsid w:val="000A2E6B"/>
    <w:rsid w:val="000B1411"/>
    <w:rsid w:val="000D2EA3"/>
    <w:rsid w:val="000E5130"/>
    <w:rsid w:val="00102DCC"/>
    <w:rsid w:val="00105D04"/>
    <w:rsid w:val="00113ECC"/>
    <w:rsid w:val="001165B3"/>
    <w:rsid w:val="001252CA"/>
    <w:rsid w:val="001629FC"/>
    <w:rsid w:val="001637BB"/>
    <w:rsid w:val="00194F62"/>
    <w:rsid w:val="00195423"/>
    <w:rsid w:val="0019789B"/>
    <w:rsid w:val="001A02EB"/>
    <w:rsid w:val="001A654C"/>
    <w:rsid w:val="001A7608"/>
    <w:rsid w:val="001B5949"/>
    <w:rsid w:val="001C00F8"/>
    <w:rsid w:val="001C1C59"/>
    <w:rsid w:val="001C1D54"/>
    <w:rsid w:val="001D3749"/>
    <w:rsid w:val="001D431F"/>
    <w:rsid w:val="001D64EA"/>
    <w:rsid w:val="001E1808"/>
    <w:rsid w:val="001F54F1"/>
    <w:rsid w:val="00240916"/>
    <w:rsid w:val="00246961"/>
    <w:rsid w:val="0025046E"/>
    <w:rsid w:val="0026331D"/>
    <w:rsid w:val="0027298D"/>
    <w:rsid w:val="00272FFB"/>
    <w:rsid w:val="002812FB"/>
    <w:rsid w:val="0028395A"/>
    <w:rsid w:val="0028478F"/>
    <w:rsid w:val="002847D2"/>
    <w:rsid w:val="00285E8F"/>
    <w:rsid w:val="002A4077"/>
    <w:rsid w:val="002B070B"/>
    <w:rsid w:val="00301AA0"/>
    <w:rsid w:val="00306EE1"/>
    <w:rsid w:val="003137DB"/>
    <w:rsid w:val="00341AA6"/>
    <w:rsid w:val="00347864"/>
    <w:rsid w:val="0037540C"/>
    <w:rsid w:val="00380130"/>
    <w:rsid w:val="003A2AF7"/>
    <w:rsid w:val="003B0FA7"/>
    <w:rsid w:val="003D252F"/>
    <w:rsid w:val="003E0703"/>
    <w:rsid w:val="003E4931"/>
    <w:rsid w:val="00412386"/>
    <w:rsid w:val="00413720"/>
    <w:rsid w:val="00416A86"/>
    <w:rsid w:val="00443ADF"/>
    <w:rsid w:val="00445F5A"/>
    <w:rsid w:val="0045709C"/>
    <w:rsid w:val="00457C21"/>
    <w:rsid w:val="00462222"/>
    <w:rsid w:val="00463E1B"/>
    <w:rsid w:val="00477459"/>
    <w:rsid w:val="0049582A"/>
    <w:rsid w:val="004A0CF7"/>
    <w:rsid w:val="004A2F64"/>
    <w:rsid w:val="004A6D3C"/>
    <w:rsid w:val="004B7984"/>
    <w:rsid w:val="004C2D42"/>
    <w:rsid w:val="004E5ED9"/>
    <w:rsid w:val="004E7352"/>
    <w:rsid w:val="00527DC2"/>
    <w:rsid w:val="00545B4A"/>
    <w:rsid w:val="0055551F"/>
    <w:rsid w:val="0057236B"/>
    <w:rsid w:val="005811D6"/>
    <w:rsid w:val="005A1673"/>
    <w:rsid w:val="005A2A82"/>
    <w:rsid w:val="005B30E9"/>
    <w:rsid w:val="005C26DD"/>
    <w:rsid w:val="005C2C04"/>
    <w:rsid w:val="005E379F"/>
    <w:rsid w:val="006123FC"/>
    <w:rsid w:val="00653D15"/>
    <w:rsid w:val="00657AE4"/>
    <w:rsid w:val="006A212B"/>
    <w:rsid w:val="006B7DA8"/>
    <w:rsid w:val="0076725F"/>
    <w:rsid w:val="0078302A"/>
    <w:rsid w:val="007867ED"/>
    <w:rsid w:val="00793085"/>
    <w:rsid w:val="00795128"/>
    <w:rsid w:val="007959B1"/>
    <w:rsid w:val="007B326E"/>
    <w:rsid w:val="007F016B"/>
    <w:rsid w:val="007F064D"/>
    <w:rsid w:val="007F0910"/>
    <w:rsid w:val="007F099B"/>
    <w:rsid w:val="007F35AF"/>
    <w:rsid w:val="007F7336"/>
    <w:rsid w:val="00830ED1"/>
    <w:rsid w:val="0083691F"/>
    <w:rsid w:val="00844ED0"/>
    <w:rsid w:val="00871A3A"/>
    <w:rsid w:val="0089368B"/>
    <w:rsid w:val="008C7411"/>
    <w:rsid w:val="008C76B4"/>
    <w:rsid w:val="008D1F99"/>
    <w:rsid w:val="008D568B"/>
    <w:rsid w:val="00910581"/>
    <w:rsid w:val="00930A55"/>
    <w:rsid w:val="00935A3C"/>
    <w:rsid w:val="00957E51"/>
    <w:rsid w:val="00964B62"/>
    <w:rsid w:val="00964E08"/>
    <w:rsid w:val="009673A6"/>
    <w:rsid w:val="00971177"/>
    <w:rsid w:val="009722D6"/>
    <w:rsid w:val="00977C56"/>
    <w:rsid w:val="00977F8F"/>
    <w:rsid w:val="0098135C"/>
    <w:rsid w:val="0098197B"/>
    <w:rsid w:val="009B5283"/>
    <w:rsid w:val="009C4391"/>
    <w:rsid w:val="009E0AF6"/>
    <w:rsid w:val="009F2E7F"/>
    <w:rsid w:val="009F3410"/>
    <w:rsid w:val="00A03E4A"/>
    <w:rsid w:val="00A06A1D"/>
    <w:rsid w:val="00A1397F"/>
    <w:rsid w:val="00A369BE"/>
    <w:rsid w:val="00A44B78"/>
    <w:rsid w:val="00A54BE0"/>
    <w:rsid w:val="00A64D03"/>
    <w:rsid w:val="00A70B71"/>
    <w:rsid w:val="00A81CC3"/>
    <w:rsid w:val="00A967CE"/>
    <w:rsid w:val="00AA41D8"/>
    <w:rsid w:val="00AB48E5"/>
    <w:rsid w:val="00AC73A6"/>
    <w:rsid w:val="00AD4B09"/>
    <w:rsid w:val="00AD6ECA"/>
    <w:rsid w:val="00AD6F80"/>
    <w:rsid w:val="00AE7923"/>
    <w:rsid w:val="00AF385F"/>
    <w:rsid w:val="00B02F55"/>
    <w:rsid w:val="00B17AFD"/>
    <w:rsid w:val="00B21242"/>
    <w:rsid w:val="00B22AF1"/>
    <w:rsid w:val="00B4041F"/>
    <w:rsid w:val="00B436A8"/>
    <w:rsid w:val="00B43933"/>
    <w:rsid w:val="00B45485"/>
    <w:rsid w:val="00B50606"/>
    <w:rsid w:val="00B76CEA"/>
    <w:rsid w:val="00B9733D"/>
    <w:rsid w:val="00BD62E4"/>
    <w:rsid w:val="00BE0BBC"/>
    <w:rsid w:val="00BE2F98"/>
    <w:rsid w:val="00BF221D"/>
    <w:rsid w:val="00BF2E70"/>
    <w:rsid w:val="00BF51E2"/>
    <w:rsid w:val="00C20B4D"/>
    <w:rsid w:val="00C24E48"/>
    <w:rsid w:val="00C25853"/>
    <w:rsid w:val="00C4104E"/>
    <w:rsid w:val="00C4628F"/>
    <w:rsid w:val="00C47618"/>
    <w:rsid w:val="00C52248"/>
    <w:rsid w:val="00C5658A"/>
    <w:rsid w:val="00C56723"/>
    <w:rsid w:val="00C93719"/>
    <w:rsid w:val="00C97CCD"/>
    <w:rsid w:val="00CA129B"/>
    <w:rsid w:val="00CC1376"/>
    <w:rsid w:val="00CC7355"/>
    <w:rsid w:val="00CD769D"/>
    <w:rsid w:val="00CF1D21"/>
    <w:rsid w:val="00CF380C"/>
    <w:rsid w:val="00D16305"/>
    <w:rsid w:val="00D4539F"/>
    <w:rsid w:val="00D55B8E"/>
    <w:rsid w:val="00D56CA8"/>
    <w:rsid w:val="00DC37E9"/>
    <w:rsid w:val="00DC4DE2"/>
    <w:rsid w:val="00DD4AD8"/>
    <w:rsid w:val="00DD4F37"/>
    <w:rsid w:val="00DE34BF"/>
    <w:rsid w:val="00DE37A4"/>
    <w:rsid w:val="00E03B04"/>
    <w:rsid w:val="00E15A9C"/>
    <w:rsid w:val="00E270ED"/>
    <w:rsid w:val="00E369E8"/>
    <w:rsid w:val="00E53679"/>
    <w:rsid w:val="00E60A6A"/>
    <w:rsid w:val="00E62B12"/>
    <w:rsid w:val="00EA30DD"/>
    <w:rsid w:val="00EA7F59"/>
    <w:rsid w:val="00EE1B13"/>
    <w:rsid w:val="00EE261E"/>
    <w:rsid w:val="00EE5AFE"/>
    <w:rsid w:val="00F202B3"/>
    <w:rsid w:val="00F42FAB"/>
    <w:rsid w:val="00F47A85"/>
    <w:rsid w:val="00F57EB9"/>
    <w:rsid w:val="00F80A87"/>
    <w:rsid w:val="00F909A3"/>
    <w:rsid w:val="00FC6EE6"/>
    <w:rsid w:val="00FD4599"/>
    <w:rsid w:val="0D9C5D55"/>
    <w:rsid w:val="10AC3A28"/>
    <w:rsid w:val="1D342716"/>
    <w:rsid w:val="208C0D13"/>
    <w:rsid w:val="267915B6"/>
    <w:rsid w:val="2DFF3C7B"/>
    <w:rsid w:val="3ABB79B8"/>
    <w:rsid w:val="58996A7E"/>
    <w:rsid w:val="5A954EA3"/>
    <w:rsid w:val="63581F08"/>
    <w:rsid w:val="6719299D"/>
    <w:rsid w:val="685500FC"/>
    <w:rsid w:val="69613CEF"/>
    <w:rsid w:val="6CD671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8"/>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6"/>
    <w:semiHidden/>
    <w:unhideWhenUsed/>
    <w:qFormat/>
    <w:uiPriority w:val="99"/>
    <w:pPr>
      <w:spacing w:line="240" w:lineRule="auto"/>
    </w:pPr>
    <w:rPr>
      <w:sz w:val="20"/>
      <w:szCs w:val="20"/>
    </w:rPr>
  </w:style>
  <w:style w:type="paragraph" w:styleId="7">
    <w:name w:val="annotation subject"/>
    <w:basedOn w:val="6"/>
    <w:next w:val="6"/>
    <w:link w:val="17"/>
    <w:semiHidden/>
    <w:unhideWhenUsed/>
    <w:qFormat/>
    <w:uiPriority w:val="99"/>
    <w:rPr>
      <w:b/>
      <w:bCs/>
    </w:rPr>
  </w:style>
  <w:style w:type="paragraph" w:styleId="8">
    <w:name w:val="footer"/>
    <w:basedOn w:val="1"/>
    <w:link w:val="15"/>
    <w:unhideWhenUsed/>
    <w:qFormat/>
    <w:uiPriority w:val="99"/>
    <w:pPr>
      <w:tabs>
        <w:tab w:val="center" w:pos="4680"/>
        <w:tab w:val="right" w:pos="9360"/>
      </w:tabs>
      <w:spacing w:after="0" w:line="240" w:lineRule="auto"/>
    </w:pPr>
  </w:style>
  <w:style w:type="character" w:styleId="9">
    <w:name w:val="footnote reference"/>
    <w:unhideWhenUsed/>
    <w:qFormat/>
    <w:uiPriority w:val="99"/>
    <w:rPr>
      <w:vertAlign w:val="superscript"/>
    </w:rPr>
  </w:style>
  <w:style w:type="paragraph" w:styleId="10">
    <w:name w:val="footnote text"/>
    <w:basedOn w:val="1"/>
    <w:link w:val="12"/>
    <w:unhideWhenUsed/>
    <w:uiPriority w:val="99"/>
    <w:pPr>
      <w:spacing w:after="0" w:line="240" w:lineRule="auto"/>
    </w:pPr>
    <w:rPr>
      <w:rFonts w:ascii="Calibri" w:hAnsi="Calibri" w:eastAsia="Calibri" w:cs="Times New Roman"/>
      <w:sz w:val="20"/>
      <w:szCs w:val="20"/>
    </w:rPr>
  </w:style>
  <w:style w:type="paragraph" w:styleId="11">
    <w:name w:val="header"/>
    <w:basedOn w:val="1"/>
    <w:link w:val="14"/>
    <w:unhideWhenUsed/>
    <w:qFormat/>
    <w:uiPriority w:val="99"/>
    <w:pPr>
      <w:tabs>
        <w:tab w:val="center" w:pos="4680"/>
        <w:tab w:val="right" w:pos="9360"/>
      </w:tabs>
      <w:spacing w:after="0" w:line="240" w:lineRule="auto"/>
    </w:pPr>
  </w:style>
  <w:style w:type="character" w:customStyle="1" w:styleId="12">
    <w:name w:val="Footnote Text Char"/>
    <w:basedOn w:val="2"/>
    <w:link w:val="10"/>
    <w:qFormat/>
    <w:uiPriority w:val="99"/>
    <w:rPr>
      <w:rFonts w:ascii="Calibri" w:hAnsi="Calibri" w:eastAsia="Calibri" w:cs="Times New Roman"/>
      <w:sz w:val="20"/>
      <w:szCs w:val="20"/>
    </w:rPr>
  </w:style>
  <w:style w:type="paragraph" w:styleId="13">
    <w:name w:val="List Paragraph"/>
    <w:basedOn w:val="1"/>
    <w:qFormat/>
    <w:uiPriority w:val="34"/>
    <w:pPr>
      <w:ind w:left="720"/>
      <w:contextualSpacing/>
    </w:pPr>
  </w:style>
  <w:style w:type="character" w:customStyle="1" w:styleId="14">
    <w:name w:val="Header Char"/>
    <w:basedOn w:val="2"/>
    <w:link w:val="11"/>
    <w:qFormat/>
    <w:uiPriority w:val="99"/>
  </w:style>
  <w:style w:type="character" w:customStyle="1" w:styleId="15">
    <w:name w:val="Footer Char"/>
    <w:basedOn w:val="2"/>
    <w:link w:val="8"/>
    <w:qFormat/>
    <w:uiPriority w:val="99"/>
  </w:style>
  <w:style w:type="character" w:customStyle="1" w:styleId="16">
    <w:name w:val="Comment Text Char"/>
    <w:basedOn w:val="2"/>
    <w:link w:val="6"/>
    <w:semiHidden/>
    <w:qFormat/>
    <w:uiPriority w:val="99"/>
    <w:rPr>
      <w:sz w:val="20"/>
      <w:szCs w:val="20"/>
    </w:rPr>
  </w:style>
  <w:style w:type="character" w:customStyle="1" w:styleId="17">
    <w:name w:val="Comment Subject Char"/>
    <w:basedOn w:val="16"/>
    <w:link w:val="7"/>
    <w:semiHidden/>
    <w:qFormat/>
    <w:uiPriority w:val="99"/>
    <w:rPr>
      <w:b/>
      <w:bCs/>
      <w:sz w:val="20"/>
      <w:szCs w:val="20"/>
    </w:rPr>
  </w:style>
  <w:style w:type="character" w:customStyle="1" w:styleId="18">
    <w:name w:val="Balloon Text Char"/>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4165</Words>
  <Characters>23741</Characters>
  <Lines>197</Lines>
  <Paragraphs>55</Paragraphs>
  <TotalTime>56</TotalTime>
  <ScaleCrop>false</ScaleCrop>
  <LinksUpToDate>false</LinksUpToDate>
  <CharactersWithSpaces>27851</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2023-04-06T11:20:00Z</dcterms:created>
  <dc:creator>Sanja Bakic</dc:creator>
  <cp:lastModifiedBy>Dragan Prenkic</cp:lastModifiedBy>
  <cp:lastPrinted>2026-04-29T07:30:00Z</cp:lastPrinted>
  <dcterms:modified xsi:type="dcterms:W3CDTF">2026-04-29T10:59:32Z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A0D6B63388204F7B9D54484D7458342E</vt:lpwstr>
  </property>
</Properties>
</file>