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Broj iz evidencije postupaka javnih nabavki: </w:t>
      </w:r>
      <w:r>
        <w:rPr>
          <w:rFonts w:hint="default" w:ascii="Arial" w:hAnsi="Arial" w:eastAsia="Times New Roman" w:cs="Arial"/>
          <w:sz w:val="24"/>
          <w:szCs w:val="24"/>
          <w:lang w:val="sr-Latn-ME"/>
        </w:rPr>
        <w:t>3</w:t>
      </w:r>
      <w:r>
        <w:rPr>
          <w:rFonts w:ascii="Arial" w:hAnsi="Arial" w:eastAsia="Times New Roman" w:cs="Arial"/>
          <w:sz w:val="24"/>
          <w:szCs w:val="24"/>
          <w:lang w:val="sr-Latn-ME"/>
        </w:rPr>
        <w:t>/202</w:t>
      </w:r>
      <w:r>
        <w:rPr>
          <w:rFonts w:hint="default" w:ascii="Arial" w:hAnsi="Arial" w:eastAsia="Times New Roman" w:cs="Arial"/>
          <w:sz w:val="24"/>
          <w:szCs w:val="24"/>
          <w:lang w:val="sr-Latn-ME"/>
        </w:rPr>
        <w:t>6</w:t>
      </w:r>
      <w:r>
        <w:rPr>
          <w:rFonts w:ascii="Arial" w:hAnsi="Arial" w:eastAsia="Times New Roman" w:cs="Arial"/>
          <w:sz w:val="24"/>
          <w:szCs w:val="24"/>
          <w:lang w:val="sr-Latn-ME"/>
        </w:rPr>
        <w:t xml:space="preserve"> </w:t>
      </w:r>
    </w:p>
    <w:p>
      <w:pPr>
        <w:tabs>
          <w:tab w:val="left" w:pos="1701"/>
          <w:tab w:val="left" w:pos="4820"/>
        </w:tabs>
        <w:spacing w:after="0" w:line="240" w:lineRule="auto"/>
        <w:jc w:val="both"/>
        <w:rPr>
          <w:rFonts w:hint="default" w:ascii="Arial" w:hAnsi="Arial" w:eastAsia="Calibri" w:cs="Arial"/>
          <w:sz w:val="24"/>
          <w:szCs w:val="24"/>
          <w:lang w:val="sr-Latn-ME"/>
        </w:rPr>
      </w:pPr>
      <w:r>
        <w:rPr>
          <w:rFonts w:ascii="Arial" w:hAnsi="Arial" w:eastAsia="Calibri" w:cs="Arial"/>
          <w:sz w:val="24"/>
          <w:szCs w:val="24"/>
          <w:lang w:val="sr-Latn-ME"/>
        </w:rPr>
        <w:t xml:space="preserve">Redni broj iz Plana javnih nabavki: </w:t>
      </w:r>
      <w:r>
        <w:rPr>
          <w:rFonts w:hint="default" w:ascii="Arial" w:hAnsi="Arial" w:eastAsia="Calibri" w:cs="Arial"/>
          <w:sz w:val="24"/>
          <w:szCs w:val="24"/>
          <w:lang w:val="sr-Latn-ME"/>
        </w:rPr>
        <w:t>6</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highlight w:val="none"/>
          <w:lang w:val="sr-Latn-ME"/>
        </w:rPr>
        <w:t>,</w:t>
      </w:r>
      <w:r>
        <w:rPr>
          <w:rFonts w:hint="default" w:ascii="Arial" w:hAnsi="Arial" w:eastAsia="Calibri" w:cs="Arial"/>
          <w:sz w:val="24"/>
          <w:szCs w:val="24"/>
          <w:highlight w:val="none"/>
          <w:lang w:val="sr-Latn-ME"/>
        </w:rPr>
        <w:t xml:space="preserve">  24.04.2026.</w:t>
      </w:r>
      <w:r>
        <w:rPr>
          <w:rFonts w:ascii="Arial" w:hAnsi="Arial" w:eastAsia="Calibri" w:cs="Arial"/>
          <w:color w:val="000000"/>
          <w:sz w:val="24"/>
          <w:szCs w:val="24"/>
          <w:lang w:val="sr-Latn-ME"/>
        </w:rPr>
        <w:t>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Na osnovu člana 53 stav 3 Zakona o javnim nabavkama („Službeni list CG“, br. 74/19, 3/23</w:t>
      </w:r>
      <w:r>
        <w:rPr>
          <w:rFonts w:hint="default" w:ascii="Arial" w:hAnsi="Arial" w:eastAsia="Times New Roman" w:cs="Arial"/>
          <w:sz w:val="24"/>
          <w:szCs w:val="24"/>
          <w:lang w:val="sr-Latn-RS"/>
        </w:rPr>
        <w:t xml:space="preserve">, </w:t>
      </w:r>
      <w:r>
        <w:rPr>
          <w:rFonts w:ascii="Arial" w:hAnsi="Arial" w:eastAsia="Times New Roman" w:cs="Arial"/>
          <w:sz w:val="24"/>
          <w:szCs w:val="24"/>
          <w:lang w:val="sr-Latn-ME"/>
        </w:rPr>
        <w:t>11/23</w:t>
      </w:r>
      <w:r>
        <w:rPr>
          <w:rFonts w:hint="default" w:ascii="Arial" w:hAnsi="Arial" w:eastAsia="Times New Roman" w:cs="Arial"/>
          <w:sz w:val="24"/>
          <w:szCs w:val="24"/>
          <w:lang w:val="sr-Latn-RS"/>
        </w:rPr>
        <w:t xml:space="preserve"> i 84/24 </w:t>
      </w:r>
      <w:r>
        <w:rPr>
          <w:rFonts w:ascii="Arial" w:hAnsi="Arial" w:eastAsia="Times New Roman" w:cs="Arial"/>
          <w:sz w:val="24"/>
          <w:szCs w:val="24"/>
          <w:lang w:val="sr-Latn-ME"/>
        </w:rPr>
        <w:t xml:space="preserve">)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bidi w:val="0"/>
        <w:ind w:firstLine="120" w:firstLineChars="50"/>
        <w:rPr>
          <w:rFonts w:hint="default" w:ascii="Arial" w:hAnsi="Arial" w:cs="Arial"/>
          <w:sz w:val="24"/>
          <w:szCs w:val="24"/>
          <w:lang w:val="en-US" w:eastAsia="zh-CN"/>
        </w:rPr>
      </w:pPr>
    </w:p>
    <w:p>
      <w:pPr>
        <w:bidi w:val="0"/>
        <w:ind w:firstLine="2040" w:firstLineChars="850"/>
        <w:jc w:val="left"/>
        <w:rPr>
          <w:rFonts w:hint="default" w:ascii="Arial" w:hAnsi="Arial" w:cs="Arial"/>
          <w:sz w:val="24"/>
          <w:szCs w:val="24"/>
          <w:lang w:val="sr-Latn-ME"/>
        </w:rPr>
      </w:pPr>
      <w:r>
        <w:rPr>
          <w:rFonts w:hint="default" w:ascii="Arial" w:hAnsi="Arial" w:cs="Arial"/>
          <w:sz w:val="24"/>
          <w:szCs w:val="24"/>
          <w:lang w:val="en-US" w:eastAsia="zh-CN"/>
        </w:rPr>
        <w:t>Usluge nadogradnje i održavanja REES aplikacije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 </w:t>
      </w:r>
      <w:r>
        <w:rPr>
          <w:rFonts w:hint="default" w:ascii="Arial" w:hAnsi="Arial" w:eastAsia="Calibri" w:cs="Arial"/>
          <w:sz w:val="24"/>
          <w:szCs w:val="24"/>
          <w:lang w:val="sr-Latn-ME"/>
        </w:rPr>
        <w:t>54</w:t>
      </w:r>
      <w:r>
        <w:rPr>
          <w:rFonts w:ascii="Arial" w:hAnsi="Arial" w:eastAsia="Calibri" w:cs="Arial"/>
          <w:sz w:val="24"/>
          <w:szCs w:val="24"/>
          <w:lang w:val="sr-Latn-CS"/>
        </w:rPr>
        <w:t xml:space="preserve">.000,00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jc w:val="both"/>
        <w:rPr>
          <w:rFonts w:ascii="Arial" w:hAnsi="Arial" w:eastAsia="Times New Roman" w:cs="Arial"/>
          <w:sz w:val="24"/>
          <w:szCs w:val="24"/>
        </w:rPr>
      </w:pPr>
      <w:r>
        <w:rPr>
          <w:rFonts w:ascii="Arial" w:hAnsi="Arial" w:eastAsia="Calibri" w:cs="Arial"/>
          <w:sz w:val="24"/>
          <w:szCs w:val="24"/>
          <w:lang w:val="sr-Latn-ME"/>
        </w:rPr>
        <w:t>Predmet nabavke su usluge</w:t>
      </w:r>
      <w:r>
        <w:rPr>
          <w:rFonts w:hint="default" w:ascii="Arial" w:hAnsi="Arial" w:cs="Arial"/>
          <w:sz w:val="24"/>
          <w:szCs w:val="24"/>
          <w:lang w:val="en-US" w:eastAsia="zh-CN"/>
        </w:rPr>
        <w:t xml:space="preserve"> nadogradnje i održavanja REES aplikacije</w:t>
      </w:r>
      <w:r>
        <w:rPr>
          <w:rFonts w:ascii="Arial" w:hAnsi="Arial" w:eastAsia="Calibri" w:cs="Arial"/>
          <w:sz w:val="24"/>
          <w:szCs w:val="24"/>
          <w:lang w:val="it-IT"/>
        </w:rPr>
        <w:t xml:space="preserve">,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sz w:val="24"/>
          <w:szCs w:val="24"/>
          <w:highlight w:val="none"/>
          <w:lang w:val="sr-Latn-ME"/>
        </w:rPr>
      </w:pPr>
      <w:r>
        <w:rPr>
          <w:rFonts w:ascii="Arial" w:hAnsi="Arial" w:eastAsia="Times New Roman" w:cs="Arial"/>
          <w:color w:val="000000"/>
          <w:sz w:val="24"/>
          <w:szCs w:val="24"/>
          <w:highlight w:val="none"/>
          <w:lang w:val="sr-Latn-ME"/>
        </w:rPr>
        <w:sym w:font="Wingdings" w:char="F078"/>
      </w:r>
      <w:r>
        <w:rPr>
          <w:rFonts w:ascii="Arial" w:hAnsi="Arial" w:eastAsia="Times New Roman" w:cs="Arial"/>
          <w:color w:val="000000"/>
          <w:sz w:val="24"/>
          <w:szCs w:val="24"/>
          <w:highlight w:val="none"/>
          <w:lang w:val="sr-Latn-ME"/>
        </w:rPr>
        <w:t xml:space="preserve"> </w:t>
      </w:r>
      <w:r>
        <w:rPr>
          <w:rFonts w:ascii="Arial" w:hAnsi="Arial" w:eastAsia="Times New Roman" w:cs="Arial"/>
          <w:sz w:val="24"/>
          <w:szCs w:val="24"/>
          <w:highlight w:val="none"/>
          <w:lang w:val="sr-Latn-ME"/>
        </w:rPr>
        <w:t xml:space="preserve">garanciju za dobro izvršenje ugovora za slučaj </w:t>
      </w:r>
      <w:r>
        <w:rPr>
          <w:rFonts w:ascii="Arial" w:hAnsi="Arial" w:eastAsia="Times New Roman" w:cs="Arial"/>
          <w:color w:val="000000"/>
          <w:sz w:val="24"/>
          <w:szCs w:val="24"/>
          <w:highlight w:val="none"/>
          <w:lang w:val="sr-Latn-ME"/>
        </w:rPr>
        <w:t>povrede ugovorenih obaveze (ako je raskid ugovora nastao zbog neispunjenja ugovorenih obaveza natalih činjenjem ili nečinjenjem ponuđača),</w:t>
      </w:r>
      <w:r>
        <w:rPr>
          <w:rFonts w:ascii="Arial" w:hAnsi="Arial" w:eastAsia="Times New Roman" w:cs="Arial"/>
          <w:sz w:val="24"/>
          <w:szCs w:val="24"/>
          <w:highlight w:val="none"/>
          <w:lang w:val="sr-Latn-ME"/>
        </w:rPr>
        <w:t xml:space="preserve"> </w:t>
      </w:r>
      <w:r>
        <w:rPr>
          <w:rFonts w:ascii="Arial" w:hAnsi="Arial" w:eastAsia="Times New Roman" w:cs="Arial"/>
          <w:color w:val="000000"/>
          <w:sz w:val="24"/>
          <w:szCs w:val="24"/>
          <w:highlight w:val="none"/>
          <w:lang w:val="sr-Latn-ME"/>
        </w:rPr>
        <w:t>u iznosu od 10 % od vrijednosti ugovora.</w:t>
      </w:r>
      <w:r>
        <w:rPr>
          <w:rFonts w:ascii="Arial" w:hAnsi="Arial" w:eastAsia="Times New Roman" w:cs="Arial"/>
          <w:sz w:val="24"/>
          <w:szCs w:val="24"/>
          <w:highlight w:val="none"/>
          <w:vertAlign w:val="superscript"/>
          <w:lang w:val="sr-Latn-ME"/>
        </w:rPr>
        <w:t xml:space="preserve">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highlight w:val="none"/>
          <w:lang w:val="sr-Latn-ME"/>
        </w:rPr>
      </w:pPr>
      <w:bookmarkStart w:id="5" w:name="_Toc62730559"/>
      <w:r>
        <w:rPr>
          <w:rFonts w:ascii="Arial" w:hAnsi="Arial" w:eastAsia="Times New Roman" w:cs="Times New Roman"/>
          <w:b/>
          <w:sz w:val="24"/>
          <w:szCs w:val="32"/>
          <w:highlight w:val="none"/>
          <w:lang w:val="sr-Latn-ME"/>
        </w:rPr>
        <w:t>6. METODOLOGIJA VREDNOVANJA PONUDA</w:t>
      </w:r>
      <w:bookmarkEnd w:id="5"/>
    </w:p>
    <w:p>
      <w:pPr>
        <w:spacing w:after="0" w:line="240" w:lineRule="auto"/>
        <w:rPr>
          <w:rFonts w:ascii="Arial" w:hAnsi="Arial" w:eastAsia="Times New Roman" w:cs="Arial"/>
          <w:sz w:val="24"/>
          <w:szCs w:val="24"/>
          <w:highlight w:val="yellow"/>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Naručilac će u postupku javne nabavki izabrati ekonomski najpovoljniju ponudu, primjenom pristupa isplativosti, po osnovu kriterijuma: </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 </w:t>
      </w:r>
      <w:r>
        <w:rPr>
          <w:rFonts w:hint="default" w:ascii="Arial" w:hAnsi="Arial" w:eastAsia="Calibri"/>
          <w:b w:val="0"/>
          <w:bCs/>
          <w:sz w:val="24"/>
          <w:szCs w:val="24"/>
          <w:highlight w:val="none"/>
          <w:lang w:val="sr-Latn-ME"/>
        </w:rPr>
        <w:sym w:font="Wingdings 2" w:char="0052"/>
      </w:r>
      <w:r>
        <w:rPr>
          <w:rFonts w:hint="default" w:ascii="Arial" w:hAnsi="Arial" w:eastAsia="Calibri"/>
          <w:b w:val="0"/>
          <w:bCs/>
          <w:sz w:val="24"/>
          <w:szCs w:val="24"/>
          <w:highlight w:val="none"/>
          <w:lang w:val="sr-Latn-ME"/>
        </w:rPr>
        <w:t xml:space="preserve"> odnos cijene i kvaliteta </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Naručilac se opredijelio za vrednovanje ponuda po kriterijumu odnos cijene i kvaliteta, a shodno Pravilniku o metodologiji načina vrednovanja ponuda u postupku javnih nabavki.</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Vrednovanje će se vršiti na osnovu sljedećih parametara:</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bCs w:val="0"/>
          <w:sz w:val="24"/>
          <w:szCs w:val="24"/>
          <w:highlight w:val="none"/>
          <w:lang w:val="sr-Latn-ME"/>
        </w:rPr>
      </w:pPr>
      <w:r>
        <w:rPr>
          <w:rFonts w:hint="default" w:ascii="Arial" w:hAnsi="Arial" w:eastAsia="Calibri"/>
          <w:b/>
          <w:bCs w:val="0"/>
          <w:sz w:val="24"/>
          <w:szCs w:val="24"/>
          <w:highlight w:val="none"/>
          <w:lang w:val="sr-Latn-ME"/>
        </w:rPr>
        <w:t> najniža ponuđena cijena (C)</w:t>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 xml:space="preserve">           broj bodova  50</w:t>
      </w:r>
      <w:r>
        <w:rPr>
          <w:rFonts w:hint="default" w:ascii="Arial" w:hAnsi="Arial" w:eastAsia="Calibri"/>
          <w:b/>
          <w:bCs w:val="0"/>
          <w:sz w:val="24"/>
          <w:szCs w:val="24"/>
          <w:highlight w:val="none"/>
          <w:lang w:val="sr-Latn-ME"/>
        </w:rPr>
        <w:tab/>
      </w:r>
    </w:p>
    <w:p>
      <w:pPr>
        <w:spacing w:after="0" w:line="240" w:lineRule="auto"/>
        <w:jc w:val="both"/>
        <w:rPr>
          <w:rFonts w:hint="default" w:ascii="Arial" w:hAnsi="Arial" w:eastAsia="Calibri"/>
          <w:b/>
          <w:bCs w:val="0"/>
          <w:sz w:val="24"/>
          <w:szCs w:val="24"/>
          <w:highlight w:val="none"/>
          <w:lang w:val="sr-Latn-ME"/>
        </w:rPr>
      </w:pPr>
      <w:r>
        <w:rPr>
          <w:rFonts w:hint="default" w:ascii="Arial" w:hAnsi="Arial" w:eastAsia="Calibri"/>
          <w:b/>
          <w:bCs w:val="0"/>
          <w:sz w:val="24"/>
          <w:szCs w:val="24"/>
          <w:highlight w:val="none"/>
          <w:lang w:val="sr-Latn-ME"/>
        </w:rPr>
        <w:t> kvalitet  (K)</w:t>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ab/>
      </w:r>
      <w:r>
        <w:rPr>
          <w:rFonts w:hint="default" w:ascii="Arial" w:hAnsi="Arial" w:eastAsia="Calibri"/>
          <w:b/>
          <w:bCs w:val="0"/>
          <w:sz w:val="24"/>
          <w:szCs w:val="24"/>
          <w:highlight w:val="none"/>
          <w:lang w:val="sr-Latn-ME"/>
        </w:rPr>
        <w:t xml:space="preserve">           broj bodova  50</w:t>
      </w:r>
      <w:r>
        <w:rPr>
          <w:rFonts w:hint="default" w:ascii="Arial" w:hAnsi="Arial" w:eastAsia="Calibri"/>
          <w:b/>
          <w:bCs w:val="0"/>
          <w:sz w:val="24"/>
          <w:szCs w:val="24"/>
          <w:highlight w:val="none"/>
          <w:lang w:val="sr-Latn-ME"/>
        </w:rPr>
        <w:tab/>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bCs w:val="0"/>
          <w:sz w:val="24"/>
          <w:szCs w:val="24"/>
          <w:highlight w:val="none"/>
          <w:lang w:val="sr-Latn-ME"/>
        </w:rPr>
        <w:t>Parametar najniža ponuđena cijena</w:t>
      </w:r>
      <w:r>
        <w:rPr>
          <w:rFonts w:hint="default" w:ascii="Arial" w:hAnsi="Arial" w:eastAsia="Calibri"/>
          <w:b w:val="0"/>
          <w:bCs/>
          <w:sz w:val="24"/>
          <w:szCs w:val="24"/>
          <w:highlight w:val="none"/>
          <w:lang w:val="sr-Latn-ME"/>
        </w:rPr>
        <w:t xml:space="preserve"> vrednovaće se na sljedeći način: ukupno 50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Bodovi za parametar ponuđena cijena izračunavaju se na način što se kao osnova za vrednovanje uzima najniža ponuđena cijena, koja dobija maksimalan broj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Maksimalno predviđeni broj bodova je 50.</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Ponuđena cijena će se bodovati na sljedeći način:</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w:t>
      </w:r>
      <w:r>
        <w:rPr>
          <w:rFonts w:hint="default" w:ascii="Arial" w:hAnsi="Arial" w:eastAsia="Calibri"/>
          <w:b w:val="0"/>
          <w:bCs/>
          <w:sz w:val="24"/>
          <w:szCs w:val="24"/>
          <w:highlight w:val="none"/>
          <w:lang w:val="sr-Latn-ME"/>
        </w:rPr>
        <w:tab/>
      </w:r>
      <w:r>
        <w:rPr>
          <w:rFonts w:hint="default" w:ascii="Arial" w:hAnsi="Arial" w:eastAsia="Calibri"/>
          <w:b w:val="0"/>
          <w:bCs/>
          <w:sz w:val="24"/>
          <w:szCs w:val="24"/>
          <w:highlight w:val="none"/>
          <w:lang w:val="sr-Latn-ME"/>
        </w:rPr>
        <w:t>Najniža cijena dobija maksimalni broj bodova (50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w:t>
      </w:r>
      <w:r>
        <w:rPr>
          <w:rFonts w:hint="default" w:ascii="Arial" w:hAnsi="Arial" w:eastAsia="Calibri"/>
          <w:b w:val="0"/>
          <w:bCs/>
          <w:sz w:val="24"/>
          <w:szCs w:val="24"/>
          <w:highlight w:val="none"/>
          <w:lang w:val="sr-Latn-ME"/>
        </w:rPr>
        <w:tab/>
      </w:r>
      <w:r>
        <w:rPr>
          <w:rFonts w:hint="default" w:ascii="Arial" w:hAnsi="Arial" w:eastAsia="Calibri"/>
          <w:b w:val="0"/>
          <w:bCs/>
          <w:sz w:val="24"/>
          <w:szCs w:val="24"/>
          <w:highlight w:val="none"/>
          <w:lang w:val="sr-Latn-ME"/>
        </w:rPr>
        <w:t xml:space="preserve">Ostale ponude će dobiti bodove po sljedećoj formuli: </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           C= (Cmin/ Cp) x 50</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      Cmin – najniža ponuđena cijena </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  Cp   – ponuđena cijena </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bCs w:val="0"/>
          <w:sz w:val="24"/>
          <w:szCs w:val="24"/>
          <w:highlight w:val="none"/>
          <w:lang w:val="sr-Latn-ME"/>
        </w:rPr>
        <w:t>Parametar kvalitet (K)</w:t>
      </w:r>
      <w:r>
        <w:rPr>
          <w:rFonts w:hint="default" w:ascii="Arial" w:hAnsi="Arial" w:eastAsia="Calibri"/>
          <w:b w:val="0"/>
          <w:bCs/>
          <w:sz w:val="24"/>
          <w:szCs w:val="24"/>
          <w:highlight w:val="none"/>
          <w:lang w:val="sr-Latn-ME"/>
        </w:rPr>
        <w:t xml:space="preserve"> – Struktura rukovodećeg kadra i ključno osoblje na projektu: ukupno  50 bodova</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Naručilac je u cilju vrednovanja odredio da se za parametar kvaliteta uvedu dodatni parametri koji će biti bodovani na sljedeći način:</w:t>
      </w:r>
    </w:p>
    <w:p>
      <w:pPr>
        <w:numPr>
          <w:ilvl w:val="0"/>
          <w:numId w:val="0"/>
        </w:numPr>
        <w:spacing w:after="0" w:line="240" w:lineRule="auto"/>
        <w:jc w:val="both"/>
        <w:rPr>
          <w:rFonts w:hint="default" w:ascii="Arial" w:hAnsi="Arial" w:eastAsia="Calibri"/>
          <w:b w:val="0"/>
          <w:bCs/>
          <w:sz w:val="24"/>
          <w:szCs w:val="24"/>
          <w:highlight w:val="none"/>
          <w:lang w:val="sr-Latn-ME"/>
        </w:rPr>
      </w:pPr>
    </w:p>
    <w:p>
      <w:pPr>
        <w:numPr>
          <w:ilvl w:val="0"/>
          <w:numId w:val="0"/>
        </w:num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-Reference rukovodećeg kadra i ključnog osoblja na projektu – ukupno 50 bodova izračunavaju se na način što se kao osnova za vrednovanje uzimaju reference osoblja angažovanog na projektu i to za izvršenje sledećih poslova:</w:t>
      </w:r>
    </w:p>
    <w:p>
      <w:pPr>
        <w:numPr>
          <w:ilvl w:val="0"/>
          <w:numId w:val="0"/>
        </w:numPr>
        <w:spacing w:after="0" w:line="240" w:lineRule="auto"/>
        <w:jc w:val="both"/>
        <w:rPr>
          <w:rFonts w:hint="default" w:ascii="Arial" w:hAnsi="Arial" w:eastAsia="Calibri"/>
          <w:b w:val="0"/>
          <w:bCs/>
          <w:sz w:val="24"/>
          <w:szCs w:val="24"/>
          <w:highlight w:val="none"/>
          <w:lang w:val="sr-Latn-ME"/>
        </w:rPr>
      </w:pPr>
    </w:p>
    <w:p>
      <w:pPr>
        <w:numPr>
          <w:ilvl w:val="0"/>
          <w:numId w:val="6"/>
        </w:num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bCs w:val="0"/>
          <w:sz w:val="24"/>
          <w:szCs w:val="24"/>
          <w:highlight w:val="none"/>
          <w:lang w:val="sr-Latn-ME"/>
        </w:rPr>
        <w:t xml:space="preserve">Vođa tima </w:t>
      </w:r>
      <w:r>
        <w:rPr>
          <w:rFonts w:hint="default" w:ascii="Arial" w:hAnsi="Arial" w:eastAsia="Calibri"/>
          <w:b w:val="0"/>
          <w:bCs/>
          <w:sz w:val="24"/>
          <w:szCs w:val="24"/>
          <w:highlight w:val="none"/>
          <w:lang w:val="sr-Latn-ME"/>
        </w:rPr>
        <w:t xml:space="preserve">– </w:t>
      </w:r>
      <w:r>
        <w:rPr>
          <w:rFonts w:hint="default" w:ascii="Arial" w:hAnsi="Arial" w:eastAsia="Calibri"/>
          <w:b/>
          <w:bCs w:val="0"/>
          <w:sz w:val="24"/>
          <w:szCs w:val="24"/>
          <w:highlight w:val="none"/>
          <w:lang w:val="sr-Latn-ME"/>
        </w:rPr>
        <w:t>poslovni analitičar i projektant informacionog sistema – jedno lice</w:t>
      </w:r>
      <w:r>
        <w:rPr>
          <w:rFonts w:hint="default" w:ascii="Arial" w:hAnsi="Arial" w:eastAsia="Calibri"/>
          <w:b w:val="0"/>
          <w:bCs/>
          <w:sz w:val="24"/>
          <w:szCs w:val="24"/>
          <w:highlight w:val="none"/>
          <w:lang w:val="sr-Latn-ME"/>
        </w:rPr>
        <w:t>, i izračunava se na način što se kao osnova za vrednovanje uzima broj implementiranih projekata gdje je lice učestvovalo kao rukovodilac projekta (najmanje 1 projekat) : ukupno 20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Broj implementiranih projekata u kojima je lice učestvovalo kao rukovodilac projekta će se bodovati na sljedeći način:</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w:t>
      </w:r>
      <w:r>
        <w:rPr>
          <w:rFonts w:hint="default" w:ascii="Arial" w:hAnsi="Arial" w:eastAsia="Calibri"/>
          <w:b w:val="0"/>
          <w:bCs/>
          <w:sz w:val="24"/>
          <w:szCs w:val="24"/>
          <w:highlight w:val="none"/>
          <w:lang w:val="sr-Latn-ME"/>
        </w:rPr>
        <w:tab/>
      </w:r>
      <w:r>
        <w:rPr>
          <w:rFonts w:hint="default" w:ascii="Arial" w:hAnsi="Arial" w:eastAsia="Calibri"/>
          <w:b w:val="0"/>
          <w:bCs/>
          <w:sz w:val="24"/>
          <w:szCs w:val="24"/>
          <w:highlight w:val="none"/>
          <w:lang w:val="sr-Latn-ME"/>
        </w:rPr>
        <w:t>Najveći broj implementiranih projekata u kojima je lice učestvovalo kao rukovodilac projekta dobija maksimalni broj bodova (20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Ostale ponude će dobiti bodove po sljedećoj formuli: </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      </w:t>
      </w:r>
      <w:r>
        <w:rPr>
          <w:rFonts w:hint="default" w:ascii="Arial" w:hAnsi="Arial" w:eastAsia="Calibri"/>
          <w:b w:val="0"/>
          <w:bCs/>
          <w:sz w:val="24"/>
          <w:szCs w:val="24"/>
          <w:highlight w:val="none"/>
          <w:lang w:val="sr-Latn-ME"/>
        </w:rPr>
        <w:tab/>
      </w:r>
      <w:r>
        <w:rPr>
          <w:rFonts w:hint="default" w:ascii="Arial" w:hAnsi="Arial" w:eastAsia="Calibri"/>
          <w:b w:val="0"/>
          <w:bCs/>
          <w:sz w:val="24"/>
          <w:szCs w:val="24"/>
          <w:highlight w:val="none"/>
          <w:lang w:val="sr-Latn-ME"/>
        </w:rPr>
        <w:t>K= (Kp/Kmax) x 20</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Kp –  broj implementiranih projekata ponuđača, u kojima je lice učestvovalo kao rukovodilac projekta (najmanje 1 projekat)</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Kmax – najveći ponuđeni broj implementiranih projekata u kojima je lice učestvovalo kao rukovodilac projekta</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Parametar  se dokazuje prilaganjem potvrde o uspješno izvršenim uslugama u kojima je lice učestvovalo kao rukovodilac projekta tokom prethodnih godina ali ne duže od pet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hint="default" w:ascii="Arial" w:hAnsi="Arial" w:eastAsia="Calibri"/>
          <w:b w:val="0"/>
          <w:bCs/>
          <w:sz w:val="24"/>
          <w:szCs w:val="24"/>
          <w:highlight w:val="none"/>
          <w:lang w:val="sr-Latn-ME"/>
        </w:rPr>
      </w:pPr>
    </w:p>
    <w:p>
      <w:pPr>
        <w:numPr>
          <w:ilvl w:val="0"/>
          <w:numId w:val="6"/>
        </w:numPr>
        <w:spacing w:after="0" w:line="240" w:lineRule="auto"/>
        <w:ind w:left="0" w:leftChars="0" w:firstLine="0" w:firstLineChars="0"/>
        <w:jc w:val="both"/>
        <w:rPr>
          <w:rFonts w:hint="default" w:ascii="Arial" w:hAnsi="Arial" w:eastAsia="Calibri"/>
          <w:b w:val="0"/>
          <w:bCs/>
          <w:sz w:val="24"/>
          <w:szCs w:val="24"/>
          <w:highlight w:val="none"/>
          <w:lang w:val="sr-Latn-ME"/>
        </w:rPr>
      </w:pPr>
      <w:r>
        <w:rPr>
          <w:rFonts w:hint="default" w:ascii="Arial" w:hAnsi="Arial" w:eastAsia="Calibri"/>
          <w:b/>
          <w:bCs w:val="0"/>
          <w:sz w:val="24"/>
          <w:szCs w:val="24"/>
          <w:highlight w:val="none"/>
          <w:lang w:val="sr-Latn-ME"/>
        </w:rPr>
        <w:t xml:space="preserve">Softver programer </w:t>
      </w:r>
      <w:r>
        <w:rPr>
          <w:rFonts w:hint="default" w:ascii="Arial" w:hAnsi="Arial" w:eastAsia="Calibri"/>
          <w:b w:val="0"/>
          <w:bCs/>
          <w:sz w:val="24"/>
          <w:szCs w:val="24"/>
          <w:highlight w:val="none"/>
          <w:lang w:val="sr-Latn-ME"/>
        </w:rPr>
        <w:t>–</w:t>
      </w:r>
      <w:r>
        <w:rPr>
          <w:rFonts w:hint="default" w:ascii="Arial" w:hAnsi="Arial" w:eastAsia="Calibri"/>
          <w:b/>
          <w:bCs w:val="0"/>
          <w:sz w:val="24"/>
          <w:szCs w:val="24"/>
          <w:highlight w:val="none"/>
          <w:lang w:val="sr-Latn-ME"/>
        </w:rPr>
        <w:t xml:space="preserve"> najmanje jedno lice</w:t>
      </w:r>
      <w:r>
        <w:rPr>
          <w:rFonts w:hint="default" w:ascii="Arial" w:hAnsi="Arial" w:eastAsia="Calibri"/>
          <w:b w:val="0"/>
          <w:bCs/>
          <w:sz w:val="24"/>
          <w:szCs w:val="24"/>
          <w:highlight w:val="none"/>
          <w:lang w:val="sr-Latn-ME"/>
        </w:rPr>
        <w:t>, izračunava se na način što se kao osnova za vrednovanje uzima broj projekata na kojima je lice učestvovalo kao softver programer (najmanje 1 projekat): ukupno 15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Najveći broj implementiranih projekata na kojima je dobija maksimalni broj bodova (15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Ostale ponude će dobiti bodove po sljedećoj formuli: </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      </w:t>
      </w:r>
      <w:r>
        <w:rPr>
          <w:rFonts w:hint="default" w:ascii="Arial" w:hAnsi="Arial" w:eastAsia="Calibri"/>
          <w:b w:val="0"/>
          <w:bCs/>
          <w:sz w:val="24"/>
          <w:szCs w:val="24"/>
          <w:highlight w:val="none"/>
          <w:lang w:val="sr-Latn-ME"/>
        </w:rPr>
        <w:tab/>
      </w:r>
      <w:r>
        <w:rPr>
          <w:rFonts w:hint="default" w:ascii="Arial" w:hAnsi="Arial" w:eastAsia="Calibri"/>
          <w:b w:val="0"/>
          <w:bCs/>
          <w:sz w:val="24"/>
          <w:szCs w:val="24"/>
          <w:highlight w:val="none"/>
          <w:lang w:val="sr-Latn-ME"/>
        </w:rPr>
        <w:t>K= (Kp/Kmax) x 15</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Kp –  broj implementiranih projekata (najmanje 1 projekat).</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Kmax – najveći broj ponuđenih implementiranih projekata na kojima je lice učestvovalo kao softver programer</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Parametar se dokazuje prilaganjem potvrde o uspješno izvršenim uslugama u kojima je lice učestvovalo kao ekspert tokom prethodnih godina ali ne duže od pet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hint="default" w:ascii="Arial" w:hAnsi="Arial" w:eastAsia="Calibri"/>
          <w:b w:val="0"/>
          <w:bCs/>
          <w:sz w:val="24"/>
          <w:szCs w:val="24"/>
          <w:highlight w:val="none"/>
          <w:lang w:val="sr-Latn-ME"/>
        </w:rPr>
      </w:pP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bCs w:val="0"/>
          <w:sz w:val="24"/>
          <w:szCs w:val="24"/>
          <w:highlight w:val="none"/>
          <w:lang w:val="sr-Latn-ME"/>
        </w:rPr>
        <w:t>c)Sistem administrator za dizajn sistemske infrastrukture – jedno lice</w:t>
      </w:r>
      <w:r>
        <w:rPr>
          <w:rFonts w:hint="default" w:ascii="Arial" w:hAnsi="Arial" w:eastAsia="Calibri"/>
          <w:b w:val="0"/>
          <w:bCs/>
          <w:sz w:val="24"/>
          <w:szCs w:val="24"/>
          <w:highlight w:val="none"/>
          <w:lang w:val="sr-Latn-ME"/>
        </w:rPr>
        <w:t>, izračunava se na način što se kao osnova za vrednovanje uzima broj projekata na kojima je lice učestvovalo kao Sistem administrator za dizajn sistemske infrastrukture u posljednjih 5 godina (najmanje 1 projekat): ukupno 15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Broj implementiranih projekata  na kojima je lice učestvovalo kao Sistem administrator za dizajn sistemske infrastrukture će se bodovati na sljedeći način:</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w:t>
      </w:r>
      <w:r>
        <w:rPr>
          <w:rFonts w:hint="default" w:ascii="Arial" w:hAnsi="Arial" w:eastAsia="Calibri"/>
          <w:b w:val="0"/>
          <w:bCs/>
          <w:sz w:val="24"/>
          <w:szCs w:val="24"/>
          <w:highlight w:val="none"/>
          <w:lang w:val="sr-Latn-ME"/>
        </w:rPr>
        <w:tab/>
      </w:r>
      <w:r>
        <w:rPr>
          <w:rFonts w:hint="default" w:ascii="Arial" w:hAnsi="Arial" w:eastAsia="Calibri"/>
          <w:b w:val="0"/>
          <w:bCs/>
          <w:sz w:val="24"/>
          <w:szCs w:val="24"/>
          <w:highlight w:val="none"/>
          <w:lang w:val="sr-Latn-ME"/>
        </w:rPr>
        <w:t>Najveći broj implementiranih projekata na kojima je lice učestvovalo kao Sistem administrator za dizajn sistemske infrastrukture dobija maksimalni broj bodova (15 bodova)</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Ostale ponude će dobiti bodove po sljedećoj formuli: </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 xml:space="preserve">      </w:t>
      </w:r>
      <w:r>
        <w:rPr>
          <w:rFonts w:hint="default" w:ascii="Arial" w:hAnsi="Arial" w:eastAsia="Calibri"/>
          <w:b w:val="0"/>
          <w:bCs/>
          <w:sz w:val="24"/>
          <w:szCs w:val="24"/>
          <w:highlight w:val="none"/>
          <w:lang w:val="sr-Latn-ME"/>
        </w:rPr>
        <w:tab/>
      </w:r>
      <w:r>
        <w:rPr>
          <w:rFonts w:hint="default" w:ascii="Arial" w:hAnsi="Arial" w:eastAsia="Calibri"/>
          <w:b w:val="0"/>
          <w:bCs/>
          <w:sz w:val="24"/>
          <w:szCs w:val="24"/>
          <w:highlight w:val="none"/>
          <w:lang w:val="sr-Latn-ME"/>
        </w:rPr>
        <w:t>K= (Kp/Kmax) x 15</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Kp –  broj implementiranih projekata ponuđača, na kojima je lice učestvovalo Sistem administrator za dizajn sistemske infrastrukture (najmanje 1)</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Kmax – najveći broj ponuđenih implementiranih projekata na kojima je lice učestvovalo kao Sistem administrator za dizajn sistemske infrastrukture</w:t>
      </w:r>
    </w:p>
    <w:p>
      <w:pPr>
        <w:spacing w:after="0" w:line="240" w:lineRule="auto"/>
        <w:jc w:val="both"/>
        <w:rPr>
          <w:rFonts w:hint="default" w:ascii="Arial" w:hAnsi="Arial" w:eastAsia="Calibri"/>
          <w:b w:val="0"/>
          <w:bCs/>
          <w:sz w:val="24"/>
          <w:szCs w:val="24"/>
          <w:highlight w:val="none"/>
          <w:lang w:val="sr-Latn-ME"/>
        </w:rPr>
      </w:pPr>
      <w:r>
        <w:rPr>
          <w:rFonts w:hint="default" w:ascii="Arial" w:hAnsi="Arial" w:eastAsia="Calibri"/>
          <w:b w:val="0"/>
          <w:bCs/>
          <w:sz w:val="24"/>
          <w:szCs w:val="24"/>
          <w:highlight w:val="none"/>
          <w:lang w:val="sr-Latn-ME"/>
        </w:rPr>
        <w:t>Parametar se dokazuje prilaganjem potvrde o uspješno izvršenim uslugama u implementiranju projekata u kojima je lice učestvovalo kao Sistem administrator za dizajn sistemske infrastrukture, tokom prethodnih godina ali ne duže od pet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hint="default" w:ascii="Arial" w:hAnsi="Arial" w:eastAsia="Calibri"/>
          <w:b/>
          <w:sz w:val="24"/>
          <w:szCs w:val="24"/>
          <w:highlight w:val="none"/>
          <w:lang w:val="sr-Latn-ME"/>
        </w:rPr>
      </w:pPr>
    </w:p>
    <w:p>
      <w:pPr>
        <w:spacing w:after="0" w:line="240" w:lineRule="auto"/>
        <w:jc w:val="both"/>
        <w:rPr>
          <w:rFonts w:ascii="Arial" w:hAnsi="Arial" w:eastAsia="Calibri" w:cs="Arial"/>
          <w:b w:val="0"/>
          <w:bCs/>
          <w:sz w:val="24"/>
          <w:szCs w:val="24"/>
          <w:highlight w:val="none"/>
          <w:lang w:val="sr-Latn-ME"/>
        </w:rPr>
      </w:pPr>
      <w:r>
        <w:rPr>
          <w:rFonts w:ascii="Arial" w:hAnsi="Arial" w:eastAsia="Calibri" w:cs="Arial"/>
          <w:b/>
          <w:sz w:val="24"/>
          <w:szCs w:val="24"/>
          <w:highlight w:val="none"/>
          <w:lang w:val="sr-Latn-ME"/>
        </w:rPr>
        <w:t xml:space="preserve">Napomena: </w:t>
      </w:r>
      <w:r>
        <w:rPr>
          <w:rFonts w:ascii="Arial" w:hAnsi="Arial" w:eastAsia="Calibri" w:cs="Arial"/>
          <w:b w:val="0"/>
          <w:bCs/>
          <w:sz w:val="24"/>
          <w:szCs w:val="24"/>
          <w:highlight w:val="none"/>
          <w:lang w:val="sr-Latn-ME"/>
        </w:rPr>
        <w:t xml:space="preserve">U skladu sa Pravilnikom o metodologiji načina vrednovanja ponuda u postupku javnih nabavki, vrednovanje će se vršiti za ponuđene parametre iznad predviđenih minimalnih zahtjeva stručne i tehničke osposobljenosti. </w:t>
      </w:r>
    </w:p>
    <w:p>
      <w:pPr>
        <w:spacing w:after="0"/>
        <w:jc w:val="both"/>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bookmarkStart w:id="6" w:name="_Toc62730561"/>
      <w:r>
        <w:rPr>
          <w:rFonts w:ascii="Arial" w:hAnsi="Arial" w:eastAsia="Calibri" w:cs="Arial"/>
          <w:sz w:val="24"/>
          <w:szCs w:val="24"/>
          <w:lang w:val="sr-Latn-CS" w:eastAsia="zh-CN"/>
        </w:rPr>
        <w:t>- tehničke karakteristike u dijelu opisa predmeta nabavke, koje je Naručilac naveo na engleskom jeziku.</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Arial" w:hAnsi="Arial" w:eastAsia="Calibri" w:cs="Arial"/>
          <w:sz w:val="24"/>
          <w:szCs w:val="24"/>
        </w:rPr>
        <w:t xml:space="preserve">- traženi </w:t>
      </w:r>
      <w:r>
        <w:rPr>
          <w:rFonts w:ascii="Arial" w:hAnsi="Arial" w:eastAsia="Times New Roman" w:cs="Arial"/>
          <w:sz w:val="24"/>
          <w:szCs w:val="24"/>
          <w:lang w:val="sr-Latn-CS" w:eastAsia="sr-Latn-CS"/>
        </w:rPr>
        <w:t xml:space="preserve">sertifikati u pogledu ispunjavanja uslova stručno - tehničke sposobnosti  mogu </w:t>
      </w:r>
      <w:r>
        <w:rPr>
          <w:rFonts w:ascii="Arial" w:hAnsi="Arial" w:eastAsia="Calibri" w:cs="Arial"/>
          <w:sz w:val="24"/>
          <w:szCs w:val="24"/>
        </w:rPr>
        <w:t>biti na engleskom jeziku.</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8. NAČIN, MJESTO I VRIJEME PODNOŠENJA PONUDA I OTVARANJA PONUDA</w:t>
      </w:r>
      <w:bookmarkEnd w:id="6"/>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Ponude se podnose preko ESJN-a zaključno sa danom </w:t>
      </w:r>
      <w:r>
        <w:rPr>
          <w:rFonts w:hint="default" w:ascii="Arial" w:hAnsi="Arial" w:eastAsia="Times New Roman" w:cs="Arial"/>
          <w:color w:val="000000"/>
          <w:sz w:val="24"/>
          <w:szCs w:val="24"/>
          <w:highlight w:val="none"/>
          <w:lang w:val="sr-Latn-ME"/>
        </w:rPr>
        <w:t>12.05</w:t>
      </w:r>
      <w:r>
        <w:rPr>
          <w:rFonts w:ascii="Arial" w:hAnsi="Arial" w:eastAsia="Times New Roman" w:cs="Arial"/>
          <w:color w:val="000000"/>
          <w:sz w:val="24"/>
          <w:szCs w:val="24"/>
          <w:highlight w:val="none"/>
          <w:lang w:val="sr-Latn-ME"/>
        </w:rPr>
        <w:t>.202</w:t>
      </w:r>
      <w:r>
        <w:rPr>
          <w:rFonts w:hint="default" w:ascii="Arial" w:hAnsi="Arial" w:eastAsia="Times New Roman" w:cs="Arial"/>
          <w:color w:val="000000"/>
          <w:sz w:val="24"/>
          <w:szCs w:val="24"/>
          <w:highlight w:val="none"/>
          <w:lang w:val="sr-Latn-ME"/>
        </w:rPr>
        <w:t>6</w:t>
      </w:r>
      <w:r>
        <w:rPr>
          <w:rFonts w:ascii="Arial" w:hAnsi="Arial" w:eastAsia="Times New Roman" w:cs="Arial"/>
          <w:color w:val="000000"/>
          <w:sz w:val="24"/>
          <w:szCs w:val="24"/>
          <w:highlight w:val="none"/>
          <w:lang w:val="sr-Latn-ME"/>
        </w:rPr>
        <w:t>. godine do 1</w:t>
      </w:r>
      <w:r>
        <w:rPr>
          <w:rFonts w:hint="default" w:ascii="Arial" w:hAnsi="Arial" w:eastAsia="Times New Roman" w:cs="Arial"/>
          <w:color w:val="000000"/>
          <w:sz w:val="24"/>
          <w:szCs w:val="24"/>
          <w:highlight w:val="none"/>
          <w:lang w:val="sr-Latn-RS"/>
        </w:rPr>
        <w:t>3</w:t>
      </w:r>
      <w:r>
        <w:rPr>
          <w:rFonts w:ascii="Arial" w:hAnsi="Arial" w:eastAsia="Times New Roman" w:cs="Arial"/>
          <w:color w:val="000000"/>
          <w:sz w:val="24"/>
          <w:szCs w:val="24"/>
          <w:highlight w:val="none"/>
          <w:lang w:val="sr-Latn-ME"/>
        </w:rPr>
        <w:t>:00 sati.</w:t>
      </w:r>
    </w:p>
    <w:p>
      <w:pPr>
        <w:spacing w:after="0" w:line="240" w:lineRule="auto"/>
        <w:jc w:val="both"/>
        <w:rPr>
          <w:rFonts w:ascii="Arial" w:hAnsi="Arial" w:eastAsia="Times New Roman" w:cs="Arial"/>
          <w:b/>
          <w:bCs/>
          <w:i/>
          <w:iCs/>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Otvaranje ponuda održaće se dana </w:t>
      </w:r>
      <w:r>
        <w:rPr>
          <w:rFonts w:hint="default" w:ascii="Arial" w:hAnsi="Arial" w:eastAsia="Times New Roman" w:cs="Arial"/>
          <w:color w:val="000000"/>
          <w:sz w:val="24"/>
          <w:szCs w:val="24"/>
          <w:highlight w:val="none"/>
          <w:lang w:val="sr-Latn-ME"/>
        </w:rPr>
        <w:t>12.05</w:t>
      </w:r>
      <w:r>
        <w:rPr>
          <w:rFonts w:hint="default" w:ascii="Arial" w:hAnsi="Arial" w:eastAsia="Times New Roman" w:cs="Arial"/>
          <w:color w:val="000000"/>
          <w:sz w:val="24"/>
          <w:szCs w:val="24"/>
          <w:highlight w:val="none"/>
          <w:lang w:val="sr-Latn-RS"/>
        </w:rPr>
        <w:t>.202</w:t>
      </w:r>
      <w:r>
        <w:rPr>
          <w:rFonts w:hint="default" w:ascii="Arial" w:hAnsi="Arial" w:eastAsia="Times New Roman" w:cs="Arial"/>
          <w:color w:val="000000"/>
          <w:sz w:val="24"/>
          <w:szCs w:val="24"/>
          <w:highlight w:val="none"/>
          <w:lang w:val="sr-Latn-ME"/>
        </w:rPr>
        <w:t>6</w:t>
      </w:r>
      <w:r>
        <w:rPr>
          <w:rFonts w:ascii="Arial" w:hAnsi="Arial" w:eastAsia="Times New Roman" w:cs="Arial"/>
          <w:color w:val="000000"/>
          <w:sz w:val="24"/>
          <w:szCs w:val="24"/>
          <w:highlight w:val="none"/>
          <w:lang w:val="sr-Latn-ME"/>
        </w:rPr>
        <w:t>. godine u 1</w:t>
      </w:r>
      <w:r>
        <w:rPr>
          <w:rFonts w:hint="default" w:ascii="Arial" w:hAnsi="Arial" w:eastAsia="Times New Roman" w:cs="Arial"/>
          <w:color w:val="000000"/>
          <w:sz w:val="24"/>
          <w:szCs w:val="24"/>
          <w:highlight w:val="none"/>
          <w:lang w:val="sr-Latn-RS"/>
        </w:rPr>
        <w:t>3</w:t>
      </w:r>
      <w:r>
        <w:rPr>
          <w:rFonts w:ascii="Arial" w:hAnsi="Arial" w:eastAsia="Times New Roman" w:cs="Arial"/>
          <w:color w:val="000000"/>
          <w:sz w:val="24"/>
          <w:szCs w:val="24"/>
          <w:highlight w:val="none"/>
          <w:lang w:val="sr-Latn-ME"/>
        </w:rPr>
        <w:t xml:space="preserve">:00 sati. </w:t>
      </w:r>
    </w:p>
    <w:p>
      <w:pPr>
        <w:spacing w:after="0" w:line="240" w:lineRule="auto"/>
        <w:jc w:val="both"/>
        <w:rPr>
          <w:rFonts w:ascii="Arial" w:hAnsi="Arial" w:eastAsia="Times New Roman" w:cs="Arial"/>
          <w:color w:val="000000"/>
          <w:sz w:val="24"/>
          <w:szCs w:val="24"/>
          <w:highlight w:val="none"/>
          <w:lang w:val="sr-Latn-ME"/>
        </w:rPr>
      </w:pP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highlight w:val="none"/>
          <w:lang w:val="sr-Latn-ME"/>
        </w:rPr>
        <w:t>dužan je da putem ESJN dostavi kopiju garancije ponude, a da original garancije ponude dostavi, odnosno uruči naručiocu</w:t>
      </w:r>
      <w:r>
        <w:rPr>
          <w:rFonts w:ascii="Arial" w:hAnsi="Arial" w:eastAsia="Times New Roman" w:cs="Arial"/>
          <w:color w:val="000000"/>
          <w:sz w:val="24"/>
          <w:szCs w:val="24"/>
          <w:highlight w:val="none"/>
          <w:lang w:val="sr-Latn-ME"/>
        </w:rPr>
        <w:t>:</w:t>
      </w:r>
    </w:p>
    <w:p>
      <w:pPr>
        <w:pStyle w:val="14"/>
        <w:numPr>
          <w:ilvl w:val="0"/>
          <w:numId w:val="7"/>
        </w:numPr>
        <w:spacing w:after="0" w:line="240" w:lineRule="auto"/>
        <w:jc w:val="both"/>
        <w:rPr>
          <w:rFonts w:ascii="Arial" w:hAnsi="Arial" w:eastAsia="Times New Roman" w:cs="Arial"/>
          <w:sz w:val="24"/>
          <w:szCs w:val="24"/>
          <w:highlight w:val="none"/>
          <w:lang w:val="sr-Latn-ME"/>
        </w:rPr>
      </w:pPr>
      <w:r>
        <w:rPr>
          <w:rFonts w:ascii="Arial" w:hAnsi="Arial" w:eastAsia="Times New Roman" w:cs="Arial"/>
          <w:color w:val="000000"/>
          <w:sz w:val="24"/>
          <w:szCs w:val="24"/>
          <w:highlight w:val="none"/>
          <w:lang w:val="sr-Latn-ME"/>
        </w:rPr>
        <w:t xml:space="preserve">neposrednom predajom na arhivi naručioca na adresi </w:t>
      </w:r>
      <w:r>
        <w:rPr>
          <w:rFonts w:ascii="Arial" w:hAnsi="Arial" w:eastAsia="Calibri" w:cs="Arial"/>
          <w:color w:val="000000"/>
          <w:sz w:val="24"/>
          <w:szCs w:val="24"/>
          <w:highlight w:val="none"/>
          <w:lang w:val="sr-Latn-ME"/>
        </w:rPr>
        <w:t xml:space="preserve">Bulevar </w:t>
      </w:r>
      <w:r>
        <w:rPr>
          <w:rFonts w:ascii="Arial" w:hAnsi="Arial" w:eastAsia="Times New Roman" w:cs="Arial"/>
          <w:sz w:val="24"/>
          <w:szCs w:val="24"/>
          <w:highlight w:val="none"/>
          <w:lang w:val="sr-Latn-ME"/>
        </w:rPr>
        <w:t>Stanka Dragojevića br. 2, ili</w:t>
      </w:r>
    </w:p>
    <w:p>
      <w:pPr>
        <w:pStyle w:val="14"/>
        <w:numPr>
          <w:ilvl w:val="0"/>
          <w:numId w:val="7"/>
        </w:num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putem pošte preporučenom pošiljkom sa povratnicom </w:t>
      </w:r>
      <w:r>
        <w:rPr>
          <w:rFonts w:ascii="Arial" w:hAnsi="Arial" w:eastAsia="Calibri" w:cs="Arial"/>
          <w:color w:val="000000"/>
          <w:sz w:val="24"/>
          <w:szCs w:val="24"/>
          <w:highlight w:val="none"/>
          <w:lang w:val="sr-Latn-ME"/>
        </w:rPr>
        <w:t xml:space="preserve">na adresi Bulevar </w:t>
      </w:r>
      <w:r>
        <w:rPr>
          <w:rFonts w:ascii="Arial" w:hAnsi="Arial" w:eastAsia="Times New Roman" w:cs="Arial"/>
          <w:sz w:val="24"/>
          <w:szCs w:val="24"/>
          <w:highlight w:val="none"/>
          <w:lang w:val="sr-Latn-ME"/>
        </w:rPr>
        <w:t xml:space="preserve">Stanka Dragojevića br. 2, </w:t>
      </w:r>
    </w:p>
    <w:p>
      <w:pPr>
        <w:spacing w:after="0" w:line="240" w:lineRule="auto"/>
        <w:jc w:val="both"/>
        <w:rPr>
          <w:rFonts w:ascii="Arial" w:hAnsi="Arial" w:eastAsia="Times New Roman" w:cs="Arial"/>
          <w:color w:val="000000"/>
          <w:sz w:val="24"/>
          <w:szCs w:val="24"/>
          <w:highlight w:val="none"/>
          <w:lang w:val="sr-Latn-ME"/>
        </w:rPr>
      </w:pPr>
      <w:r>
        <w:rPr>
          <w:rFonts w:ascii="Arial" w:hAnsi="Arial" w:eastAsia="Times New Roman" w:cs="Arial"/>
          <w:color w:val="000000"/>
          <w:sz w:val="24"/>
          <w:szCs w:val="24"/>
          <w:highlight w:val="none"/>
          <w:lang w:val="sr-Latn-ME"/>
        </w:rPr>
        <w:t xml:space="preserve">radnim danima od 8:00 do 14:00 sati, zaključno sa danom </w:t>
      </w:r>
      <w:r>
        <w:rPr>
          <w:rFonts w:hint="default" w:ascii="Arial" w:hAnsi="Arial" w:eastAsia="Times New Roman" w:cs="Arial"/>
          <w:color w:val="000000"/>
          <w:sz w:val="24"/>
          <w:szCs w:val="24"/>
          <w:highlight w:val="none"/>
          <w:lang w:val="sr-Latn-ME"/>
        </w:rPr>
        <w:t>12</w:t>
      </w:r>
      <w:bookmarkStart w:id="16" w:name="_GoBack"/>
      <w:bookmarkEnd w:id="16"/>
      <w:r>
        <w:rPr>
          <w:rFonts w:hint="default" w:ascii="Arial" w:hAnsi="Arial" w:eastAsia="Times New Roman" w:cs="Arial"/>
          <w:color w:val="000000"/>
          <w:sz w:val="24"/>
          <w:szCs w:val="24"/>
          <w:highlight w:val="none"/>
          <w:lang w:val="sr-Latn-RS"/>
        </w:rPr>
        <w:t>.0</w:t>
      </w:r>
      <w:r>
        <w:rPr>
          <w:rFonts w:hint="default" w:ascii="Arial" w:hAnsi="Arial" w:eastAsia="Times New Roman" w:cs="Arial"/>
          <w:color w:val="000000"/>
          <w:sz w:val="24"/>
          <w:szCs w:val="24"/>
          <w:highlight w:val="none"/>
          <w:lang w:val="sr-Latn-ME"/>
        </w:rPr>
        <w:t>5</w:t>
      </w:r>
      <w:r>
        <w:rPr>
          <w:rFonts w:hint="default" w:ascii="Arial" w:hAnsi="Arial" w:eastAsia="Times New Roman" w:cs="Arial"/>
          <w:color w:val="000000"/>
          <w:sz w:val="24"/>
          <w:szCs w:val="24"/>
          <w:highlight w:val="none"/>
          <w:lang w:val="sr-Latn-RS"/>
        </w:rPr>
        <w:t>.202</w:t>
      </w:r>
      <w:r>
        <w:rPr>
          <w:rFonts w:hint="default" w:ascii="Arial" w:hAnsi="Arial" w:eastAsia="Times New Roman" w:cs="Arial"/>
          <w:color w:val="000000"/>
          <w:sz w:val="24"/>
          <w:szCs w:val="24"/>
          <w:highlight w:val="none"/>
          <w:lang w:val="sr-Latn-ME"/>
        </w:rPr>
        <w:t>6</w:t>
      </w:r>
      <w:r>
        <w:rPr>
          <w:rFonts w:ascii="Arial" w:hAnsi="Arial" w:eastAsia="Times New Roman" w:cs="Arial"/>
          <w:color w:val="000000"/>
          <w:sz w:val="24"/>
          <w:szCs w:val="24"/>
          <w:highlight w:val="none"/>
          <w:lang w:val="sr-Latn-ME"/>
        </w:rPr>
        <w:t xml:space="preserve">. godine </w:t>
      </w:r>
      <w:r>
        <w:rPr>
          <w:rFonts w:ascii="Arial" w:hAnsi="Arial" w:eastAsia="Times New Roman" w:cs="Arial"/>
          <w:b/>
          <w:color w:val="000000"/>
          <w:sz w:val="24"/>
          <w:szCs w:val="24"/>
          <w:highlight w:val="none"/>
          <w:lang w:val="sr-Latn-ME"/>
        </w:rPr>
        <w:t>najkasnije prije isteka roka za podnošenje ponuda</w:t>
      </w:r>
      <w:r>
        <w:rPr>
          <w:rFonts w:ascii="Arial" w:hAnsi="Arial" w:eastAsia="Times New Roman" w:cs="Arial"/>
          <w:color w:val="000000"/>
          <w:sz w:val="24"/>
          <w:szCs w:val="24"/>
          <w:highlight w:val="none"/>
          <w:lang w:val="sr-Latn-ME"/>
        </w:rPr>
        <w:t xml:space="preserve"> (do 1</w:t>
      </w:r>
      <w:r>
        <w:rPr>
          <w:rFonts w:hint="default" w:ascii="Arial" w:hAnsi="Arial" w:eastAsia="Times New Roman" w:cs="Arial"/>
          <w:color w:val="000000"/>
          <w:sz w:val="24"/>
          <w:szCs w:val="24"/>
          <w:highlight w:val="none"/>
          <w:lang w:val="sr-Latn-RS"/>
        </w:rPr>
        <w:t>3</w:t>
      </w:r>
      <w:r>
        <w:rPr>
          <w:rFonts w:ascii="Arial" w:hAnsi="Arial" w:eastAsia="Times New Roman" w:cs="Arial"/>
          <w:color w:val="000000"/>
          <w:sz w:val="24"/>
          <w:szCs w:val="24"/>
          <w:highlight w:val="none"/>
          <w:lang w:val="sr-Latn-ME"/>
        </w:rPr>
        <w:t>:00 sati).</w:t>
      </w:r>
    </w:p>
    <w:p>
      <w:pPr>
        <w:spacing w:after="0" w:line="240" w:lineRule="auto"/>
        <w:rPr>
          <w:rFonts w:ascii="Arial" w:hAnsi="Arial" w:eastAsia="Times New Roman" w:cs="Arial"/>
          <w:i/>
          <w:iCs/>
          <w:color w:val="000000"/>
          <w:sz w:val="24"/>
          <w:szCs w:val="24"/>
          <w:highlight w:val="none"/>
          <w:lang w:val="sr-Latn-ME"/>
        </w:rPr>
      </w:pPr>
    </w:p>
    <w:p>
      <w:pPr>
        <w:spacing w:after="0" w:line="240" w:lineRule="auto"/>
        <w:jc w:val="both"/>
        <w:rPr>
          <w:rFonts w:ascii="Arial" w:hAnsi="Arial" w:eastAsia="Calibri" w:cs="Arial"/>
          <w:sz w:val="24"/>
          <w:szCs w:val="24"/>
          <w:highlight w:val="none"/>
          <w:lang w:val="sr-Latn-CS"/>
        </w:rPr>
      </w:pPr>
      <w:r>
        <w:rPr>
          <w:rFonts w:ascii="Arial" w:hAnsi="Arial" w:eastAsia="Times New Roman" w:cs="Arial"/>
          <w:color w:val="000000"/>
          <w:sz w:val="24"/>
          <w:szCs w:val="24"/>
          <w:highlight w:val="none"/>
          <w:lang w:val="sr-Latn-ME"/>
        </w:rPr>
        <w:t xml:space="preserve">Original garancije ponude u pisanom obliku dostavlja se u koverti, na kojoj se navodi: naziv i sjedište naručioca, </w:t>
      </w:r>
      <w:r>
        <w:rPr>
          <w:rFonts w:ascii="Arial" w:hAnsi="Arial" w:eastAsia="Calibri" w:cs="Arial"/>
          <w:sz w:val="24"/>
          <w:szCs w:val="24"/>
          <w:highlight w:val="none"/>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8" w:name="_Toc62730563"/>
      <w:r>
        <w:rPr>
          <w:rFonts w:ascii="Arial" w:hAnsi="Arial" w:eastAsia="Times New Roman" w:cs="Times New Roman"/>
          <w:b/>
          <w:sz w:val="24"/>
          <w:szCs w:val="32"/>
          <w:lang w:val="sr-Latn-ME"/>
        </w:rPr>
        <w:t>10. TAJNOST PODATAKA</w:t>
      </w:r>
      <w:bookmarkEnd w:id="8"/>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4"/>
      <w:r>
        <w:rPr>
          <w:rFonts w:ascii="Arial" w:hAnsi="Arial" w:eastAsia="Times New Roman" w:cs="Times New Roman"/>
          <w:b/>
          <w:sz w:val="24"/>
          <w:szCs w:val="32"/>
          <w:lang w:val="sr-Latn-ME"/>
        </w:rPr>
        <w:t>11. UPUTSTVO ZA SAČINJAVANJE PONUDE</w:t>
      </w:r>
      <w:bookmarkEnd w:id="9"/>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0" w:name="_Toc62730565"/>
      <w:r>
        <w:rPr>
          <w:rFonts w:ascii="Arial" w:hAnsi="Arial" w:eastAsia="Times New Roman" w:cs="Times New Roman"/>
          <w:b/>
          <w:sz w:val="24"/>
          <w:szCs w:val="32"/>
          <w:lang w:val="sr-Latn-ME"/>
        </w:rPr>
        <w:t>12. NAČIN ZAKLJUČIVANJA I IZMJENE UGOVORA O JAVNOJ NABAVCI</w:t>
      </w:r>
      <w:bookmarkEnd w:id="10"/>
    </w:p>
    <w:p>
      <w:pPr>
        <w:spacing w:after="0" w:line="240" w:lineRule="auto"/>
        <w:jc w:val="both"/>
        <w:rPr>
          <w:rFonts w:ascii="Arial" w:hAnsi="Arial" w:eastAsia="Times New Roman" w:cs="Arial"/>
          <w:i/>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eastAsia="Calibri" w:cs="Arial"/>
          <w:sz w:val="24"/>
          <w:szCs w:val="24"/>
          <w:lang w:val="sr-Latn-ME"/>
        </w:rPr>
      </w:pPr>
      <w:r>
        <w:rPr>
          <w:rFonts w:ascii="Arial" w:hAnsi="Arial" w:eastAsia="Calibri" w:cs="Arial"/>
          <w:sz w:val="24"/>
          <w:szCs w:val="24"/>
          <w:lang w:val="sr-Latn-ME"/>
        </w:rPr>
        <w:t>Ugovor o javnoj nabavci mora da bude u skladu sa uslovima utvrđenim tenderskom dokumentacijom, izabranom ponudom i odlukom o izboru najpovoljnije ponude, osim u pogledu iskazivanja PDV-a.</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Ugovor između naručioca i ponuđača čija je ponuda izabrana kao najpovoljnija, pored uslova koji su propisani ovom tenderskom dokumentacijom, će sadržati i sljedeće:</w:t>
      </w:r>
      <w:r>
        <w:rPr>
          <w:rFonts w:ascii="Arial" w:hAnsi="Arial" w:eastAsia="Calibri" w:cs="Arial"/>
          <w:color w:val="000000"/>
          <w:sz w:val="24"/>
          <w:szCs w:val="24"/>
          <w:vertAlign w:val="superscript"/>
          <w:lang w:val="sr-Latn-ME"/>
        </w:rPr>
        <w:footnoteReference w:id="7"/>
      </w:r>
    </w:p>
    <w:p>
      <w:pPr>
        <w:numPr>
          <w:ilvl w:val="0"/>
          <w:numId w:val="8"/>
        </w:numPr>
        <w:spacing w:after="0" w:line="240" w:lineRule="auto"/>
        <w:ind w:left="720" w:hanging="360"/>
        <w:contextualSpacing/>
        <w:jc w:val="both"/>
        <w:rPr>
          <w:rFonts w:ascii="Arial" w:hAnsi="Arial" w:eastAsia="Calibri" w:cs="Arial"/>
          <w:color w:val="000000"/>
          <w:sz w:val="24"/>
          <w:szCs w:val="24"/>
          <w:lang w:val="sr-Latn-ME" w:eastAsia="sr-Latn-ME" w:bidi="ar-SA"/>
        </w:rPr>
      </w:pPr>
      <w:r>
        <w:rPr>
          <w:rFonts w:ascii="Arial" w:hAnsi="Arial" w:eastAsia="Calibri" w:cs="Arial"/>
          <w:color w:val="000000"/>
          <w:sz w:val="24"/>
          <w:szCs w:val="24"/>
          <w:lang w:val="sr-Latn-ME" w:eastAsia="sr-Latn-ME" w:bidi="ar-SA"/>
        </w:rPr>
        <w:t xml:space="preserve">Ugovor  se može raskinuti sporazumno ili po zahtjevu jedne od Ugovornih strana. </w:t>
      </w:r>
    </w:p>
    <w:p>
      <w:pPr>
        <w:numPr>
          <w:ilvl w:val="0"/>
          <w:numId w:val="8"/>
        </w:numPr>
        <w:spacing w:after="0" w:line="240" w:lineRule="auto"/>
        <w:ind w:left="720" w:hanging="360"/>
        <w:contextualSpacing/>
        <w:jc w:val="both"/>
        <w:rPr>
          <w:rFonts w:ascii="Arial" w:hAnsi="Arial" w:eastAsia="Calibri" w:cs="Arial"/>
          <w:color w:val="000000"/>
          <w:sz w:val="24"/>
          <w:szCs w:val="24"/>
          <w:lang w:val="sr-Latn-ME" w:eastAsia="sr-Latn-ME" w:bidi="ar-SA"/>
        </w:rPr>
      </w:pPr>
      <w:r>
        <w:rPr>
          <w:rFonts w:ascii="Arial" w:hAnsi="Arial" w:eastAsia="Calibri" w:cs="Arial"/>
          <w:color w:val="000000"/>
          <w:sz w:val="24"/>
          <w:szCs w:val="24"/>
          <w:lang w:val="sr-Latn-ME" w:eastAsia="sr-Latn-ME" w:bidi="ar-SA"/>
        </w:rPr>
        <w:t>Ako strane ugovora sporazumno raskinu Ugovor, sporazumom o raskidu ugovora utvrđuju se međusobna prava i obaveze koje proističu iz raskida Ugovora.</w:t>
      </w:r>
    </w:p>
    <w:p>
      <w:pPr>
        <w:numPr>
          <w:ilvl w:val="0"/>
          <w:numId w:val="8"/>
        </w:numPr>
        <w:spacing w:after="0" w:line="240" w:lineRule="auto"/>
        <w:ind w:left="720" w:hanging="360"/>
        <w:contextualSpacing/>
        <w:jc w:val="both"/>
        <w:rPr>
          <w:rFonts w:ascii="Arial" w:hAnsi="Arial" w:eastAsia="Calibri" w:cs="Arial"/>
          <w:color w:val="000000"/>
          <w:sz w:val="24"/>
          <w:szCs w:val="24"/>
          <w:lang w:val="sr-Latn-ME" w:eastAsia="sr-Latn-ME" w:bidi="ar-SA"/>
        </w:rPr>
      </w:pPr>
      <w:r>
        <w:rPr>
          <w:rFonts w:ascii="Arial" w:hAnsi="Arial" w:eastAsia="Calibri" w:cs="Arial"/>
          <w:color w:val="000000"/>
          <w:sz w:val="24"/>
          <w:szCs w:val="24"/>
          <w:lang w:val="sr-Latn-ME" w:eastAsia="sr-Latn-ME" w:bidi="ar-SA"/>
        </w:rPr>
        <w:t>U slučaju jednostranog raskida Ugovora, Ugovor će se raskinuti pisanim obavještenjem sa otkaznim rokom od 15 (petnaest) dana koje se dostavlja drugoj Ugovornoj strani. U obavještenju mora biti naznačeno po kom osnovu se Ugovor raskida.</w:t>
      </w:r>
    </w:p>
    <w:p>
      <w:pPr>
        <w:numPr>
          <w:ilvl w:val="0"/>
          <w:numId w:val="8"/>
        </w:numPr>
        <w:spacing w:after="0" w:line="240" w:lineRule="auto"/>
        <w:ind w:left="720" w:hanging="360"/>
        <w:contextualSpacing/>
        <w:jc w:val="both"/>
        <w:rPr>
          <w:rFonts w:ascii="Arial" w:hAnsi="Arial" w:eastAsia="Calibri" w:cs="Arial"/>
          <w:color w:val="000000"/>
          <w:sz w:val="24"/>
          <w:szCs w:val="24"/>
          <w:lang w:val="sr-Latn-ME" w:eastAsia="sr-Latn-ME" w:bidi="ar-SA"/>
        </w:rPr>
      </w:pPr>
      <w:r>
        <w:rPr>
          <w:rFonts w:ascii="Arial" w:hAnsi="Arial" w:eastAsia="Calibri" w:cs="Arial"/>
          <w:color w:val="000000"/>
          <w:sz w:val="24"/>
          <w:szCs w:val="24"/>
          <w:lang w:val="sr-Latn-ME" w:eastAsia="sr-Latn-ME" w:bidi="ar-SA"/>
        </w:rPr>
        <w:t>Naručilac će jednostrano raskinuti Ugovor u slučaju da:</w:t>
      </w:r>
    </w:p>
    <w:p>
      <w:pPr>
        <w:numPr>
          <w:ilvl w:val="0"/>
          <w:numId w:val="9"/>
        </w:numPr>
        <w:spacing w:after="0" w:line="240" w:lineRule="auto"/>
        <w:ind w:left="720" w:hanging="360"/>
        <w:jc w:val="both"/>
        <w:rPr>
          <w:rFonts w:ascii="Arial" w:hAnsi="Arial" w:eastAsia="Calibri" w:cs="Arial"/>
          <w:color w:val="000000"/>
          <w:sz w:val="24"/>
          <w:szCs w:val="24"/>
          <w:lang w:val="sr-Latn-ME" w:eastAsia="sr-Latn-ME"/>
        </w:rPr>
      </w:pPr>
      <w:r>
        <w:rPr>
          <w:rFonts w:ascii="Arial" w:hAnsi="Arial" w:eastAsia="Calibri" w:cs="Arial"/>
          <w:color w:val="000000"/>
          <w:sz w:val="24"/>
          <w:szCs w:val="24"/>
          <w:lang w:val="sr-Latn-ME" w:eastAsia="sr-Latn-ME"/>
        </w:rPr>
        <w:t>Izvršilac ne bude izvršavao svoje obaveze u rokovima i na način predviđenim Ugovorom</w:t>
      </w:r>
    </w:p>
    <w:p>
      <w:pPr>
        <w:numPr>
          <w:ilvl w:val="0"/>
          <w:numId w:val="9"/>
        </w:numPr>
        <w:spacing w:after="0" w:line="240" w:lineRule="auto"/>
        <w:ind w:left="720" w:hanging="360"/>
        <w:jc w:val="both"/>
        <w:rPr>
          <w:rFonts w:ascii="Arial" w:hAnsi="Arial" w:eastAsia="Calibri" w:cs="Arial"/>
          <w:color w:val="000000"/>
          <w:sz w:val="24"/>
          <w:szCs w:val="24"/>
          <w:lang w:val="sr-Latn-ME" w:eastAsia="sr-Latn-ME"/>
        </w:rPr>
      </w:pPr>
      <w:r>
        <w:rPr>
          <w:rFonts w:ascii="Arial" w:hAnsi="Arial" w:eastAsia="Calibri" w:cs="Arial"/>
          <w:color w:val="000000"/>
          <w:sz w:val="24"/>
          <w:szCs w:val="24"/>
          <w:lang w:val="sr-Latn-ME" w:eastAsia="sr-Latn-ME"/>
        </w:rPr>
        <w:t>Izvršilac obustavi pružanje usluga ili na neki drugi način jasno ispolji svoju namjeru da ne nastavi sa izvršavanjem svojih ugovornih obaveza;</w:t>
      </w:r>
    </w:p>
    <w:p>
      <w:pPr>
        <w:numPr>
          <w:ilvl w:val="0"/>
          <w:numId w:val="9"/>
        </w:numPr>
        <w:spacing w:after="0" w:line="240" w:lineRule="auto"/>
        <w:ind w:left="720" w:hanging="360"/>
        <w:jc w:val="both"/>
        <w:rPr>
          <w:rFonts w:ascii="Arial" w:hAnsi="Arial" w:eastAsia="Calibri" w:cs="Arial"/>
          <w:color w:val="000000"/>
          <w:sz w:val="24"/>
          <w:szCs w:val="24"/>
          <w:lang w:val="sr-Latn-ME" w:eastAsia="sr-Latn-ME"/>
        </w:rPr>
      </w:pPr>
      <w:r>
        <w:rPr>
          <w:rFonts w:ascii="Arial" w:hAnsi="Arial" w:eastAsia="Calibri" w:cs="Arial"/>
          <w:color w:val="000000"/>
          <w:sz w:val="24"/>
          <w:szCs w:val="24"/>
          <w:lang w:val="sr-Latn-ME" w:eastAsia="sr-Latn-ME"/>
        </w:rPr>
        <w:t>Nastupe okolnosti iz člana 150 ZJN (Sl.list CG br. 74/19</w:t>
      </w:r>
      <w:r>
        <w:rPr>
          <w:rFonts w:ascii="Arial" w:hAnsi="Arial" w:eastAsia="Calibri" w:cs="Arial"/>
          <w:color w:val="000000"/>
          <w:sz w:val="24"/>
          <w:szCs w:val="24"/>
          <w:lang w:val="en-US" w:eastAsia="sr-Latn-ME"/>
        </w:rPr>
        <w:t>,3/23, 11/23 i 84/24</w:t>
      </w:r>
      <w:r>
        <w:rPr>
          <w:rFonts w:ascii="Arial" w:hAnsi="Arial" w:eastAsia="Calibri" w:cs="Arial"/>
          <w:color w:val="000000"/>
          <w:sz w:val="24"/>
          <w:szCs w:val="24"/>
          <w:lang w:val="sr-Latn-ME" w:eastAsia="sr-Latn-ME"/>
        </w:rPr>
        <w:t>).</w:t>
      </w:r>
    </w:p>
    <w:p>
      <w:pPr>
        <w:numPr>
          <w:ilvl w:val="0"/>
          <w:numId w:val="10"/>
        </w:numPr>
        <w:spacing w:after="0" w:line="240" w:lineRule="auto"/>
        <w:ind w:left="720" w:hanging="360"/>
        <w:contextualSpacing/>
        <w:jc w:val="both"/>
        <w:rPr>
          <w:rFonts w:ascii="Arial" w:hAnsi="Arial" w:eastAsia="Calibri" w:cs="Arial"/>
          <w:color w:val="000000"/>
          <w:sz w:val="24"/>
          <w:szCs w:val="24"/>
          <w:lang w:val="sr-Latn-ME" w:eastAsia="sr-Latn-ME" w:bidi="ar-SA"/>
        </w:rPr>
      </w:pPr>
      <w:r>
        <w:rPr>
          <w:rFonts w:ascii="Arial" w:hAnsi="Arial" w:eastAsia="Calibri" w:cs="Arial"/>
          <w:color w:val="000000"/>
          <w:sz w:val="24"/>
          <w:szCs w:val="24"/>
          <w:lang w:val="sr-Latn-ME" w:eastAsia="sr-Latn-ME" w:bidi="ar-SA"/>
        </w:rPr>
        <w:t>Izvršilac ima pravo da jednostrano raskine Ugovor ako Naručilac ne plaća Izvršiocu u rokovima i na način predviđen Ugovorom.</w:t>
      </w:r>
    </w:p>
    <w:p>
      <w:pPr>
        <w:numPr>
          <w:ilvl w:val="0"/>
          <w:numId w:val="10"/>
        </w:numPr>
        <w:spacing w:after="0" w:line="240" w:lineRule="auto"/>
        <w:ind w:left="720" w:hanging="360"/>
        <w:contextualSpacing/>
        <w:jc w:val="both"/>
        <w:rPr>
          <w:rFonts w:ascii="Arial" w:hAnsi="Arial" w:eastAsia="PMingLiU" w:cs="Arial"/>
          <w:sz w:val="24"/>
          <w:szCs w:val="24"/>
          <w:lang w:val="sr-Latn-ME" w:eastAsia="zh-TW" w:bidi="ar-SA"/>
        </w:rPr>
      </w:pPr>
      <w:r>
        <w:rPr>
          <w:rFonts w:ascii="Arial" w:hAnsi="Arial" w:eastAsia="PMingLiU" w:cs="Arial"/>
          <w:sz w:val="24"/>
          <w:szCs w:val="24"/>
          <w:lang w:val="sr-Latn-ME" w:eastAsia="zh-TW" w:bidi="ar-SA"/>
        </w:rPr>
        <w:t>Na sva prava i obaveze ugovornih strana, a koja nijesu regulisana Ugovorom, primjenjuju se važeći zakonski i podzakonski propisi države Crne Gore.</w:t>
      </w:r>
    </w:p>
    <w:p>
      <w:pPr>
        <w:numPr>
          <w:ilvl w:val="0"/>
          <w:numId w:val="10"/>
        </w:numPr>
        <w:spacing w:after="0" w:line="240" w:lineRule="auto"/>
        <w:ind w:left="720" w:hanging="360"/>
        <w:contextualSpacing/>
        <w:jc w:val="both"/>
        <w:rPr>
          <w:rFonts w:ascii="Arial" w:hAnsi="Arial" w:eastAsia="PMingLiU" w:cs="Arial"/>
          <w:sz w:val="24"/>
          <w:szCs w:val="24"/>
          <w:lang w:val="sr-Latn-ME" w:eastAsia="zh-TW" w:bidi="ar-SA"/>
        </w:rPr>
      </w:pPr>
      <w:r>
        <w:rPr>
          <w:rFonts w:ascii="Arial" w:hAnsi="Arial" w:eastAsia="PMingLiU" w:cs="Arial"/>
          <w:sz w:val="24"/>
          <w:szCs w:val="24"/>
          <w:lang w:val="sr-Latn-ME" w:eastAsia="zh-TW" w:bidi="ar-SA"/>
        </w:rPr>
        <w:t>Sve eventualne sporove koji nastanu u vezi sa Ugovorom, ugovorne strane će rješavati sporazumno, a ako to ne bude moguće za rješavanje istih nadležan je Privredni sud Crne Gore.</w:t>
      </w:r>
    </w:p>
    <w:p>
      <w:pPr>
        <w:numPr>
          <w:ilvl w:val="0"/>
          <w:numId w:val="10"/>
        </w:numPr>
        <w:spacing w:after="0" w:line="240" w:lineRule="auto"/>
        <w:ind w:left="720" w:hanging="360"/>
        <w:contextualSpacing/>
        <w:jc w:val="both"/>
        <w:rPr>
          <w:rFonts w:ascii="Arial" w:hAnsi="Arial" w:eastAsia="Times New Roman" w:cs="Arial"/>
          <w:color w:val="000000"/>
          <w:sz w:val="24"/>
          <w:szCs w:val="24"/>
          <w:lang w:val="sr-Latn-ME" w:eastAsia="en-US" w:bidi="ar-SA"/>
        </w:rPr>
      </w:pPr>
      <w:r>
        <w:rPr>
          <w:rFonts w:ascii="Arial" w:hAnsi="Arial" w:eastAsia="Times New Roman" w:cs="Arial"/>
          <w:color w:val="000000"/>
          <w:sz w:val="24"/>
          <w:szCs w:val="24"/>
          <w:lang w:val="sr-Latn-ME" w:eastAsia="en-US" w:bidi="ar-SA"/>
        </w:rPr>
        <w:t>Ugovor o javnoj nabavci koji je zaključen uz kršenje antikorupcijskog pravila u skladu sa odredbama važećeg Zakona o javnim nabavkama ništavan je.</w:t>
      </w:r>
    </w:p>
    <w:p>
      <w:pPr>
        <w:numPr>
          <w:ilvl w:val="0"/>
          <w:numId w:val="10"/>
        </w:numPr>
        <w:spacing w:after="0" w:line="240" w:lineRule="auto"/>
        <w:ind w:left="720" w:hanging="360"/>
        <w:contextualSpacing/>
        <w:jc w:val="both"/>
        <w:rPr>
          <w:rFonts w:ascii="Arial" w:hAnsi="Arial" w:eastAsia="Times New Roman" w:cs="Arial"/>
          <w:color w:val="000000"/>
          <w:sz w:val="24"/>
          <w:szCs w:val="24"/>
          <w:lang w:val="sr-Latn-ME" w:eastAsia="en-US" w:bidi="ar-SA"/>
        </w:rPr>
      </w:pPr>
      <w:r>
        <w:rPr>
          <w:rFonts w:ascii="Arial" w:hAnsi="Arial" w:eastAsia="Times New Roman" w:cs="Arial"/>
          <w:color w:val="000000"/>
          <w:sz w:val="24"/>
          <w:szCs w:val="24"/>
          <w:lang w:val="sr-Latn-ME" w:eastAsia="en-US" w:bidi="ar-SA"/>
        </w:rPr>
        <w:t>Ugovor će se smatrati zaključenim i stupa na snagu danom potpisivanja i ovjere od strane ovlašćenih predstavnika Ugovornih strana.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b/>
          <w:bCs/>
          <w:color w:val="FF0000"/>
          <w:sz w:val="24"/>
          <w:szCs w:val="24"/>
          <w:lang w:val="sr-Latn-ME"/>
        </w:rPr>
      </w:pPr>
      <w:r>
        <w:rPr>
          <w:rFonts w:ascii="Arial" w:hAnsi="Arial" w:eastAsia="Times New Roman" w:cs="Arial"/>
          <w:color w:val="000000"/>
          <w:sz w:val="24"/>
          <w:szCs w:val="24"/>
          <w:lang w:val="sr-Latn-ME"/>
        </w:rPr>
        <w:sym w:font="Wingdings" w:char="F0A8"/>
      </w:r>
      <w:r>
        <w:rPr>
          <w:rFonts w:ascii="Arial" w:hAnsi="Arial" w:eastAsia="Times New Roman" w:cs="Arial"/>
          <w:color w:val="000000"/>
          <w:sz w:val="24"/>
          <w:szCs w:val="24"/>
          <w:lang w:val="sr-Latn-ME"/>
        </w:rPr>
        <w:t xml:space="preserve"> Ugovor o javnoj nabavci tokom njegovog trajanja može da se izmijeni bez sprovođenja novog postupka javne nabavke u skladu sa članom 151 Zakona o javnim nabavkama tačka 1 stav 1 ili 2. </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6"/>
      <w:r>
        <w:rPr>
          <w:rFonts w:ascii="Arial" w:hAnsi="Arial" w:eastAsia="Times New Roman" w:cs="Times New Roman"/>
          <w:b/>
          <w:sz w:val="24"/>
          <w:szCs w:val="32"/>
          <w:lang w:val="sr-Latn-ME"/>
        </w:rPr>
        <w:t>13. ZAHTJEV ZA POJAŠNJENJE ILI IZMJENU I DOPUNU TENDERSKE DOKUMENTACIJE</w:t>
      </w:r>
      <w:bookmarkEnd w:id="11"/>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2" w:name="_Toc416180136"/>
      <w:bookmarkStart w:id="13" w:name="_Toc62730567"/>
      <w:bookmarkStart w:id="14" w:name="_Toc508349235"/>
      <w:r>
        <w:rPr>
          <w:rFonts w:ascii="Arial" w:hAnsi="Arial" w:eastAsia="Times New Roman" w:cs="Times New Roman"/>
          <w:b/>
          <w:sz w:val="24"/>
          <w:szCs w:val="32"/>
          <w:lang w:val="sr-Latn-ME"/>
        </w:rPr>
        <w:t>14. IZJAVA NARUČIOCA O NEPOSTOJANJU SUKOBA INTERESA</w:t>
      </w:r>
      <w:bookmarkEnd w:id="12"/>
      <w:bookmarkEnd w:id="13"/>
      <w:bookmarkEnd w:id="14"/>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lang w:val="pl-PL"/>
        </w:rPr>
      </w:pPr>
      <w:bookmarkStart w:id="15" w:name="_Toc62730568"/>
      <w:r>
        <w:rPr>
          <w:rFonts w:ascii="Arial" w:hAnsi="Arial" w:eastAsia="Calibri" w:cs="Arial"/>
          <w:color w:val="000000"/>
          <w:lang w:val="pl-PL"/>
        </w:rPr>
        <w:t xml:space="preserve">Naručilac: Ministarstvo finansija </w:t>
      </w:r>
    </w:p>
    <w:p>
      <w:pPr>
        <w:tabs>
          <w:tab w:val="right" w:pos="3402"/>
        </w:tabs>
        <w:spacing w:after="0" w:line="240" w:lineRule="auto"/>
        <w:jc w:val="both"/>
        <w:rPr>
          <w:rFonts w:hint="default" w:ascii="Arial" w:hAnsi="Arial" w:eastAsia="Calibri" w:cs="Arial"/>
          <w:lang w:val="sr-Latn-ME"/>
        </w:rPr>
      </w:pPr>
      <w:r>
        <w:rPr>
          <w:rFonts w:ascii="Arial" w:hAnsi="Arial" w:eastAsia="Calibri" w:cs="Arial"/>
          <w:lang w:val="pl-PL"/>
        </w:rPr>
        <w:t xml:space="preserve">Broj: </w:t>
      </w:r>
      <w:r>
        <w:rPr>
          <w:rFonts w:hint="default" w:ascii="Arial" w:hAnsi="Arial" w:eastAsia="Calibri" w:cs="Arial"/>
          <w:lang w:val="sr-Latn-ME"/>
        </w:rPr>
        <w:t>21/2-426/26-11641/2</w:t>
      </w:r>
    </w:p>
    <w:p>
      <w:pPr>
        <w:tabs>
          <w:tab w:val="right" w:pos="3402"/>
        </w:tabs>
        <w:spacing w:after="0" w:line="240" w:lineRule="auto"/>
        <w:rPr>
          <w:rFonts w:ascii="Arial" w:hAnsi="Arial" w:eastAsia="Calibri" w:cs="Arial"/>
          <w:lang w:val="pl-PL"/>
        </w:rPr>
      </w:pPr>
      <w:r>
        <w:rPr>
          <w:rFonts w:ascii="Arial" w:hAnsi="Arial" w:eastAsia="Calibri" w:cs="Arial"/>
          <w:lang w:val="pl-PL"/>
        </w:rPr>
        <w:t xml:space="preserve">Podgorica, </w:t>
      </w:r>
      <w:r>
        <w:rPr>
          <w:rFonts w:hint="default" w:ascii="Arial" w:hAnsi="Arial" w:eastAsia="Calibri" w:cs="Arial"/>
          <w:lang w:val="sr-Latn-ME"/>
        </w:rPr>
        <w:t>30.03.2026</w:t>
      </w:r>
      <w:r>
        <w:rPr>
          <w:rFonts w:hint="default" w:ascii="Arial" w:hAnsi="Arial" w:eastAsia="Calibri" w:cs="Arial"/>
          <w:lang w:val="sr-Latn-RS"/>
        </w:rPr>
        <w:t xml:space="preserve">. </w:t>
      </w:r>
      <w:r>
        <w:rPr>
          <w:rFonts w:ascii="Arial" w:hAnsi="Arial" w:eastAsia="Calibri" w:cs="Arial"/>
          <w:lang w:val="pl-PL"/>
        </w:rPr>
        <w:t>godine</w:t>
      </w:r>
    </w:p>
    <w:p>
      <w:pPr>
        <w:spacing w:after="0" w:line="240" w:lineRule="auto"/>
        <w:jc w:val="both"/>
        <w:rPr>
          <w:rFonts w:ascii="Arial" w:hAnsi="Arial" w:eastAsia="Times New Roman" w:cs="Arial"/>
          <w:b/>
          <w:bCs/>
          <w:color w:val="000000"/>
          <w:lang w:val="sr-Latn-ME"/>
        </w:rPr>
      </w:pPr>
    </w:p>
    <w:p>
      <w:pPr>
        <w:tabs>
          <w:tab w:val="left" w:pos="3290"/>
        </w:tabs>
        <w:spacing w:after="0" w:line="240" w:lineRule="auto"/>
        <w:ind w:firstLine="708"/>
        <w:jc w:val="both"/>
        <w:rPr>
          <w:rFonts w:ascii="Arial" w:hAnsi="Arial" w:eastAsia="Times New Roman" w:cs="Arial"/>
          <w:color w:val="000000"/>
          <w:lang w:val="sr-Latn-ME"/>
        </w:rPr>
      </w:pPr>
      <w:r>
        <w:rPr>
          <w:rFonts w:ascii="Arial" w:hAnsi="Arial" w:eastAsia="Times New Roman" w:cs="Arial"/>
          <w:color w:val="000000"/>
          <w:lang w:val="sr-Latn-ME"/>
        </w:rPr>
        <w:t>U skladu sa članom 43 stav 1 Zakona o javnim nabavkama („Službeni list CG”, br.74/19, 3/23</w:t>
      </w:r>
      <w:r>
        <w:rPr>
          <w:rFonts w:hint="default" w:ascii="Arial" w:hAnsi="Arial" w:eastAsia="Times New Roman" w:cs="Arial"/>
          <w:color w:val="000000"/>
          <w:lang w:val="sr-Latn-RS"/>
        </w:rPr>
        <w:t xml:space="preserve">, </w:t>
      </w:r>
      <w:r>
        <w:rPr>
          <w:rFonts w:ascii="Arial" w:hAnsi="Arial" w:eastAsia="Times New Roman" w:cs="Arial"/>
          <w:color w:val="000000"/>
          <w:lang w:val="sr-Latn-ME"/>
        </w:rPr>
        <w:t>11/23</w:t>
      </w:r>
      <w:r>
        <w:rPr>
          <w:rFonts w:hint="default" w:ascii="Arial" w:hAnsi="Arial" w:eastAsia="Times New Roman" w:cs="Arial"/>
          <w:color w:val="000000"/>
          <w:lang w:val="sr-Latn-RS"/>
        </w:rPr>
        <w:t xml:space="preserve"> i 84/24</w:t>
      </w:r>
      <w:r>
        <w:rPr>
          <w:rFonts w:ascii="Arial" w:hAnsi="Arial" w:eastAsia="Times New Roman" w:cs="Arial"/>
          <w:color w:val="000000"/>
          <w:lang w:val="sr-Latn-ME"/>
        </w:rPr>
        <w:t xml:space="preserve">), </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center"/>
        <w:rPr>
          <w:rFonts w:ascii="Arial" w:hAnsi="Arial" w:eastAsia="Times New Roman" w:cs="Arial"/>
          <w:b/>
          <w:bCs/>
          <w:color w:val="000000"/>
          <w:lang w:val="sr-Latn-ME"/>
        </w:rPr>
      </w:pPr>
      <w:r>
        <w:rPr>
          <w:rFonts w:ascii="Arial" w:hAnsi="Arial" w:eastAsia="Times New Roman" w:cs="Arial"/>
          <w:b/>
          <w:bCs/>
          <w:color w:val="000000"/>
          <w:lang w:val="sr-Latn-ME"/>
        </w:rPr>
        <w:t>Izjavljujem</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Calibri" w:cs="Arial"/>
          <w:highlight w:val="yellow"/>
          <w:lang w:val="sr-Latn-CS"/>
        </w:rPr>
      </w:pPr>
      <w:r>
        <w:rPr>
          <w:rFonts w:ascii="Arial" w:hAnsi="Arial" w:eastAsia="Times New Roman" w:cs="Arial"/>
          <w:color w:val="000000"/>
          <w:highlight w:val="none"/>
          <w:lang w:val="sr-Latn-ME"/>
        </w:rPr>
        <w:t xml:space="preserve">da u postupku javne nabavke redni broj </w:t>
      </w:r>
      <w:r>
        <w:rPr>
          <w:rFonts w:hint="default" w:ascii="Arial" w:hAnsi="Arial" w:eastAsia="Times New Roman" w:cs="Arial"/>
          <w:color w:val="000000"/>
          <w:highlight w:val="none"/>
          <w:lang w:val="sr-Latn-ME"/>
        </w:rPr>
        <w:t>6</w:t>
      </w:r>
      <w:r>
        <w:rPr>
          <w:rFonts w:ascii="Arial" w:hAnsi="Arial" w:eastAsia="Times New Roman" w:cs="Arial"/>
          <w:color w:val="000000"/>
          <w:highlight w:val="none"/>
          <w:lang w:val="sr-Latn-ME"/>
        </w:rPr>
        <w:t xml:space="preserve"> iz Plana javnih nabavki broj: </w:t>
      </w:r>
      <w:r>
        <w:rPr>
          <w:rFonts w:hint="default" w:ascii="Arial" w:hAnsi="Arial" w:eastAsia="Calibri" w:cs="Arial"/>
          <w:highlight w:val="none"/>
          <w:lang w:val="sr-Latn-RS"/>
        </w:rPr>
        <w:t>21/2-426/2</w:t>
      </w:r>
      <w:r>
        <w:rPr>
          <w:rFonts w:hint="default" w:ascii="Arial" w:hAnsi="Arial" w:eastAsia="Calibri" w:cs="Arial"/>
          <w:highlight w:val="none"/>
          <w:lang w:val="sr-Latn-ME"/>
        </w:rPr>
        <w:t>6</w:t>
      </w:r>
      <w:r>
        <w:rPr>
          <w:rFonts w:hint="default" w:ascii="Arial" w:hAnsi="Arial" w:eastAsia="Calibri" w:cs="Arial"/>
          <w:highlight w:val="none"/>
          <w:lang w:val="sr-Latn-RS"/>
        </w:rPr>
        <w:t>-</w:t>
      </w:r>
      <w:r>
        <w:rPr>
          <w:rFonts w:hint="default" w:ascii="Arial" w:hAnsi="Arial" w:eastAsia="Calibri" w:cs="Arial"/>
          <w:highlight w:val="none"/>
          <w:lang w:val="sr-Latn-ME"/>
        </w:rPr>
        <w:t>10715</w:t>
      </w:r>
      <w:r>
        <w:rPr>
          <w:rFonts w:hint="default" w:ascii="Arial" w:hAnsi="Arial" w:eastAsia="Calibri" w:cs="Arial"/>
          <w:highlight w:val="none"/>
          <w:lang w:val="sr-Latn-RS"/>
        </w:rPr>
        <w:t>/1</w:t>
      </w:r>
      <w:r>
        <w:rPr>
          <w:rFonts w:ascii="Arial" w:hAnsi="Arial" w:eastAsia="Calibri" w:cs="Arial"/>
          <w:color w:val="000000"/>
          <w:highlight w:val="none"/>
          <w:lang w:val="sr-Latn-ME"/>
        </w:rPr>
        <w:t xml:space="preserve"> od </w:t>
      </w:r>
      <w:r>
        <w:rPr>
          <w:rFonts w:hint="default" w:ascii="Arial" w:hAnsi="Arial" w:eastAsia="Calibri" w:cs="Arial"/>
          <w:highlight w:val="none"/>
          <w:lang w:val="sr-Latn-ME"/>
        </w:rPr>
        <w:t>24</w:t>
      </w:r>
      <w:r>
        <w:rPr>
          <w:rFonts w:hint="default" w:ascii="Arial" w:hAnsi="Arial" w:eastAsia="Calibri" w:cs="Arial"/>
          <w:highlight w:val="none"/>
          <w:lang w:val="sr-Latn-RS"/>
        </w:rPr>
        <w:t>.03.202</w:t>
      </w:r>
      <w:r>
        <w:rPr>
          <w:rFonts w:hint="default" w:ascii="Arial" w:hAnsi="Arial" w:eastAsia="Calibri" w:cs="Arial"/>
          <w:highlight w:val="none"/>
          <w:lang w:val="sr-Latn-ME"/>
        </w:rPr>
        <w:t>6</w:t>
      </w:r>
      <w:r>
        <w:rPr>
          <w:rFonts w:ascii="Arial" w:hAnsi="Arial" w:eastAsia="Calibri" w:cs="Arial"/>
          <w:color w:val="000000"/>
          <w:highlight w:val="none"/>
          <w:lang w:val="sr-Latn-ME"/>
        </w:rPr>
        <w:t>.</w:t>
      </w:r>
      <w:r>
        <w:rPr>
          <w:rFonts w:hint="default" w:ascii="Arial" w:hAnsi="Arial" w:eastAsia="Calibri" w:cs="Arial"/>
          <w:color w:val="000000"/>
          <w:highlight w:val="none"/>
          <w:lang w:val="sr-Latn-RS"/>
        </w:rPr>
        <w:t xml:space="preserve"> </w:t>
      </w:r>
      <w:r>
        <w:rPr>
          <w:rFonts w:ascii="Arial" w:hAnsi="Arial" w:eastAsia="Calibri" w:cs="Arial"/>
          <w:color w:val="000000"/>
          <w:highlight w:val="none"/>
          <w:lang w:val="sr-Latn-ME"/>
        </w:rPr>
        <w:t>godine</w:t>
      </w:r>
      <w:r>
        <w:rPr>
          <w:rFonts w:ascii="Arial" w:hAnsi="Arial" w:eastAsia="Calibri" w:cs="Arial"/>
          <w:highlight w:val="none"/>
          <w:lang w:val="sr-Latn-CS"/>
        </w:rPr>
        <w:t xml:space="preserve">, šifra plana </w:t>
      </w:r>
      <w:r>
        <w:rPr>
          <w:rFonts w:hint="default" w:ascii="Arial" w:hAnsi="Arial" w:eastAsia="Calibri" w:cs="Arial"/>
          <w:highlight w:val="none"/>
          <w:lang w:val="sr-Latn-ME"/>
        </w:rPr>
        <w:t>24921</w:t>
      </w:r>
      <w:r>
        <w:rPr>
          <w:rFonts w:ascii="Arial" w:hAnsi="Arial" w:eastAsia="Calibri" w:cs="Arial"/>
          <w:highlight w:val="none"/>
          <w:lang w:val="sr-Latn-CS"/>
        </w:rPr>
        <w:t>,</w:t>
      </w:r>
      <w:r>
        <w:rPr>
          <w:rFonts w:ascii="Arial" w:hAnsi="Arial" w:eastAsia="Times New Roman" w:cs="Arial"/>
          <w:color w:val="000000"/>
          <w:highlight w:val="none"/>
          <w:lang w:val="sr-Latn-ME"/>
        </w:rPr>
        <w:t xml:space="preserve"> za </w:t>
      </w:r>
      <w:r>
        <w:rPr>
          <w:rFonts w:ascii="Arial" w:hAnsi="Arial" w:eastAsia="Calibri" w:cs="Arial"/>
          <w:highlight w:val="none"/>
          <w:lang w:val="sr-Latn-CS"/>
        </w:rPr>
        <w:t xml:space="preserve">nabavku usluga </w:t>
      </w:r>
      <w:r>
        <w:rPr>
          <w:rFonts w:hint="default" w:ascii="Arial" w:hAnsi="Arial" w:eastAsia="Calibri" w:cs="Arial"/>
          <w:highlight w:val="none"/>
          <w:lang w:val="sr-Latn-ME"/>
        </w:rPr>
        <w:t>nadogradnje i održavanja REES aplikacije</w:t>
      </w:r>
      <w:r>
        <w:rPr>
          <w:rFonts w:ascii="Arial" w:hAnsi="Arial" w:eastAsia="Times New Roman" w:cs="Arial"/>
          <w:color w:val="000000"/>
          <w:highlight w:val="none"/>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lang w:val="sr-Latn-ME"/>
        </w:rPr>
      </w:pPr>
    </w:p>
    <w:p>
      <w:pPr>
        <w:spacing w:after="0" w:line="240" w:lineRule="auto"/>
        <w:ind w:firstLine="1134"/>
        <w:rPr>
          <w:rFonts w:ascii="Arial" w:hAnsi="Arial" w:eastAsia="Calibri" w:cs="Arial"/>
          <w:color w:val="000000"/>
          <w:lang w:val="sr-Latn-CS"/>
        </w:rPr>
      </w:pPr>
      <w:r>
        <w:rPr>
          <w:rFonts w:ascii="Arial" w:hAnsi="Arial" w:eastAsia="Calibri" w:cs="Arial"/>
          <w:color w:val="000000"/>
          <w:lang w:val="sr-Latn-CS"/>
        </w:rPr>
        <w:t xml:space="preserve">                         Ovlašćeno lice naručioca:                                   </w:t>
      </w:r>
    </w:p>
    <w:p>
      <w:pPr>
        <w:spacing w:after="0" w:line="240" w:lineRule="auto"/>
        <w:ind w:firstLine="1134"/>
        <w:jc w:val="center"/>
        <w:rPr>
          <w:rFonts w:ascii="Arial" w:hAnsi="Arial" w:eastAsia="Calibri" w:cs="Arial"/>
          <w:color w:val="000000"/>
          <w:lang w:val="sr-Latn-CS"/>
        </w:rPr>
      </w:pPr>
      <w:r>
        <w:rPr>
          <w:rFonts w:ascii="Arial" w:hAnsi="Arial" w:eastAsia="Calibri" w:cs="Arial"/>
          <w:color w:val="000000"/>
          <w:lang w:val="sr-Latn-CS"/>
        </w:rPr>
        <w:t xml:space="preserve">                                                                             </w:t>
      </w:r>
      <w:r>
        <w:rPr>
          <w:rFonts w:hint="default" w:ascii="Arial" w:hAnsi="Arial" w:eastAsia="Calibri" w:cs="Arial"/>
          <w:color w:val="000000"/>
          <w:lang w:val="sr-Latn-RS"/>
        </w:rPr>
        <w:t>Maja Mitrovi</w:t>
      </w:r>
      <w:r>
        <w:rPr>
          <w:rFonts w:hint="default" w:ascii="Arial" w:hAnsi="Arial" w:eastAsia="Calibri" w:cs="Arial"/>
          <w:color w:val="000000"/>
          <w:lang w:val="sr-Latn-ME"/>
        </w:rPr>
        <w:t>ć</w:t>
      </w:r>
      <w:r>
        <w:rPr>
          <w:rFonts w:ascii="Arial" w:hAnsi="Arial" w:eastAsia="Calibri" w:cs="Arial"/>
          <w:color w:val="000000"/>
          <w:lang w:val="sr-Latn-CS"/>
        </w:rPr>
        <w:t>, sekretarka</w:t>
      </w:r>
    </w:p>
    <w:p>
      <w:pPr>
        <w:spacing w:after="0" w:line="240" w:lineRule="auto"/>
        <w:ind w:left="5664" w:firstLine="708"/>
        <w:rPr>
          <w:rFonts w:ascii="Arial" w:hAnsi="Arial" w:eastAsia="Calibri" w:cs="Arial"/>
          <w:i/>
          <w:iCs/>
          <w:color w:val="000000"/>
        </w:rPr>
      </w:pPr>
      <w:r>
        <w:rPr>
          <w:rFonts w:ascii="Arial" w:hAnsi="Arial" w:eastAsia="Calibri" w:cs="Arial"/>
          <w:i/>
          <w:iCs/>
          <w:color w:val="000000"/>
          <w:lang w:val="sr-Latn-CS"/>
        </w:rPr>
        <w:t xml:space="preserve">                   s.r.</w:t>
      </w:r>
    </w:p>
    <w:p>
      <w:pPr>
        <w:spacing w:after="0" w:line="240" w:lineRule="auto"/>
        <w:jc w:val="right"/>
        <w:rPr>
          <w:rFonts w:ascii="Arial" w:hAnsi="Arial" w:eastAsia="Calibri" w:cs="Arial"/>
          <w:color w:val="000000"/>
        </w:rPr>
      </w:pPr>
    </w:p>
    <w:p>
      <w:pPr>
        <w:tabs>
          <w:tab w:val="left" w:pos="8160"/>
        </w:tabs>
        <w:spacing w:after="0" w:line="240" w:lineRule="auto"/>
        <w:jc w:val="both"/>
        <w:rPr>
          <w:rFonts w:ascii="Arial" w:hAnsi="Arial" w:eastAsia="Calibri" w:cs="Arial"/>
          <w:i/>
          <w:color w:val="000000"/>
        </w:rPr>
      </w:pPr>
    </w:p>
    <w:p>
      <w:pPr>
        <w:tabs>
          <w:tab w:val="left" w:pos="6405"/>
        </w:tabs>
        <w:spacing w:after="0" w:line="240" w:lineRule="auto"/>
        <w:rPr>
          <w:rFonts w:ascii="Arial" w:hAnsi="Arial" w:eastAsia="Calibri" w:cs="Arial"/>
          <w:color w:val="000000"/>
        </w:rPr>
      </w:pPr>
      <w:r>
        <w:rPr>
          <w:rFonts w:ascii="Arial" w:hAnsi="Arial" w:eastAsia="Calibri" w:cs="Arial"/>
          <w:color w:val="000000"/>
        </w:rPr>
        <w:t>Lica koja su učestvovala u planiranju javne nabavke:</w:t>
      </w:r>
    </w:p>
    <w:p>
      <w:pPr>
        <w:tabs>
          <w:tab w:val="left" w:pos="6405"/>
        </w:tabs>
        <w:spacing w:after="0" w:line="240" w:lineRule="auto"/>
        <w:rPr>
          <w:rFonts w:ascii="Arial" w:hAnsi="Arial" w:eastAsia="Calibri" w:cs="Arial"/>
          <w:color w:val="000000"/>
        </w:rPr>
      </w:pPr>
    </w:p>
    <w:p>
      <w:pPr>
        <w:tabs>
          <w:tab w:val="left" w:pos="6405"/>
        </w:tabs>
        <w:spacing w:after="0" w:line="240" w:lineRule="auto"/>
        <w:rPr>
          <w:rFonts w:ascii="Arial" w:hAnsi="Arial" w:eastAsia="Calibri" w:cs="Arial"/>
          <w:color w:val="000000"/>
          <w:lang w:val="it-IT"/>
        </w:rPr>
      </w:pPr>
      <w:r>
        <w:rPr>
          <w:rFonts w:ascii="Arial" w:hAnsi="Arial" w:eastAsia="Calibri" w:cs="Arial"/>
          <w:color w:val="000000"/>
        </w:rPr>
        <w:t xml:space="preserve">                                                                  </w:t>
      </w:r>
      <w:r>
        <w:rPr>
          <w:rFonts w:hint="default" w:ascii="Arial" w:hAnsi="Arial" w:eastAsia="Calibri" w:cs="Arial"/>
          <w:color w:val="000000"/>
          <w:lang w:val="sr-Latn-RS"/>
        </w:rPr>
        <w:t xml:space="preserve">     </w:t>
      </w:r>
      <w:r>
        <w:rPr>
          <w:rFonts w:hint="default" w:ascii="Arial" w:hAnsi="Arial" w:eastAsia="Calibri" w:cs="Arial"/>
          <w:color w:val="000000"/>
          <w:lang w:val="sr-Latn-ME"/>
        </w:rPr>
        <w:t xml:space="preserve"> </w:t>
      </w:r>
      <w:r>
        <w:rPr>
          <w:rFonts w:ascii="Arial" w:hAnsi="Arial" w:eastAsia="Calibri" w:cs="Arial"/>
          <w:color w:val="000000"/>
        </w:rPr>
        <w:t>G</w:t>
      </w:r>
      <w:r>
        <w:rPr>
          <w:rFonts w:ascii="Arial" w:hAnsi="Arial" w:eastAsia="Calibri" w:cs="Arial"/>
          <w:color w:val="000000"/>
          <w:lang w:val="it-IT"/>
        </w:rPr>
        <w:t>eneralni direktor Direktorata državnog trezora</w:t>
      </w:r>
    </w:p>
    <w:p>
      <w:pPr>
        <w:tabs>
          <w:tab w:val="left" w:pos="6405"/>
          <w:tab w:val="left" w:pos="8235"/>
          <w:tab w:val="right" w:pos="9360"/>
        </w:tabs>
        <w:spacing w:after="0" w:line="240" w:lineRule="auto"/>
        <w:rPr>
          <w:rFonts w:hint="default" w:ascii="Arial" w:hAnsi="Arial" w:eastAsia="Calibri" w:cs="Arial"/>
          <w:color w:val="000000"/>
          <w:lang w:val="sr-Latn-ME"/>
        </w:rPr>
      </w:pPr>
      <w:r>
        <w:rPr>
          <w:rFonts w:ascii="Arial" w:hAnsi="Arial" w:eastAsia="Calibri" w:cs="Arial"/>
          <w:color w:val="000000"/>
          <w:lang w:val="it-IT"/>
        </w:rPr>
        <w:t xml:space="preserve">                                                                                                                       </w:t>
      </w:r>
      <w:r>
        <w:rPr>
          <w:rFonts w:hint="default" w:ascii="Arial" w:hAnsi="Arial" w:eastAsia="Calibri" w:cs="Arial"/>
          <w:color w:val="000000"/>
          <w:lang w:val="sr-Latn-ME"/>
        </w:rPr>
        <w:t>Dragan Darmanović</w:t>
      </w:r>
    </w:p>
    <w:p>
      <w:pPr>
        <w:tabs>
          <w:tab w:val="left" w:pos="6405"/>
          <w:tab w:val="left" w:pos="6480"/>
          <w:tab w:val="left" w:pos="7200"/>
        </w:tabs>
        <w:spacing w:after="0" w:line="240" w:lineRule="auto"/>
        <w:rPr>
          <w:rFonts w:ascii="Arial" w:hAnsi="Arial" w:eastAsia="Calibri" w:cs="Arial"/>
          <w:i/>
          <w:color w:val="000000"/>
          <w:lang w:val="it-IT"/>
        </w:rPr>
      </w:pP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i/>
          <w:color w:val="000000"/>
          <w:lang w:val="it-IT"/>
        </w:rPr>
        <w:t>s.r.</w:t>
      </w:r>
    </w:p>
    <w:p>
      <w:pPr>
        <w:tabs>
          <w:tab w:val="left" w:pos="6405"/>
          <w:tab w:val="left" w:pos="6480"/>
          <w:tab w:val="left" w:pos="7200"/>
        </w:tabs>
        <w:spacing w:after="0" w:line="240" w:lineRule="auto"/>
        <w:rPr>
          <w:rFonts w:ascii="Arial" w:hAnsi="Arial" w:eastAsia="Calibri" w:cs="Arial"/>
          <w:i/>
          <w:color w:val="000000"/>
          <w:lang w:val="it-IT"/>
        </w:rPr>
      </w:pPr>
    </w:p>
    <w:p>
      <w:pPr>
        <w:tabs>
          <w:tab w:val="left" w:pos="6405"/>
        </w:tabs>
        <w:spacing w:after="0" w:line="240" w:lineRule="auto"/>
        <w:rPr>
          <w:rFonts w:ascii="Arial" w:hAnsi="Arial" w:eastAsia="Times New Roman" w:cs="Arial"/>
          <w:iCs/>
          <w:color w:val="000000"/>
          <w:sz w:val="24"/>
          <w:szCs w:val="24"/>
        </w:rPr>
      </w:pPr>
      <w:r>
        <w:rPr>
          <w:rFonts w:ascii="Arial" w:hAnsi="Arial" w:eastAsia="Calibri" w:cs="Arial"/>
          <w:color w:val="000000"/>
          <w:lang w:val="it-IT"/>
        </w:rPr>
        <w:t xml:space="preserve">                                                                                              </w:t>
      </w: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Zorica Tadić, predsjednik </w:t>
      </w:r>
    </w:p>
    <w:p>
      <w:pPr>
        <w:tabs>
          <w:tab w:val="left" w:pos="3290"/>
        </w:tabs>
        <w:spacing w:after="0" w:line="240" w:lineRule="auto"/>
        <w:rPr>
          <w:rFonts w:hint="default" w:ascii="Arial" w:hAnsi="Arial" w:eastAsia="Times New Roman" w:cs="Arial"/>
          <w:iCs/>
          <w:color w:val="000000"/>
          <w:lang w:val="sr-Latn-RS"/>
        </w:rPr>
      </w:pPr>
      <w:r>
        <w:rPr>
          <w:rFonts w:hint="default" w:ascii="Arial" w:hAnsi="Arial" w:eastAsia="Times New Roman" w:cs="Arial"/>
          <w:iCs/>
          <w:color w:val="000000"/>
          <w:lang w:val="sr-Latn-RS"/>
        </w:rPr>
        <w:t xml:space="preserve">                                                                                                      </w:t>
      </w:r>
      <w:r>
        <w:rPr>
          <w:rFonts w:hint="default" w:ascii="Arial" w:hAnsi="Arial" w:eastAsia="Times New Roman"/>
          <w:i/>
          <w:iCs w:val="0"/>
          <w:color w:val="000000"/>
          <w:lang w:val="sr-Latn-RS"/>
        </w:rPr>
        <w:t xml:space="preserve">  s.r.</w:t>
      </w:r>
    </w:p>
    <w:p>
      <w:pPr>
        <w:tabs>
          <w:tab w:val="left" w:pos="3290"/>
        </w:tabs>
        <w:spacing w:after="0" w:line="240" w:lineRule="auto"/>
        <w:rPr>
          <w:rFonts w:ascii="Arial" w:hAnsi="Arial" w:eastAsia="Times New Roman" w:cs="Arial"/>
          <w:i/>
          <w:iCs/>
          <w:color w:val="000000"/>
          <w:sz w:val="20"/>
          <w:szCs w:val="20"/>
        </w:rPr>
      </w:pPr>
      <w:r>
        <w:rPr>
          <w:rFonts w:ascii="Arial" w:hAnsi="Arial" w:eastAsia="Times New Roman" w:cs="Arial"/>
          <w:iCs/>
          <w:color w:val="000000"/>
        </w:rPr>
        <w:t xml:space="preserve">        </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e: Ljeposava Pavlović,</w:t>
      </w:r>
      <w:r>
        <w:rPr>
          <w:rFonts w:hint="default" w:ascii="Arial" w:hAnsi="Arial" w:eastAsia="Times New Roman" w:cs="Arial"/>
          <w:iCs/>
          <w:color w:val="000000"/>
          <w:lang w:val="sr-Latn-ME"/>
        </w:rPr>
        <w:t xml:space="preserve"> </w:t>
      </w:r>
      <w:r>
        <w:rPr>
          <w:rFonts w:ascii="Arial" w:hAnsi="Arial" w:eastAsia="Times New Roman" w:cs="Arial"/>
          <w:iCs/>
          <w:color w:val="000000"/>
        </w:rPr>
        <w:t xml:space="preserve">član   </w:t>
      </w:r>
    </w:p>
    <w:p>
      <w:pPr>
        <w:tabs>
          <w:tab w:val="left" w:pos="3290"/>
        </w:tabs>
        <w:spacing w:after="0" w:line="480" w:lineRule="auto"/>
        <w:rPr>
          <w:rFonts w:hint="default" w:ascii="Arial" w:hAnsi="Arial" w:eastAsia="Times New Roman" w:cs="Arial"/>
          <w:iCs/>
          <w:color w:val="000000"/>
          <w:lang w:val="sr-Latn-RS"/>
        </w:rPr>
      </w:pPr>
      <w:r>
        <w:rPr>
          <w:rFonts w:ascii="Arial" w:hAnsi="Arial" w:eastAsia="Times New Roman" w:cs="Arial"/>
          <w:iCs/>
          <w:color w:val="000000"/>
        </w:rPr>
        <w:t xml:space="preserve">      </w:t>
      </w: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w:t>
      </w:r>
      <w:r>
        <w:rPr>
          <w:rFonts w:hint="default" w:ascii="Arial" w:hAnsi="Arial" w:eastAsia="Times New Roman" w:cs="Arial"/>
          <w:iCs/>
          <w:color w:val="000000"/>
          <w:lang w:val="sr-Latn-ME"/>
        </w:rPr>
        <w:t xml:space="preserve">Dragan Prenkić, </w:t>
      </w:r>
      <w:r>
        <w:rPr>
          <w:rFonts w:ascii="Arial" w:hAnsi="Arial" w:eastAsia="Times New Roman" w:cs="Arial"/>
          <w:iCs/>
          <w:color w:val="000000"/>
        </w:rPr>
        <w:t xml:space="preserve">član, </w:t>
      </w:r>
    </w:p>
    <w:p>
      <w:pPr>
        <w:tabs>
          <w:tab w:val="left" w:pos="3290"/>
        </w:tabs>
        <w:spacing w:after="0" w:line="480" w:lineRule="auto"/>
        <w:rPr>
          <w:rFonts w:ascii="Arial" w:hAnsi="Arial" w:eastAsia="Times New Roman" w:cs="Arial"/>
          <w:iCs/>
          <w:color w:val="000000"/>
        </w:rPr>
      </w:pP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5"/>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1"/>
        <w:jc w:val="both"/>
        <w:rPr>
          <w:rFonts w:ascii="Arial" w:hAnsi="Arial" w:cs="Arial"/>
          <w:sz w:val="14"/>
          <w:szCs w:val="16"/>
          <w:lang w:val="sr-Latn-ME"/>
        </w:rPr>
      </w:pPr>
      <w:r>
        <w:rPr>
          <w:rStyle w:val="10"/>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1"/>
        <w:jc w:val="both"/>
        <w:rPr>
          <w:rFonts w:ascii="Arial" w:hAnsi="Arial" w:cs="Arial"/>
          <w:sz w:val="14"/>
          <w:szCs w:val="16"/>
          <w:lang w:val="sr-Latn-ME"/>
        </w:rPr>
      </w:pPr>
      <w:r>
        <w:rPr>
          <w:rStyle w:val="10"/>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1"/>
        <w:jc w:val="both"/>
        <w:rPr>
          <w:rFonts w:ascii="Arial" w:hAnsi="Arial" w:cs="Arial"/>
          <w:sz w:val="14"/>
          <w:szCs w:val="16"/>
          <w:lang w:val="sr-Latn-ME"/>
        </w:rPr>
      </w:pPr>
      <w:r>
        <w:rPr>
          <w:rStyle w:val="10"/>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1"/>
        <w:jc w:val="both"/>
        <w:rPr>
          <w:rFonts w:ascii="Arial" w:hAnsi="Arial" w:cs="Arial"/>
          <w:sz w:val="14"/>
          <w:szCs w:val="16"/>
          <w:lang w:val="sr-Latn-ME"/>
        </w:rPr>
      </w:pPr>
      <w:r>
        <w:rPr>
          <w:rStyle w:val="10"/>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1"/>
        <w:jc w:val="both"/>
        <w:rPr>
          <w:rFonts w:ascii="Arial" w:hAnsi="Arial" w:cs="Arial"/>
          <w:sz w:val="16"/>
          <w:szCs w:val="16"/>
          <w:lang w:val="sr-Latn-ME"/>
        </w:rPr>
      </w:pPr>
      <w:r>
        <w:rPr>
          <w:rStyle w:val="10"/>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1"/>
        <w:jc w:val="both"/>
        <w:rPr>
          <w:rFonts w:ascii="Arial" w:hAnsi="Arial" w:cs="Arial"/>
          <w:sz w:val="14"/>
          <w:szCs w:val="16"/>
          <w:lang w:val="sr-Latn-ME"/>
        </w:rPr>
      </w:pPr>
      <w:r>
        <w:rPr>
          <w:rStyle w:val="10"/>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1"/>
        <w:jc w:val="both"/>
        <w:rPr>
          <w:rFonts w:ascii="Arial" w:hAnsi="Arial" w:cs="Arial"/>
          <w:sz w:val="14"/>
          <w:szCs w:val="14"/>
          <w:lang w:val="sr-Latn-ME"/>
        </w:rPr>
      </w:pPr>
      <w:r>
        <w:rPr>
          <w:rStyle w:val="10"/>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eastAsia="Calibri" w:cs="Arial"/>
          <w:color w:val="000000"/>
          <w:sz w:val="16"/>
          <w:szCs w:val="16"/>
          <w:lang w:val="sr-Latn-ME"/>
        </w:rPr>
      </w:pPr>
      <w:r>
        <w:rPr>
          <w:rFonts w:ascii="Arial" w:hAnsi="Arial" w:eastAsia="Calibri" w:cs="Arial"/>
          <w:sz w:val="16"/>
          <w:szCs w:val="16"/>
          <w:vertAlign w:val="superscript"/>
          <w:lang w:val="sr-Latn-ME"/>
        </w:rPr>
        <w:footnoteRef/>
      </w:r>
      <w:r>
        <w:rPr>
          <w:rFonts w:ascii="Arial" w:hAnsi="Arial" w:eastAsia="Calibri" w:cs="Arial"/>
          <w:color w:val="FF0000"/>
          <w:sz w:val="16"/>
          <w:szCs w:val="16"/>
          <w:lang w:val="sr-Latn-ME"/>
        </w:rPr>
        <w:t xml:space="preserve"> </w:t>
      </w:r>
      <w:r>
        <w:rPr>
          <w:rFonts w:ascii="Arial" w:hAnsi="Arial" w:eastAsia="Calibri" w:cs="Arial"/>
          <w:color w:val="000000"/>
          <w:sz w:val="16"/>
          <w:szCs w:val="16"/>
          <w:lang w:val="sr-Latn-ME"/>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52A58"/>
    <w:multiLevelType w:val="singleLevel"/>
    <w:tmpl w:val="95F52A58"/>
    <w:lvl w:ilvl="0" w:tentative="0">
      <w:start w:val="1"/>
      <w:numFmt w:val="lowerLetter"/>
      <w:suff w:val="space"/>
      <w:lvlText w:val="%1)"/>
      <w:lvlJc w:val="left"/>
      <w:rPr>
        <w:rFonts w:hint="default"/>
        <w:b/>
        <w:bCs/>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4C4B2F49"/>
    <w:multiLevelType w:val="multilevel"/>
    <w:tmpl w:val="4C4B2F4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3876E9C"/>
    <w:multiLevelType w:val="multilevel"/>
    <w:tmpl w:val="63876E9C"/>
    <w:lvl w:ilvl="0" w:tentative="0">
      <w:start w:val="0"/>
      <w:numFmt w:val="bullet"/>
      <w:lvlText w:val="-"/>
      <w:lvlJc w:val="left"/>
      <w:pPr>
        <w:ind w:left="720" w:hanging="360"/>
      </w:pPr>
      <w:rPr>
        <w:rFonts w:hint="default" w:ascii="Times New Roman" w:hAnsi="Times New Roman" w:eastAsia="PMingLiU"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744C5EB7"/>
    <w:multiLevelType w:val="multilevel"/>
    <w:tmpl w:val="744C5EB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4"/>
  </w:num>
  <w:num w:numId="4">
    <w:abstractNumId w:val="6"/>
  </w:num>
  <w:num w:numId="5">
    <w:abstractNumId w:val="8"/>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16"/>
    <w:footnote w:id="17"/>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61B98"/>
    <w:rsid w:val="00064CB2"/>
    <w:rsid w:val="000829C9"/>
    <w:rsid w:val="00094244"/>
    <w:rsid w:val="00094A08"/>
    <w:rsid w:val="00095E6A"/>
    <w:rsid w:val="000A1F38"/>
    <w:rsid w:val="000A2E6B"/>
    <w:rsid w:val="000B1411"/>
    <w:rsid w:val="000D2EA3"/>
    <w:rsid w:val="000E5130"/>
    <w:rsid w:val="00102DCC"/>
    <w:rsid w:val="00105D04"/>
    <w:rsid w:val="00113ECC"/>
    <w:rsid w:val="001165B3"/>
    <w:rsid w:val="001252CA"/>
    <w:rsid w:val="001629FC"/>
    <w:rsid w:val="001637BB"/>
    <w:rsid w:val="00194F62"/>
    <w:rsid w:val="00195423"/>
    <w:rsid w:val="0019789B"/>
    <w:rsid w:val="001A02EB"/>
    <w:rsid w:val="001A654C"/>
    <w:rsid w:val="001A7608"/>
    <w:rsid w:val="001B5949"/>
    <w:rsid w:val="001C00F8"/>
    <w:rsid w:val="001C1C59"/>
    <w:rsid w:val="001C1D54"/>
    <w:rsid w:val="001D3749"/>
    <w:rsid w:val="001D431F"/>
    <w:rsid w:val="001D64EA"/>
    <w:rsid w:val="001E1808"/>
    <w:rsid w:val="001F54F1"/>
    <w:rsid w:val="00240916"/>
    <w:rsid w:val="00246961"/>
    <w:rsid w:val="0025046E"/>
    <w:rsid w:val="0026331D"/>
    <w:rsid w:val="0027298D"/>
    <w:rsid w:val="00272FFB"/>
    <w:rsid w:val="002812FB"/>
    <w:rsid w:val="0028395A"/>
    <w:rsid w:val="0028478F"/>
    <w:rsid w:val="002847D2"/>
    <w:rsid w:val="00285E8F"/>
    <w:rsid w:val="002A4077"/>
    <w:rsid w:val="002B070B"/>
    <w:rsid w:val="00301AA0"/>
    <w:rsid w:val="00306EE1"/>
    <w:rsid w:val="003137DB"/>
    <w:rsid w:val="00341AA6"/>
    <w:rsid w:val="00347864"/>
    <w:rsid w:val="0037540C"/>
    <w:rsid w:val="00380130"/>
    <w:rsid w:val="003A2AF7"/>
    <w:rsid w:val="003B0FA7"/>
    <w:rsid w:val="003D252F"/>
    <w:rsid w:val="003E0703"/>
    <w:rsid w:val="003E4931"/>
    <w:rsid w:val="00412386"/>
    <w:rsid w:val="00413720"/>
    <w:rsid w:val="00416A86"/>
    <w:rsid w:val="00443ADF"/>
    <w:rsid w:val="00445F5A"/>
    <w:rsid w:val="0045709C"/>
    <w:rsid w:val="00457C21"/>
    <w:rsid w:val="00462222"/>
    <w:rsid w:val="00463E1B"/>
    <w:rsid w:val="00477459"/>
    <w:rsid w:val="0049582A"/>
    <w:rsid w:val="004A0CF7"/>
    <w:rsid w:val="004A2F64"/>
    <w:rsid w:val="004A6D3C"/>
    <w:rsid w:val="004B7984"/>
    <w:rsid w:val="004C2D42"/>
    <w:rsid w:val="004E5ED9"/>
    <w:rsid w:val="004E7352"/>
    <w:rsid w:val="00527DC2"/>
    <w:rsid w:val="00545B4A"/>
    <w:rsid w:val="0055551F"/>
    <w:rsid w:val="0057236B"/>
    <w:rsid w:val="005811D6"/>
    <w:rsid w:val="005A1673"/>
    <w:rsid w:val="005A2A82"/>
    <w:rsid w:val="005B30E9"/>
    <w:rsid w:val="005C26DD"/>
    <w:rsid w:val="005C2C04"/>
    <w:rsid w:val="005E379F"/>
    <w:rsid w:val="006123FC"/>
    <w:rsid w:val="00653D15"/>
    <w:rsid w:val="00657AE4"/>
    <w:rsid w:val="006A212B"/>
    <w:rsid w:val="006B7DA8"/>
    <w:rsid w:val="0076725F"/>
    <w:rsid w:val="0078302A"/>
    <w:rsid w:val="007867ED"/>
    <w:rsid w:val="00793085"/>
    <w:rsid w:val="00795128"/>
    <w:rsid w:val="007959B1"/>
    <w:rsid w:val="007B326E"/>
    <w:rsid w:val="007F016B"/>
    <w:rsid w:val="007F064D"/>
    <w:rsid w:val="007F0910"/>
    <w:rsid w:val="007F099B"/>
    <w:rsid w:val="007F35AF"/>
    <w:rsid w:val="007F7336"/>
    <w:rsid w:val="00830ED1"/>
    <w:rsid w:val="0083691F"/>
    <w:rsid w:val="00844ED0"/>
    <w:rsid w:val="00871A3A"/>
    <w:rsid w:val="0089368B"/>
    <w:rsid w:val="008C7411"/>
    <w:rsid w:val="008C76B4"/>
    <w:rsid w:val="008D1F99"/>
    <w:rsid w:val="008D568B"/>
    <w:rsid w:val="00910581"/>
    <w:rsid w:val="00930A55"/>
    <w:rsid w:val="00935A3C"/>
    <w:rsid w:val="00957E51"/>
    <w:rsid w:val="00964B62"/>
    <w:rsid w:val="00964E08"/>
    <w:rsid w:val="009673A6"/>
    <w:rsid w:val="00971177"/>
    <w:rsid w:val="009722D6"/>
    <w:rsid w:val="00977C56"/>
    <w:rsid w:val="00977F8F"/>
    <w:rsid w:val="0098135C"/>
    <w:rsid w:val="0098197B"/>
    <w:rsid w:val="009B5283"/>
    <w:rsid w:val="009C4391"/>
    <w:rsid w:val="009E0AF6"/>
    <w:rsid w:val="009F2E7F"/>
    <w:rsid w:val="009F3410"/>
    <w:rsid w:val="00A03E4A"/>
    <w:rsid w:val="00A06A1D"/>
    <w:rsid w:val="00A1397F"/>
    <w:rsid w:val="00A369BE"/>
    <w:rsid w:val="00A44B78"/>
    <w:rsid w:val="00A54BE0"/>
    <w:rsid w:val="00A64D03"/>
    <w:rsid w:val="00A70B71"/>
    <w:rsid w:val="00A81CC3"/>
    <w:rsid w:val="00A967CE"/>
    <w:rsid w:val="00AA41D8"/>
    <w:rsid w:val="00AB48E5"/>
    <w:rsid w:val="00AC73A6"/>
    <w:rsid w:val="00AD4B09"/>
    <w:rsid w:val="00AD6ECA"/>
    <w:rsid w:val="00AD6F80"/>
    <w:rsid w:val="00AE7923"/>
    <w:rsid w:val="00AF385F"/>
    <w:rsid w:val="00B02F55"/>
    <w:rsid w:val="00B17AFD"/>
    <w:rsid w:val="00B21242"/>
    <w:rsid w:val="00B22AF1"/>
    <w:rsid w:val="00B4041F"/>
    <w:rsid w:val="00B436A8"/>
    <w:rsid w:val="00B43933"/>
    <w:rsid w:val="00B45485"/>
    <w:rsid w:val="00B50606"/>
    <w:rsid w:val="00B76CEA"/>
    <w:rsid w:val="00B9733D"/>
    <w:rsid w:val="00BD62E4"/>
    <w:rsid w:val="00BE0BBC"/>
    <w:rsid w:val="00BE2F98"/>
    <w:rsid w:val="00BF221D"/>
    <w:rsid w:val="00BF2E70"/>
    <w:rsid w:val="00BF51E2"/>
    <w:rsid w:val="00C20B4D"/>
    <w:rsid w:val="00C24E48"/>
    <w:rsid w:val="00C25853"/>
    <w:rsid w:val="00C4104E"/>
    <w:rsid w:val="00C4628F"/>
    <w:rsid w:val="00C47618"/>
    <w:rsid w:val="00C52248"/>
    <w:rsid w:val="00C5658A"/>
    <w:rsid w:val="00C56723"/>
    <w:rsid w:val="00C93719"/>
    <w:rsid w:val="00C97CCD"/>
    <w:rsid w:val="00CA129B"/>
    <w:rsid w:val="00CC1376"/>
    <w:rsid w:val="00CC7355"/>
    <w:rsid w:val="00CD769D"/>
    <w:rsid w:val="00CF1D21"/>
    <w:rsid w:val="00CF380C"/>
    <w:rsid w:val="00D16305"/>
    <w:rsid w:val="00D4539F"/>
    <w:rsid w:val="00D55B8E"/>
    <w:rsid w:val="00D56CA8"/>
    <w:rsid w:val="00DC37E9"/>
    <w:rsid w:val="00DC4DE2"/>
    <w:rsid w:val="00DD4AD8"/>
    <w:rsid w:val="00DD4F37"/>
    <w:rsid w:val="00DE34BF"/>
    <w:rsid w:val="00DE37A4"/>
    <w:rsid w:val="00E03B04"/>
    <w:rsid w:val="00E15A9C"/>
    <w:rsid w:val="00E270ED"/>
    <w:rsid w:val="00E369E8"/>
    <w:rsid w:val="00E53679"/>
    <w:rsid w:val="00E60A6A"/>
    <w:rsid w:val="00E62B12"/>
    <w:rsid w:val="00EA30DD"/>
    <w:rsid w:val="00EA7F59"/>
    <w:rsid w:val="00EE1B13"/>
    <w:rsid w:val="00EE261E"/>
    <w:rsid w:val="00EE5AFE"/>
    <w:rsid w:val="00F202B3"/>
    <w:rsid w:val="00F42FAB"/>
    <w:rsid w:val="00F47A85"/>
    <w:rsid w:val="00F57EB9"/>
    <w:rsid w:val="00F80A87"/>
    <w:rsid w:val="00F909A3"/>
    <w:rsid w:val="00FC6EE6"/>
    <w:rsid w:val="00FD4599"/>
    <w:rsid w:val="0D9C5D55"/>
    <w:rsid w:val="0EAF25AF"/>
    <w:rsid w:val="10AC3A28"/>
    <w:rsid w:val="190F4D3A"/>
    <w:rsid w:val="1D342716"/>
    <w:rsid w:val="208C0D13"/>
    <w:rsid w:val="267915B6"/>
    <w:rsid w:val="27086961"/>
    <w:rsid w:val="2DFF3C7B"/>
    <w:rsid w:val="32827328"/>
    <w:rsid w:val="3ABB79B8"/>
    <w:rsid w:val="4E933F7A"/>
    <w:rsid w:val="58996A7E"/>
    <w:rsid w:val="5B8C7E2B"/>
    <w:rsid w:val="63581F08"/>
    <w:rsid w:val="6719299D"/>
    <w:rsid w:val="69613CEF"/>
    <w:rsid w:val="6CD67177"/>
    <w:rsid w:val="723F0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rFonts w:ascii="Segoe UI" w:hAnsi="Segoe UI" w:cs="Segoe UI"/>
      <w:sz w:val="18"/>
      <w:szCs w:val="18"/>
    </w:rPr>
  </w:style>
  <w:style w:type="character" w:styleId="6">
    <w:name w:val="annotation reference"/>
    <w:basedOn w:val="3"/>
    <w:semiHidden/>
    <w:unhideWhenUsed/>
    <w:qFormat/>
    <w:uiPriority w:val="99"/>
    <w:rPr>
      <w:sz w:val="16"/>
      <w:szCs w:val="16"/>
    </w:rPr>
  </w:style>
  <w:style w:type="paragraph" w:styleId="7">
    <w:name w:val="annotation text"/>
    <w:basedOn w:val="1"/>
    <w:link w:val="17"/>
    <w:semiHidden/>
    <w:unhideWhenUsed/>
    <w:qFormat/>
    <w:uiPriority w:val="99"/>
    <w:pPr>
      <w:spacing w:line="240" w:lineRule="auto"/>
    </w:pPr>
    <w:rPr>
      <w:sz w:val="20"/>
      <w:szCs w:val="20"/>
    </w:rPr>
  </w:style>
  <w:style w:type="paragraph" w:styleId="8">
    <w:name w:val="annotation subject"/>
    <w:basedOn w:val="7"/>
    <w:next w:val="7"/>
    <w:link w:val="18"/>
    <w:semiHidden/>
    <w:unhideWhenUsed/>
    <w:qFormat/>
    <w:uiPriority w:val="99"/>
    <w:rPr>
      <w:b/>
      <w:bCs/>
    </w:rPr>
  </w:style>
  <w:style w:type="paragraph" w:styleId="9">
    <w:name w:val="footer"/>
    <w:basedOn w:val="1"/>
    <w:link w:val="16"/>
    <w:unhideWhenUsed/>
    <w:qFormat/>
    <w:uiPriority w:val="99"/>
    <w:pPr>
      <w:tabs>
        <w:tab w:val="center" w:pos="4680"/>
        <w:tab w:val="right" w:pos="9360"/>
      </w:tabs>
      <w:spacing w:after="0" w:line="240" w:lineRule="auto"/>
    </w:pPr>
  </w:style>
  <w:style w:type="character" w:styleId="10">
    <w:name w:val="footnote reference"/>
    <w:unhideWhenUsed/>
    <w:qFormat/>
    <w:uiPriority w:val="99"/>
    <w:rPr>
      <w:vertAlign w:val="superscript"/>
    </w:rPr>
  </w:style>
  <w:style w:type="paragraph" w:styleId="11">
    <w:name w:val="footnote text"/>
    <w:basedOn w:val="1"/>
    <w:link w:val="13"/>
    <w:unhideWhenUsed/>
    <w:qFormat/>
    <w:uiPriority w:val="99"/>
    <w:pPr>
      <w:spacing w:after="0" w:line="240" w:lineRule="auto"/>
    </w:pPr>
    <w:rPr>
      <w:rFonts w:ascii="Calibri" w:hAnsi="Calibri" w:eastAsia="Calibri" w:cs="Times New Roman"/>
      <w:sz w:val="20"/>
      <w:szCs w:val="20"/>
    </w:rPr>
  </w:style>
  <w:style w:type="paragraph" w:styleId="12">
    <w:name w:val="header"/>
    <w:basedOn w:val="1"/>
    <w:link w:val="15"/>
    <w:unhideWhenUsed/>
    <w:qFormat/>
    <w:uiPriority w:val="99"/>
    <w:pPr>
      <w:tabs>
        <w:tab w:val="center" w:pos="4680"/>
        <w:tab w:val="right" w:pos="9360"/>
      </w:tabs>
      <w:spacing w:after="0" w:line="240" w:lineRule="auto"/>
    </w:pPr>
  </w:style>
  <w:style w:type="character" w:customStyle="1" w:styleId="13">
    <w:name w:val="Footnote Text Char"/>
    <w:basedOn w:val="3"/>
    <w:link w:val="11"/>
    <w:qFormat/>
    <w:uiPriority w:val="99"/>
    <w:rPr>
      <w:rFonts w:ascii="Calibri" w:hAnsi="Calibri" w:eastAsia="Calibri" w:cs="Times New Roman"/>
      <w:sz w:val="20"/>
      <w:szCs w:val="20"/>
    </w:rPr>
  </w:style>
  <w:style w:type="paragraph" w:styleId="14">
    <w:name w:val="List Paragraph"/>
    <w:basedOn w:val="1"/>
    <w:qFormat/>
    <w:uiPriority w:val="34"/>
    <w:pPr>
      <w:ind w:left="720"/>
      <w:contextualSpacing/>
    </w:pPr>
  </w:style>
  <w:style w:type="character" w:customStyle="1" w:styleId="15">
    <w:name w:val="Header Char"/>
    <w:basedOn w:val="3"/>
    <w:link w:val="12"/>
    <w:qFormat/>
    <w:uiPriority w:val="99"/>
  </w:style>
  <w:style w:type="character" w:customStyle="1" w:styleId="16">
    <w:name w:val="Footer Char"/>
    <w:basedOn w:val="3"/>
    <w:link w:val="9"/>
    <w:qFormat/>
    <w:uiPriority w:val="99"/>
  </w:style>
  <w:style w:type="character" w:customStyle="1" w:styleId="17">
    <w:name w:val="Comment Text Char"/>
    <w:basedOn w:val="3"/>
    <w:link w:val="7"/>
    <w:semiHidden/>
    <w:qFormat/>
    <w:uiPriority w:val="99"/>
    <w:rPr>
      <w:sz w:val="20"/>
      <w:szCs w:val="20"/>
    </w:rPr>
  </w:style>
  <w:style w:type="character" w:customStyle="1" w:styleId="18">
    <w:name w:val="Comment Subject Char"/>
    <w:basedOn w:val="17"/>
    <w:link w:val="8"/>
    <w:semiHidden/>
    <w:qFormat/>
    <w:uiPriority w:val="99"/>
    <w:rPr>
      <w:b/>
      <w:bCs/>
      <w:sz w:val="20"/>
      <w:szCs w:val="20"/>
    </w:rPr>
  </w:style>
  <w:style w:type="character" w:customStyle="1" w:styleId="19">
    <w:name w:val="Balloon Text Char"/>
    <w:basedOn w:val="3"/>
    <w:link w:val="5"/>
    <w:semiHidden/>
    <w:qFormat/>
    <w:uiPriority w:val="99"/>
    <w:rPr>
      <w:rFonts w:ascii="Segoe UI" w:hAnsi="Segoe UI" w:cs="Segoe UI"/>
      <w:sz w:val="18"/>
      <w:szCs w:val="18"/>
    </w:rPr>
  </w:style>
  <w:style w:type="character" w:customStyle="1" w:styleId="20">
    <w:name w:val="Heading 1 Char"/>
    <w:link w:val="2"/>
    <w:qFormat/>
    <w:uiPriority w:val="0"/>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4165</Words>
  <Characters>23741</Characters>
  <Lines>197</Lines>
  <Paragraphs>55</Paragraphs>
  <TotalTime>10</TotalTime>
  <ScaleCrop>false</ScaleCrop>
  <LinksUpToDate>false</LinksUpToDate>
  <CharactersWithSpaces>27851</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cp:lastPrinted>2026-03-30T07:31:00Z</cp:lastPrinted>
  <dcterms:modified xsi:type="dcterms:W3CDTF">2026-04-24T10:44:18Z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A0D6B63388204F7B9D54484D7458342E</vt:lpwstr>
  </property>
</Properties>
</file>