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6D929" w14:textId="77777777" w:rsidR="008E355A" w:rsidRDefault="008E355A">
      <w:pPr>
        <w:pStyle w:val="Body"/>
      </w:pPr>
    </w:p>
    <w:p w14:paraId="2E35C3DA" w14:textId="77777777" w:rsidR="008E355A" w:rsidRDefault="00EC2B46">
      <w:pPr>
        <w:pStyle w:val="Body"/>
      </w:pPr>
      <w:r>
        <w:t xml:space="preserve">1. Vrši se izmjena na način što se briše iz tenderske dokumentacije uslov: </w:t>
      </w:r>
    </w:p>
    <w:p w14:paraId="5FA74062" w14:textId="77777777" w:rsidR="008E355A" w:rsidRDefault="00EC2B46">
      <w:pPr>
        <w:pStyle w:val="Body"/>
      </w:pPr>
      <w:r>
        <w:t>„Rok izvršenja ugovora - Rok izvršenja ugovora: godinu dana od dana zaključenja Ugovora ili do trenutka realizacije ukupno opredijeljenih sredstava ukoliko to prvo nastupi kao okolnost.</w:t>
      </w:r>
      <w:r>
        <w:rPr>
          <w:lang w:val="de-DE"/>
        </w:rPr>
        <w:t xml:space="preserve">“ </w:t>
      </w:r>
    </w:p>
    <w:p w14:paraId="2E5DE6AA" w14:textId="77777777" w:rsidR="008E355A" w:rsidRDefault="008E355A">
      <w:pPr>
        <w:pStyle w:val="Body"/>
      </w:pPr>
    </w:p>
    <w:p w14:paraId="6366D349" w14:textId="77777777" w:rsidR="008E355A" w:rsidRDefault="00EC2B46">
      <w:pPr>
        <w:pStyle w:val="Body"/>
      </w:pPr>
      <w:r>
        <w:t xml:space="preserve">2. Vrši se izmjena na način što usmjesto: </w:t>
      </w:r>
    </w:p>
    <w:p w14:paraId="7AC474F4" w14:textId="77777777" w:rsidR="008E355A" w:rsidRPr="008D4CEE" w:rsidRDefault="00EC2B46">
      <w:pPr>
        <w:pStyle w:val="Body"/>
        <w:rPr>
          <w:lang w:val="fr-FR"/>
        </w:rPr>
      </w:pPr>
      <w:r>
        <w:t>„Drugi uslovi - Minimalni rok za nabavku, isporuku i ugradnju opreme 10 dana, a maksimalni rok 90 dana od dana zvanične narudžbenice naruč</w:t>
      </w:r>
      <w:r>
        <w:rPr>
          <w:lang w:val="it-IT"/>
        </w:rPr>
        <w:t>ioca. Ponu</w:t>
      </w:r>
      <w:r w:rsidRPr="008D4CEE">
        <w:rPr>
          <w:lang w:val="fr-FR"/>
        </w:rPr>
        <w:t>đač je dužan da se u ponudi izjasni o roku isporuke robe.</w:t>
      </w:r>
      <w:r>
        <w:rPr>
          <w:lang w:val="de-DE"/>
        </w:rPr>
        <w:t xml:space="preserve">“ </w:t>
      </w:r>
    </w:p>
    <w:p w14:paraId="5DC7A1E2" w14:textId="77777777" w:rsidR="008E355A" w:rsidRPr="008D4CEE" w:rsidRDefault="008E355A">
      <w:pPr>
        <w:pStyle w:val="Body"/>
        <w:rPr>
          <w:lang w:val="fr-FR"/>
        </w:rPr>
      </w:pPr>
    </w:p>
    <w:p w14:paraId="4E9A5502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 xml:space="preserve">Sada stoji: </w:t>
      </w:r>
    </w:p>
    <w:p w14:paraId="11BC1BE0" w14:textId="14CF3A7B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 xml:space="preserve">„Rok izvršenja ugovora - Minimalni rok za nabavku, isporuku i ugradnju opreme 10 dana, a maksimalni rok 90 dana od dana </w:t>
      </w:r>
      <w:r w:rsidR="00B92CD2">
        <w:rPr>
          <w:lang w:val="fr-FR"/>
        </w:rPr>
        <w:t>potpisivanja ugovora</w:t>
      </w:r>
      <w:bookmarkStart w:id="0" w:name="_GoBack"/>
      <w:bookmarkEnd w:id="0"/>
      <w:r>
        <w:rPr>
          <w:lang w:val="it-IT"/>
        </w:rPr>
        <w:t>. Ponu</w:t>
      </w:r>
      <w:r w:rsidRPr="008D4CEE">
        <w:rPr>
          <w:lang w:val="fr-FR"/>
        </w:rPr>
        <w:t>đač je dužan da se u ponudi izjasni o roku isporuke robe.</w:t>
      </w:r>
      <w:r>
        <w:rPr>
          <w:rtl/>
          <w:lang w:val="ar-SA"/>
        </w:rPr>
        <w:t>“</w:t>
      </w:r>
    </w:p>
    <w:p w14:paraId="7886144C" w14:textId="77777777" w:rsidR="008E355A" w:rsidRPr="008D4CEE" w:rsidRDefault="008E355A">
      <w:pPr>
        <w:pStyle w:val="Body"/>
        <w:rPr>
          <w:lang w:val="fr-FR"/>
        </w:rPr>
      </w:pPr>
    </w:p>
    <w:p w14:paraId="4AC5A317" w14:textId="77777777" w:rsidR="008E355A" w:rsidRPr="008D4CEE" w:rsidRDefault="00EC2B46">
      <w:pPr>
        <w:pStyle w:val="Body"/>
        <w:rPr>
          <w:lang w:val="fr-FR"/>
        </w:rPr>
      </w:pPr>
      <w:r>
        <w:rPr>
          <w:noProof/>
        </w:rPr>
        <w:drawing>
          <wp:anchor distT="152400" distB="152400" distL="152400" distR="152400" simplePos="0" relativeHeight="251661312" behindDoc="0" locked="0" layoutInCell="1" allowOverlap="1" wp14:anchorId="4FEDFA17" wp14:editId="77A014D3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6120057" cy="4590043"/>
            <wp:effectExtent l="0" t="0" r="0" b="0"/>
            <wp:wrapTopAndBottom distT="152400" distB="15240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45900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D4CEE">
        <w:rPr>
          <w:lang w:val="fr-FR"/>
        </w:rPr>
        <w:t>3. Odgovor</w:t>
      </w:r>
    </w:p>
    <w:p w14:paraId="1B0E9062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Naručilac odbacuje navode da su tehnički zahtjevi i upućivanje na standarde postavljeni na način koji neopravdano ograničava konkurenciju.</w:t>
      </w:r>
    </w:p>
    <w:p w14:paraId="18C5D014" w14:textId="77777777" w:rsidR="008E355A" w:rsidRPr="008D4CEE" w:rsidRDefault="008E355A">
      <w:pPr>
        <w:pStyle w:val="Body"/>
        <w:rPr>
          <w:lang w:val="fr-FR"/>
        </w:rPr>
      </w:pPr>
    </w:p>
    <w:p w14:paraId="77CC45E3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Zahtijevani standardi EN 50272-2, IEC 62485-2, EN 50110-1 i IEC 60896-11 nijesu proizvoljno određeni, već predstavljaju opšteprihvaćene međunarodne norme koje definišu bezbjednost, način ugradnje, eksploatacije, kao i tehničke performanse stacionarnih baterijskih sistema.</w:t>
      </w:r>
    </w:p>
    <w:p w14:paraId="72A1FF43" w14:textId="77777777" w:rsidR="008E355A" w:rsidRPr="008D4CEE" w:rsidRDefault="008E355A">
      <w:pPr>
        <w:pStyle w:val="Body"/>
        <w:rPr>
          <w:lang w:val="fr-FR"/>
        </w:rPr>
      </w:pPr>
    </w:p>
    <w:p w14:paraId="4BCA9976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Konkretno:</w:t>
      </w:r>
    </w:p>
    <w:p w14:paraId="366E21E7" w14:textId="77777777" w:rsidR="008E355A" w:rsidRPr="008D4CEE" w:rsidRDefault="008E355A">
      <w:pPr>
        <w:pStyle w:val="Body"/>
        <w:rPr>
          <w:lang w:val="fr-FR"/>
        </w:rPr>
      </w:pPr>
    </w:p>
    <w:p w14:paraId="3A17732F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EN 50272-2 i IEC 62485-2 propisuju mjere zaštite od električnih opasnosti, emisije gasova i elektrolita, kao i uslove za projektovanje, instalaciju, korišćenje i održavanje baterija;</w:t>
      </w:r>
    </w:p>
    <w:p w14:paraId="30AAAADE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lastRenderedPageBreak/>
        <w:t>EN 50110-1 definiše pravila bezbjednog rada na električnim postrojenjima, uključujući sisteme u kojima su baterije sastavni dio;</w:t>
      </w:r>
    </w:p>
    <w:p w14:paraId="1E69C37E" w14:textId="77777777" w:rsidR="008E355A" w:rsidRPr="008D4CEE" w:rsidRDefault="00EC2B46">
      <w:pPr>
        <w:pStyle w:val="Body"/>
        <w:rPr>
          <w:lang w:val="fr-FR"/>
        </w:rPr>
      </w:pPr>
      <w:r>
        <w:rPr>
          <w:lang w:val="pt-PT"/>
        </w:rPr>
        <w:t>IEC 60896-11 defini</w:t>
      </w:r>
      <w:r w:rsidRPr="008D4CEE">
        <w:rPr>
          <w:lang w:val="fr-FR"/>
        </w:rPr>
        <w:t>še osnovne tehničke karakteristike i metode ispitivanja stacionarnih baterija, uključujući deklarisanje i provjeru performansi od strane proizvođač</w:t>
      </w:r>
      <w:r>
        <w:rPr>
          <w:lang w:val="it-IT"/>
        </w:rPr>
        <w:t>a.</w:t>
      </w:r>
    </w:p>
    <w:p w14:paraId="5A7D7F21" w14:textId="77777777" w:rsidR="008E355A" w:rsidRPr="008D4CEE" w:rsidRDefault="008E355A">
      <w:pPr>
        <w:pStyle w:val="Body"/>
        <w:rPr>
          <w:lang w:val="fr-FR"/>
        </w:rPr>
      </w:pPr>
    </w:p>
    <w:p w14:paraId="1B830456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Posebno je značajno da IEC 60896-11 jasno propisuje da deklarisane performanse baterije moraju biti potvrđene standardizovanim ispitivanjima, što znači da parametri koji se traže u tehničkoj specifikaciji nijesu proizvoljni, već predstavljaju mjerljive i verifikovane karakteristike proizvoda.</w:t>
      </w:r>
    </w:p>
    <w:p w14:paraId="0C4A0793" w14:textId="77777777" w:rsidR="008E355A" w:rsidRPr="008D4CEE" w:rsidRDefault="008E355A">
      <w:pPr>
        <w:pStyle w:val="Body"/>
        <w:rPr>
          <w:lang w:val="fr-FR"/>
        </w:rPr>
      </w:pPr>
    </w:p>
    <w:p w14:paraId="0F114BF3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Primjena navedenih standarda ima za cilj isključivo obezbjeđenje minimalnog nivoa sigurnosti, pouzdanosti i funkcionalnosti sistema i ne može se tumačiti kao ograničavanje konkurencije, već kao obaveza naručioca da obezbijedi siguran i dugoročno pouzdan rad sistema.</w:t>
      </w:r>
    </w:p>
    <w:p w14:paraId="259B6FF0" w14:textId="77777777" w:rsidR="008E355A" w:rsidRPr="008D4CEE" w:rsidRDefault="008E355A">
      <w:pPr>
        <w:pStyle w:val="Body"/>
        <w:rPr>
          <w:lang w:val="fr-FR"/>
        </w:rPr>
      </w:pPr>
    </w:p>
    <w:p w14:paraId="572208AD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Navodi ponuđač</w:t>
      </w:r>
      <w:r>
        <w:rPr>
          <w:lang w:val="it-IT"/>
        </w:rPr>
        <w:t xml:space="preserve">a da </w:t>
      </w:r>
      <w:r w:rsidRPr="008D4CEE">
        <w:rPr>
          <w:lang w:val="fr-FR"/>
        </w:rPr>
        <w:t>„neznatna i nebitna odstupanja</w:t>
      </w:r>
      <w:r>
        <w:rPr>
          <w:lang w:val="de-DE"/>
        </w:rPr>
        <w:t xml:space="preserve">“ </w:t>
      </w:r>
      <w:r w:rsidRPr="008D4CEE">
        <w:rPr>
          <w:lang w:val="fr-FR"/>
        </w:rPr>
        <w:t>dovode do eliminacije nijesu osnovani. Naručilac je već izvršio izmjene tenderske dokumentacije u dijelu dimenzija i mase baterija, čime je dodatno omogućeno učešće šireg kruga ponuđač</w:t>
      </w:r>
      <w:r>
        <w:rPr>
          <w:lang w:val="it-IT"/>
        </w:rPr>
        <w:t>a.</w:t>
      </w:r>
    </w:p>
    <w:p w14:paraId="4FB3C16B" w14:textId="77777777" w:rsidR="008E355A" w:rsidRPr="008D4CEE" w:rsidRDefault="008E355A">
      <w:pPr>
        <w:pStyle w:val="Body"/>
        <w:rPr>
          <w:lang w:val="fr-FR"/>
        </w:rPr>
      </w:pPr>
    </w:p>
    <w:p w14:paraId="3E100747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Međutim, ostali tehnički zahtjevi ostaju neizmijenjeni jer predstavljaju suštinske performanse baterije, a ne formalne ili nebitne karakteristike. Posebno:</w:t>
      </w:r>
    </w:p>
    <w:p w14:paraId="07F40DBB" w14:textId="77777777" w:rsidR="008E355A" w:rsidRPr="008D4CEE" w:rsidRDefault="008E355A">
      <w:pPr>
        <w:pStyle w:val="Body"/>
        <w:rPr>
          <w:lang w:val="fr-FR"/>
        </w:rPr>
      </w:pPr>
    </w:p>
    <w:p w14:paraId="38BF77BB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Nazivni kapacitet (Ah) – prema standardu IEC 60896-11 predstavlja količinu električne energije koju baterija mora isporučiti u definisanim uslovima; ovaj parametar direktno određuje autonomiju sistema i ne može biti predmet slobodne interpretacije;</w:t>
      </w:r>
    </w:p>
    <w:p w14:paraId="24610EA3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Struja kratkog spoja (Isc) – standard prepoznaje ovu karakteristiku kroz ispitivanja baterije i ona direktno zavisi od konstrukcije ćelije i njenog unutrašnjeg otpora; utiče na sposobnost baterije da isporuči visoke struje i na njeno ponašanje u realnim uslovima rada;</w:t>
      </w:r>
    </w:p>
    <w:p w14:paraId="3A7B448E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Unutrašnji otpor ćelije – standardizovan parametar koji se mjeri i koji direktno utiče na pad napona, zagrijavanje, efikasnost i radni vijek baterije; povećan otpor znač</w:t>
      </w:r>
      <w:r>
        <w:rPr>
          <w:lang w:val="it-IT"/>
        </w:rPr>
        <w:t>i lo</w:t>
      </w:r>
      <w:r w:rsidRPr="008D4CEE">
        <w:rPr>
          <w:lang w:val="fr-FR"/>
        </w:rPr>
        <w:t>šije performanse i kraći vijek trajanja.</w:t>
      </w:r>
    </w:p>
    <w:p w14:paraId="2601BE0D" w14:textId="77777777" w:rsidR="008E355A" w:rsidRPr="008D4CEE" w:rsidRDefault="008E355A">
      <w:pPr>
        <w:pStyle w:val="Body"/>
        <w:rPr>
          <w:lang w:val="fr-FR"/>
        </w:rPr>
      </w:pPr>
    </w:p>
    <w:p w14:paraId="2BE4B09F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Dakle, navedeni parametri nijesu „nebitni</w:t>
      </w:r>
      <w:r>
        <w:rPr>
          <w:rtl/>
          <w:lang w:val="ar-SA"/>
        </w:rPr>
        <w:t>“</w:t>
      </w:r>
      <w:r w:rsidRPr="008D4CEE">
        <w:rPr>
          <w:lang w:val="fr-FR"/>
        </w:rPr>
        <w:t>, već predstavljaju ključne pokazatelje kvaliteta i pouzdanosti baterije, koji su prepoznati i definisani relevantnim međunarodnim standardima i kao takvi moraju biti ispunjeni.</w:t>
      </w:r>
    </w:p>
    <w:p w14:paraId="7F588A91" w14:textId="77777777" w:rsidR="008E355A" w:rsidRPr="008D4CEE" w:rsidRDefault="008E355A">
      <w:pPr>
        <w:pStyle w:val="Body"/>
        <w:rPr>
          <w:lang w:val="fr-FR"/>
        </w:rPr>
      </w:pPr>
    </w:p>
    <w:p w14:paraId="02C8CF78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 xml:space="preserve">U skladu sa Zakonom o javnim nabavkama, naručilac ima pravo da definiše tehničke specifikacije koje odgovaraju njegovim stvarnim potrebama, uz uslov da su iste objektivne, mjerljive i nediskriminatorne. </w:t>
      </w:r>
    </w:p>
    <w:p w14:paraId="6CCBEC8F" w14:textId="77777777" w:rsidR="008E355A" w:rsidRPr="008D4CEE" w:rsidRDefault="008E355A">
      <w:pPr>
        <w:pStyle w:val="Body"/>
        <w:rPr>
          <w:lang w:val="fr-FR"/>
        </w:rPr>
      </w:pPr>
    </w:p>
    <w:p w14:paraId="663F0C1B" w14:textId="77777777" w:rsidR="008E355A" w:rsidRPr="008D4CEE" w:rsidRDefault="00EC2B46">
      <w:pPr>
        <w:pStyle w:val="Body"/>
        <w:rPr>
          <w:lang w:val="fr-FR"/>
        </w:rPr>
      </w:pPr>
      <w:r w:rsidRPr="008D4CEE">
        <w:rPr>
          <w:lang w:val="fr-FR"/>
        </w:rPr>
        <w:t>Shodno navedenom, naručilac ostaje pri postojećoj tehničkoj specifikaciji (uz već izvršene izmjene u dijelu dimenzija i mase), jer ista obezbjeđuje balans između konkurencije i neophodnog nivoa kvaliteta, sigurnosti i pouzdanosti sistema.</w:t>
      </w:r>
      <w:r w:rsidRPr="008D4CEE">
        <w:rPr>
          <w:rFonts w:ascii="Arial Unicode MS" w:hAnsi="Arial Unicode MS"/>
          <w:lang w:val="fr-FR"/>
        </w:rPr>
        <w:br w:type="page"/>
      </w:r>
    </w:p>
    <w:p w14:paraId="5AF3E6DA" w14:textId="77777777" w:rsidR="008E355A" w:rsidRDefault="008E355A">
      <w:pPr>
        <w:pStyle w:val="Body"/>
      </w:pPr>
    </w:p>
    <w:p w14:paraId="59EC0E50" w14:textId="77777777" w:rsidR="008E355A" w:rsidRDefault="008E355A">
      <w:pPr>
        <w:pStyle w:val="Body"/>
      </w:pPr>
    </w:p>
    <w:sectPr w:rsidR="008E355A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DBBD8" w14:textId="77777777" w:rsidR="009A4112" w:rsidRDefault="009A4112">
      <w:r>
        <w:separator/>
      </w:r>
    </w:p>
  </w:endnote>
  <w:endnote w:type="continuationSeparator" w:id="0">
    <w:p w14:paraId="69164AA2" w14:textId="77777777" w:rsidR="009A4112" w:rsidRDefault="009A4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B5D48" w14:textId="77777777" w:rsidR="008E355A" w:rsidRDefault="008E355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2D65F" w14:textId="77777777" w:rsidR="009A4112" w:rsidRDefault="009A4112">
      <w:r>
        <w:separator/>
      </w:r>
    </w:p>
  </w:footnote>
  <w:footnote w:type="continuationSeparator" w:id="0">
    <w:p w14:paraId="3C298A4B" w14:textId="77777777" w:rsidR="009A4112" w:rsidRDefault="009A4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BD33F" w14:textId="77777777" w:rsidR="008E355A" w:rsidRDefault="008E355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55A"/>
    <w:rsid w:val="001B4945"/>
    <w:rsid w:val="007F61B8"/>
    <w:rsid w:val="008B2D81"/>
    <w:rsid w:val="008D4CEE"/>
    <w:rsid w:val="008E355A"/>
    <w:rsid w:val="009A4112"/>
    <w:rsid w:val="00B92CD2"/>
    <w:rsid w:val="00EC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49CA8"/>
  <w15:docId w15:val="{32A055F0-CBDF-43C8-A835-A5E60885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Ljiljana Radonjic</cp:lastModifiedBy>
  <cp:revision>3</cp:revision>
  <dcterms:created xsi:type="dcterms:W3CDTF">2026-04-08T10:45:00Z</dcterms:created>
  <dcterms:modified xsi:type="dcterms:W3CDTF">2026-04-08T12:16:00Z</dcterms:modified>
</cp:coreProperties>
</file>