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32B6">
      <w:pPr>
        <w:pStyle w:val="3"/>
      </w:pPr>
      <w:bookmarkStart w:id="0" w:name="_Toc222895767"/>
      <w:r>
        <w:t>Klasifikacija incidenata i zahtjeva</w:t>
      </w:r>
      <w:bookmarkEnd w:id="0"/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1800"/>
        <w:gridCol w:w="3526"/>
        <w:gridCol w:w="2500"/>
      </w:tblGrid>
      <w:tr w14:paraId="5547F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22C5C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Nivo</w:t>
            </w:r>
          </w:p>
        </w:tc>
        <w:tc>
          <w:tcPr>
            <w:tcW w:w="18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CA0C2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Prioritet</w:t>
            </w:r>
          </w:p>
        </w:tc>
        <w:tc>
          <w:tcPr>
            <w:tcW w:w="3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01C6D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  <w:tc>
          <w:tcPr>
            <w:tcW w:w="2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F554B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Primjeri</w:t>
            </w:r>
          </w:p>
        </w:tc>
      </w:tr>
      <w:tr w14:paraId="52286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71CC7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18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C7D429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Kritičan</w:t>
            </w:r>
          </w:p>
        </w:tc>
        <w:tc>
          <w:tcPr>
            <w:tcW w:w="3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308E2">
            <w:pPr>
              <w:spacing w:before="30" w:after="30"/>
            </w:pPr>
            <w:r>
              <w:rPr>
                <w:sz w:val="20"/>
                <w:szCs w:val="20"/>
              </w:rPr>
              <w:t>Sistem je potpuno nedostupan ili je oštećen integritet podataka. Kritične poslovne funkcije SCMN-a su blokirane. Bezbjednosni incident sa aktivnom prijetnjom.</w:t>
            </w:r>
          </w:p>
        </w:tc>
        <w:tc>
          <w:tcPr>
            <w:tcW w:w="2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86D5D">
            <w:pPr>
              <w:spacing w:before="30" w:after="30"/>
            </w:pPr>
            <w:r>
              <w:rPr>
                <w:sz w:val="20"/>
                <w:szCs w:val="20"/>
              </w:rPr>
              <w:t>Pad produkcionog sistema; gubitak podataka; neovlašteni pristup; potpuni prekid rada portala u periodu podnošenja izvještaja</w:t>
            </w:r>
          </w:p>
        </w:tc>
      </w:tr>
      <w:tr w14:paraId="30F61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4D9E5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18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82A70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Visok</w:t>
            </w:r>
          </w:p>
        </w:tc>
        <w:tc>
          <w:tcPr>
            <w:tcW w:w="3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0FB74">
            <w:pPr>
              <w:spacing w:before="30" w:after="30"/>
            </w:pPr>
            <w:r>
              <w:rPr>
                <w:sz w:val="20"/>
                <w:szCs w:val="20"/>
              </w:rPr>
              <w:t>Značajna degradacija funkcionalnosti sistema. Ključne funkcije su dostupne ali sa ozbiljnim ograničenjima. Veliki broj korisnika je pogođen.</w:t>
            </w:r>
          </w:p>
        </w:tc>
        <w:tc>
          <w:tcPr>
            <w:tcW w:w="2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B7936">
            <w:pPr>
              <w:spacing w:before="30" w:after="30"/>
            </w:pPr>
            <w:r>
              <w:rPr>
                <w:sz w:val="20"/>
                <w:szCs w:val="20"/>
              </w:rPr>
              <w:t>Greška u validaciji podataka koja blokira prijem izvještaja; značajno usporenje sistema; neispravnost generisanja regulatornih izvještaja</w:t>
            </w:r>
          </w:p>
        </w:tc>
      </w:tr>
      <w:tr w14:paraId="7F740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1521E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18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83AC9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Srednji</w:t>
            </w:r>
          </w:p>
        </w:tc>
        <w:tc>
          <w:tcPr>
            <w:tcW w:w="3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434D1">
            <w:pPr>
              <w:spacing w:before="30" w:after="30"/>
            </w:pPr>
            <w:r>
              <w:rPr>
                <w:sz w:val="20"/>
                <w:szCs w:val="20"/>
              </w:rPr>
              <w:t>Umjereni uticaj na funkcionalnost. Postoji zaobilazno rješenje (workaround). Manji broj korisnika je pogođen.</w:t>
            </w:r>
          </w:p>
        </w:tc>
        <w:tc>
          <w:tcPr>
            <w:tcW w:w="2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B233F">
            <w:pPr>
              <w:spacing w:before="30" w:after="30"/>
            </w:pPr>
            <w:r>
              <w:rPr>
                <w:sz w:val="20"/>
                <w:szCs w:val="20"/>
              </w:rPr>
              <w:t>Greška u pojedinačnom izvještajnom šablonu; problem sa specifičnom kontrolnom tablom; greška u jednom radnom toku</w:t>
            </w:r>
          </w:p>
        </w:tc>
      </w:tr>
      <w:tr w14:paraId="718A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72D57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18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E31F38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Nizak</w:t>
            </w:r>
          </w:p>
        </w:tc>
        <w:tc>
          <w:tcPr>
            <w:tcW w:w="3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1A586">
            <w:pPr>
              <w:spacing w:before="30" w:after="30"/>
            </w:pPr>
            <w:r>
              <w:rPr>
                <w:sz w:val="20"/>
                <w:szCs w:val="20"/>
              </w:rPr>
              <w:t>Minimalan uticaj na poslovanje. Kozmetičke greške, zahtjevi za informacijama ili poboljšanjima.</w:t>
            </w:r>
          </w:p>
        </w:tc>
        <w:tc>
          <w:tcPr>
            <w:tcW w:w="2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7DB05">
            <w:pPr>
              <w:spacing w:before="30" w:after="30"/>
            </w:pPr>
            <w:r>
              <w:rPr>
                <w:sz w:val="20"/>
                <w:szCs w:val="20"/>
              </w:rPr>
              <w:t>Vizuelni nedostaci u korisničkom interfejsu; zahtjevi za dokumentacijom; sugestije za poboljšanje</w:t>
            </w:r>
          </w:p>
        </w:tc>
      </w:tr>
    </w:tbl>
    <w:p w14:paraId="61626BDC">
      <w:pPr>
        <w:pStyle w:val="3"/>
      </w:pPr>
      <w:bookmarkStart w:id="1" w:name="_Toc222895768"/>
      <w:r>
        <w:t>Vremena odziva i rješavanja</w:t>
      </w:r>
      <w:bookmarkEnd w:id="1"/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00"/>
        <w:gridCol w:w="2000"/>
        <w:gridCol w:w="2013"/>
        <w:gridCol w:w="2013"/>
        <w:gridCol w:w="2000"/>
      </w:tblGrid>
      <w:tr w14:paraId="3A13F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0B51C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Nivo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0B303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Vrijeme odziva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04AA3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Zaobilazno rješenje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C332B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Trajno rješenje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3DE4C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Eskalacija</w:t>
            </w:r>
          </w:p>
        </w:tc>
      </w:tr>
      <w:tr w14:paraId="01945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8241F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E71D5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30 minuta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1D78A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4 sata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696D5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24 sata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D55115">
            <w:pPr>
              <w:spacing w:before="30" w:after="30"/>
            </w:pPr>
            <w:r>
              <w:rPr>
                <w:sz w:val="20"/>
                <w:szCs w:val="20"/>
              </w:rPr>
              <w:t>Odmah - CTO/Direktor</w:t>
            </w:r>
          </w:p>
        </w:tc>
      </w:tr>
      <w:tr w14:paraId="1EC47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1319E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9413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2 sata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7662E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8 radnih sati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7E5B1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3 radna dana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3738B">
            <w:pPr>
              <w:spacing w:before="30" w:after="30"/>
            </w:pPr>
            <w:r>
              <w:rPr>
                <w:sz w:val="20"/>
                <w:szCs w:val="20"/>
              </w:rPr>
              <w:t>4 sata - Menadžer usluge</w:t>
            </w:r>
          </w:p>
        </w:tc>
      </w:tr>
      <w:tr w14:paraId="6AF1B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0FB353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F7135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4 radna sata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6FA68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3 radna dana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16729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10 radnih dana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F61A4">
            <w:pPr>
              <w:spacing w:before="30" w:after="30"/>
            </w:pPr>
            <w:r>
              <w:rPr>
                <w:sz w:val="20"/>
                <w:szCs w:val="20"/>
              </w:rPr>
              <w:t>2 radna dana - Menadžer usluge</w:t>
            </w:r>
          </w:p>
        </w:tc>
      </w:tr>
      <w:tr w14:paraId="2028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DB14A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75672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1 radni dan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C4933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013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1180B">
            <w:pPr>
              <w:spacing w:before="30" w:after="30"/>
              <w:jc w:val="center"/>
            </w:pPr>
            <w:r>
              <w:rPr>
                <w:sz w:val="20"/>
                <w:szCs w:val="20"/>
              </w:rPr>
              <w:t>20 radnih dana</w:t>
            </w:r>
          </w:p>
        </w:tc>
        <w:tc>
          <w:tcPr>
            <w:tcW w:w="20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45B20">
            <w:pPr>
              <w:spacing w:before="30" w:after="30"/>
            </w:pPr>
            <w:r>
              <w:rPr>
                <w:sz w:val="20"/>
                <w:szCs w:val="20"/>
              </w:rPr>
              <w:t>5 radnih dana - Menadžer usluge</w:t>
            </w:r>
          </w:p>
        </w:tc>
      </w:tr>
    </w:tbl>
    <w:p w14:paraId="56943479">
      <w:pPr>
        <w:spacing w:before="80" w:after="80"/>
        <w:jc w:val="both"/>
      </w:pPr>
    </w:p>
    <w:p w14:paraId="63793CC3">
      <w:pPr>
        <w:spacing w:before="80" w:after="80"/>
        <w:jc w:val="both"/>
      </w:pPr>
    </w:p>
    <w:p w14:paraId="05C457DB">
      <w:pPr>
        <w:spacing w:before="80" w:after="80"/>
        <w:jc w:val="both"/>
      </w:pPr>
    </w:p>
    <w:p w14:paraId="511673F6">
      <w:pPr>
        <w:spacing w:before="80" w:after="80"/>
        <w:jc w:val="both"/>
      </w:pPr>
    </w:p>
    <w:p w14:paraId="73DAF19B">
      <w:pPr>
        <w:spacing w:before="80" w:after="80"/>
        <w:jc w:val="both"/>
      </w:pPr>
    </w:p>
    <w:p w14:paraId="360429A5">
      <w:pPr>
        <w:spacing w:before="80" w:after="80"/>
        <w:jc w:val="both"/>
      </w:pPr>
    </w:p>
    <w:p w14:paraId="572DD8DD">
      <w:pPr>
        <w:spacing w:before="80" w:after="80"/>
        <w:jc w:val="both"/>
      </w:pPr>
      <w:bookmarkStart w:id="4" w:name="_GoBack"/>
      <w:bookmarkEnd w:id="4"/>
    </w:p>
    <w:p w14:paraId="422FA719">
      <w:pPr>
        <w:pStyle w:val="3"/>
      </w:pPr>
      <w:bookmarkStart w:id="2" w:name="_Toc222895769"/>
      <w:r>
        <w:t>Dostupnost sistema</w:t>
      </w:r>
      <w:bookmarkEnd w:id="2"/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00"/>
        <w:gridCol w:w="5826"/>
      </w:tblGrid>
      <w:tr w14:paraId="68C13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A3742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Metrika</w:t>
            </w:r>
          </w:p>
        </w:tc>
        <w:tc>
          <w:tcPr>
            <w:tcW w:w="58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6BC44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Zahtjev</w:t>
            </w:r>
          </w:p>
        </w:tc>
      </w:tr>
      <w:tr w14:paraId="1E43F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3FCF1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Dostupnost produkcionog sistema</w:t>
            </w:r>
          </w:p>
        </w:tc>
        <w:tc>
          <w:tcPr>
            <w:tcW w:w="58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B8903">
            <w:pPr>
              <w:spacing w:before="30" w:after="30"/>
            </w:pPr>
            <w:r>
              <w:rPr>
                <w:sz w:val="20"/>
                <w:szCs w:val="20"/>
              </w:rPr>
              <w:t>99,5% na mjesečnom nivou (mjereno izvan planiranih prozora za održavanje)</w:t>
            </w:r>
          </w:p>
        </w:tc>
      </w:tr>
      <w:tr w14:paraId="2860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0C9031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Dostupnost portala za entitete</w:t>
            </w:r>
          </w:p>
        </w:tc>
        <w:tc>
          <w:tcPr>
            <w:tcW w:w="58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47743">
            <w:pPr>
              <w:spacing w:before="30" w:after="30"/>
            </w:pPr>
            <w:r>
              <w:rPr>
                <w:sz w:val="20"/>
                <w:szCs w:val="20"/>
              </w:rPr>
              <w:t>99,5% na mjesečnom nivou</w:t>
            </w:r>
          </w:p>
        </w:tc>
      </w:tr>
      <w:tr w14:paraId="65C9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820D3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Planirano održavanje</w:t>
            </w:r>
          </w:p>
        </w:tc>
        <w:tc>
          <w:tcPr>
            <w:tcW w:w="58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FEFA8">
            <w:pPr>
              <w:spacing w:before="30" w:after="30"/>
            </w:pPr>
            <w:r>
              <w:rPr>
                <w:sz w:val="20"/>
                <w:szCs w:val="20"/>
              </w:rPr>
              <w:t>Maksimalno 8 sati mjesečno, u periodu 22:00-06:00 CET, uz obavijest SCMN-u minimum 5 radnih dana unaprijed</w:t>
            </w:r>
          </w:p>
        </w:tc>
      </w:tr>
      <w:tr w14:paraId="2E887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75F65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Recovery Time Objective (RTO)</w:t>
            </w:r>
          </w:p>
        </w:tc>
        <w:tc>
          <w:tcPr>
            <w:tcW w:w="58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3678F">
            <w:pPr>
              <w:spacing w:before="30" w:after="30"/>
            </w:pPr>
            <w:r>
              <w:rPr>
                <w:sz w:val="20"/>
                <w:szCs w:val="20"/>
              </w:rPr>
              <w:t>4 sata za produkciono okruženje</w:t>
            </w:r>
          </w:p>
        </w:tc>
      </w:tr>
      <w:tr w14:paraId="0BD1E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EB9A5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Recovery Point Objective (RPO)</w:t>
            </w:r>
          </w:p>
        </w:tc>
        <w:tc>
          <w:tcPr>
            <w:tcW w:w="58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74B860">
            <w:pPr>
              <w:spacing w:before="30" w:after="30"/>
            </w:pPr>
            <w:r>
              <w:rPr>
                <w:sz w:val="20"/>
                <w:szCs w:val="20"/>
              </w:rPr>
              <w:t>1 sat (maksimalan gubitak podataka u slučaju katastrofe)</w:t>
            </w:r>
          </w:p>
        </w:tc>
      </w:tr>
      <w:tr w14:paraId="4CDC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D43D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Prosječno vrijeme između kvarova (MTBF)</w:t>
            </w:r>
          </w:p>
        </w:tc>
        <w:tc>
          <w:tcPr>
            <w:tcW w:w="58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E0CB19">
            <w:pPr>
              <w:spacing w:before="30" w:after="30"/>
            </w:pPr>
            <w:r>
              <w:rPr>
                <w:sz w:val="20"/>
                <w:szCs w:val="20"/>
              </w:rPr>
              <w:t>Minimum 720 sati</w:t>
            </w:r>
          </w:p>
        </w:tc>
      </w:tr>
    </w:tbl>
    <w:p w14:paraId="6523C51F">
      <w:pPr>
        <w:pStyle w:val="4"/>
      </w:pPr>
      <w:bookmarkStart w:id="3" w:name="_Toc222895772"/>
      <w:r>
        <w:t>Penali za neispunjenost SLA</w:t>
      </w:r>
      <w:bookmarkEnd w:id="3"/>
    </w:p>
    <w:tbl>
      <w:tblPr>
        <w:tblStyle w:val="9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00"/>
        <w:gridCol w:w="4526"/>
      </w:tblGrid>
      <w:tr w14:paraId="6748B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E11FA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Kršenje SLA</w:t>
            </w:r>
          </w:p>
        </w:tc>
        <w:tc>
          <w:tcPr>
            <w:tcW w:w="4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1B3A5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463E2">
            <w:pPr>
              <w:spacing w:before="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Penal</w:t>
            </w:r>
          </w:p>
        </w:tc>
      </w:tr>
      <w:tr w14:paraId="1F1C7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9B12D">
            <w:pPr>
              <w:spacing w:before="30" w:after="30"/>
            </w:pPr>
            <w:r>
              <w:rPr>
                <w:sz w:val="20"/>
                <w:szCs w:val="20"/>
              </w:rPr>
              <w:t>Dostupnost ispod 99,5% ali iznad 99,0%</w:t>
            </w:r>
          </w:p>
        </w:tc>
        <w:tc>
          <w:tcPr>
            <w:tcW w:w="4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EF227">
            <w:pPr>
              <w:spacing w:before="30" w:after="30"/>
            </w:pPr>
            <w:r>
              <w:rPr>
                <w:sz w:val="20"/>
                <w:szCs w:val="20"/>
              </w:rPr>
              <w:t>5% mjesečne naknade za svaki započeti 0,1% ispod praga</w:t>
            </w:r>
          </w:p>
        </w:tc>
      </w:tr>
      <w:tr w14:paraId="44D54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07EA6">
            <w:pPr>
              <w:spacing w:before="30" w:after="30"/>
            </w:pPr>
            <w:r>
              <w:rPr>
                <w:sz w:val="20"/>
                <w:szCs w:val="20"/>
              </w:rPr>
              <w:t>Dostupnost ispod 99,0%</w:t>
            </w:r>
          </w:p>
        </w:tc>
        <w:tc>
          <w:tcPr>
            <w:tcW w:w="4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7689E">
            <w:pPr>
              <w:spacing w:before="30" w:after="30"/>
            </w:pPr>
            <w:r>
              <w:rPr>
                <w:sz w:val="20"/>
                <w:szCs w:val="20"/>
              </w:rPr>
              <w:t>15% mjesečne naknade + obavezno izvještavanje o uzrocima</w:t>
            </w:r>
          </w:p>
        </w:tc>
      </w:tr>
      <w:tr w14:paraId="5CAAA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09942">
            <w:pPr>
              <w:spacing w:before="30" w:after="30"/>
            </w:pPr>
            <w:r>
              <w:rPr>
                <w:sz w:val="20"/>
                <w:szCs w:val="20"/>
              </w:rPr>
              <w:t>Prekoračenje vremena odziva za P1 incident</w:t>
            </w:r>
          </w:p>
        </w:tc>
        <w:tc>
          <w:tcPr>
            <w:tcW w:w="4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444A7">
            <w:pPr>
              <w:spacing w:before="30" w:after="30"/>
            </w:pPr>
            <w:r>
              <w:rPr>
                <w:sz w:val="20"/>
                <w:szCs w:val="20"/>
              </w:rPr>
              <w:t>2% mjesečne naknade po incidentu</w:t>
            </w:r>
          </w:p>
        </w:tc>
      </w:tr>
      <w:tr w14:paraId="5AB56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0B2B7">
            <w:pPr>
              <w:spacing w:before="30" w:after="30"/>
            </w:pPr>
            <w:r>
              <w:rPr>
                <w:sz w:val="20"/>
                <w:szCs w:val="20"/>
              </w:rPr>
              <w:t>Prekoračenje vremena rješavanja za P1 incident</w:t>
            </w:r>
          </w:p>
        </w:tc>
        <w:tc>
          <w:tcPr>
            <w:tcW w:w="4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C4CB3B">
            <w:pPr>
              <w:spacing w:before="30" w:after="30"/>
            </w:pPr>
            <w:r>
              <w:rPr>
                <w:sz w:val="20"/>
                <w:szCs w:val="20"/>
              </w:rPr>
              <w:t>5% mjesečne naknade po incidentu</w:t>
            </w:r>
          </w:p>
        </w:tc>
      </w:tr>
      <w:tr w14:paraId="5A0D1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E90760">
            <w:pPr>
              <w:spacing w:before="30" w:after="30"/>
            </w:pPr>
            <w:r>
              <w:rPr>
                <w:sz w:val="20"/>
                <w:szCs w:val="20"/>
              </w:rPr>
              <w:t>Prekoračenje vremena odziva za P2 incident</w:t>
            </w:r>
          </w:p>
        </w:tc>
        <w:tc>
          <w:tcPr>
            <w:tcW w:w="4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CE8D6">
            <w:pPr>
              <w:spacing w:before="30" w:after="30"/>
            </w:pPr>
            <w:r>
              <w:rPr>
                <w:sz w:val="20"/>
                <w:szCs w:val="20"/>
              </w:rPr>
              <w:t>1% mjesečne naknade po incidentu</w:t>
            </w:r>
          </w:p>
        </w:tc>
      </w:tr>
      <w:tr w14:paraId="4D3E2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00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E2A1A">
            <w:pPr>
              <w:spacing w:before="30" w:after="30"/>
            </w:pPr>
            <w:r>
              <w:rPr>
                <w:sz w:val="20"/>
                <w:szCs w:val="20"/>
              </w:rPr>
              <w:t>Nedostavljanje mjesečnog izvještaja u roku</w:t>
            </w:r>
          </w:p>
        </w:tc>
        <w:tc>
          <w:tcPr>
            <w:tcW w:w="4526" w:type="dxa"/>
            <w:tcBorders>
              <w:top w:val="single" w:color="B0C4DE" w:sz="0" w:space="0"/>
              <w:left w:val="single" w:color="B0C4DE" w:sz="0" w:space="0"/>
              <w:bottom w:val="single" w:color="B0C4DE" w:sz="0" w:space="0"/>
              <w:right w:val="single" w:color="B0C4DE" w:sz="0" w:space="0"/>
            </w:tcBorders>
            <w:shd w:val="clear" w:color="auto" w:fill="F5F8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1FDB1">
            <w:pPr>
              <w:spacing w:before="30" w:after="30"/>
            </w:pPr>
            <w:r>
              <w:rPr>
                <w:sz w:val="20"/>
                <w:szCs w:val="20"/>
              </w:rPr>
              <w:t>1% mjesečne naknade</w:t>
            </w:r>
          </w:p>
        </w:tc>
      </w:tr>
    </w:tbl>
    <w:p w14:paraId="642D9970">
      <w:pPr>
        <w:spacing w:before="80" w:after="80"/>
        <w:jc w:val="both"/>
      </w:pPr>
    </w:p>
    <w:p w14:paraId="630C1492">
      <w:pPr>
        <w:spacing w:before="80" w:after="80"/>
        <w:jc w:val="both"/>
      </w:pPr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AFCE9">
    <w:pPr>
      <w:pBdr>
        <w:top w:val="single" w:color="B0C4DE" w:sz="2" w:space="4"/>
      </w:pBdr>
      <w:jc w:val="center"/>
    </w:pPr>
    <w:r>
      <w:rPr>
        <w:color w:val="333333"/>
        <w:sz w:val="16"/>
        <w:szCs w:val="16"/>
      </w:rPr>
      <w:t xml:space="preserve">Strana </w:t>
    </w:r>
    <w:r>
      <w:rPr>
        <w:color w:val="333333"/>
        <w:sz w:val="16"/>
        <w:szCs w:val="16"/>
      </w:rPr>
      <w:fldChar w:fldCharType="begin"/>
    </w:r>
    <w:r>
      <w:rPr>
        <w:color w:val="333333"/>
        <w:sz w:val="16"/>
        <w:szCs w:val="16"/>
      </w:rPr>
      <w:instrText xml:space="preserve">PAGE</w:instrText>
    </w:r>
    <w:r>
      <w:rPr>
        <w:color w:val="333333"/>
        <w:sz w:val="16"/>
        <w:szCs w:val="16"/>
      </w:rPr>
      <w:fldChar w:fldCharType="separate"/>
    </w:r>
    <w:r>
      <w:rPr>
        <w:color w:val="333333"/>
        <w:sz w:val="16"/>
        <w:szCs w:val="16"/>
      </w:rPr>
      <w:t>17</w:t>
    </w:r>
    <w:r>
      <w:rPr>
        <w:color w:val="333333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F0338">
    <w:pPr>
      <w:pBdr>
        <w:bottom w:val="single" w:color="B0C4DE" w:sz="2" w:space="4"/>
      </w:pBdr>
      <w:spacing w:after="100"/>
      <w:jc w:val="right"/>
    </w:pPr>
    <w:r>
      <w:rPr>
        <w:i/>
        <w:iCs/>
        <w:color w:val="333333"/>
        <w:sz w:val="16"/>
        <w:szCs w:val="16"/>
      </w:rPr>
      <w:t>SCMN - Tehnička specifikacija održavanja SupTech rješenja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39"/>
    <w:rsid w:val="001D2539"/>
    <w:rsid w:val="001E0E88"/>
    <w:rsid w:val="00436078"/>
    <w:rsid w:val="005C34EB"/>
    <w:rsid w:val="00E92A94"/>
    <w:rsid w:val="420D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color w:val="1A1A1A"/>
      <w:sz w:val="21"/>
      <w:szCs w:val="21"/>
      <w:lang w:val="zh-CN" w:eastAsia="en-GB" w:bidi="ar-SA"/>
    </w:rPr>
  </w:style>
  <w:style w:type="paragraph" w:styleId="2">
    <w:name w:val="heading 1"/>
    <w:qFormat/>
    <w:uiPriority w:val="9"/>
    <w:pPr>
      <w:spacing w:before="360" w:after="200"/>
      <w:outlineLvl w:val="0"/>
    </w:pPr>
    <w:rPr>
      <w:rFonts w:ascii="Arial" w:hAnsi="Arial" w:eastAsia="Arial" w:cs="Arial"/>
      <w:b/>
      <w:bCs/>
      <w:color w:val="1B3A5C"/>
      <w:sz w:val="32"/>
      <w:szCs w:val="32"/>
      <w:lang w:val="zh-CN" w:eastAsia="en-GB" w:bidi="ar-SA"/>
    </w:rPr>
  </w:style>
  <w:style w:type="paragraph" w:styleId="3">
    <w:name w:val="heading 2"/>
    <w:unhideWhenUsed/>
    <w:qFormat/>
    <w:uiPriority w:val="9"/>
    <w:pPr>
      <w:spacing w:before="280" w:after="160"/>
      <w:outlineLvl w:val="1"/>
    </w:pPr>
    <w:rPr>
      <w:rFonts w:ascii="Arial" w:hAnsi="Arial" w:eastAsia="Arial" w:cs="Arial"/>
      <w:b/>
      <w:bCs/>
      <w:color w:val="2E75B6"/>
      <w:sz w:val="26"/>
      <w:szCs w:val="26"/>
      <w:lang w:val="zh-CN" w:eastAsia="en-GB" w:bidi="ar-SA"/>
    </w:rPr>
  </w:style>
  <w:style w:type="paragraph" w:styleId="4">
    <w:name w:val="heading 3"/>
    <w:unhideWhenUsed/>
    <w:qFormat/>
    <w:uiPriority w:val="9"/>
    <w:pPr>
      <w:spacing w:before="200" w:after="120"/>
      <w:outlineLvl w:val="2"/>
    </w:pPr>
    <w:rPr>
      <w:rFonts w:ascii="Arial" w:hAnsi="Arial" w:eastAsia="Arial" w:cs="Arial"/>
      <w:b/>
      <w:bCs/>
      <w:color w:val="1B3A5C"/>
      <w:sz w:val="22"/>
      <w:szCs w:val="22"/>
      <w:lang w:val="zh-CN" w:eastAsia="en-GB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Arial" w:hAnsi="Arial" w:eastAsia="Arial" w:cs="Arial"/>
      <w:i/>
      <w:iCs/>
      <w:color w:val="2E74B5"/>
      <w:sz w:val="21"/>
      <w:szCs w:val="21"/>
      <w:lang w:val="zh-CN" w:eastAsia="en-GB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Arial" w:hAnsi="Arial" w:eastAsia="Arial" w:cs="Arial"/>
      <w:color w:val="2E74B5"/>
      <w:sz w:val="21"/>
      <w:szCs w:val="21"/>
      <w:lang w:val="zh-CN" w:eastAsia="en-GB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Arial" w:hAnsi="Arial" w:eastAsia="Arial" w:cs="Arial"/>
      <w:color w:val="1F4D78"/>
      <w:sz w:val="21"/>
      <w:szCs w:val="21"/>
      <w:lang w:val="zh-CN" w:eastAsia="en-GB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22"/>
    <w:semiHidden/>
    <w:unhideWhenUsed/>
    <w:qFormat/>
    <w:uiPriority w:val="99"/>
    <w:rPr>
      <w:rFonts w:ascii="Arial" w:hAnsi="Arial" w:eastAsia="Arial" w:cs="Arial"/>
      <w:color w:val="1A1A1A"/>
      <w:sz w:val="20"/>
      <w:szCs w:val="20"/>
      <w:lang w:val="zh-CN" w:eastAsia="en-GB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21"/>
    <w:semiHidden/>
    <w:unhideWhenUsed/>
    <w:qFormat/>
    <w:uiPriority w:val="99"/>
    <w:rPr>
      <w:rFonts w:ascii="Arial" w:hAnsi="Arial" w:eastAsia="Arial" w:cs="Arial"/>
      <w:color w:val="1A1A1A"/>
      <w:sz w:val="20"/>
      <w:szCs w:val="20"/>
      <w:lang w:val="zh-CN" w:eastAsia="en-GB" w:bidi="ar-SA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Arial" w:hAnsi="Arial" w:eastAsia="Arial" w:cs="Arial"/>
      <w:color w:val="1A1A1A"/>
      <w:sz w:val="56"/>
      <w:szCs w:val="56"/>
      <w:lang w:val="zh-CN" w:eastAsia="en-GB" w:bidi="ar-SA"/>
    </w:rPr>
  </w:style>
  <w:style w:type="paragraph" w:styleId="16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17">
    <w:name w:val="toc 2"/>
    <w:basedOn w:val="1"/>
    <w:next w:val="1"/>
    <w:autoRedefine/>
    <w:unhideWhenUsed/>
    <w:qFormat/>
    <w:uiPriority w:val="39"/>
    <w:pPr>
      <w:spacing w:after="100"/>
      <w:ind w:left="210"/>
    </w:pPr>
  </w:style>
  <w:style w:type="paragraph" w:styleId="18">
    <w:name w:val="toc 3"/>
    <w:basedOn w:val="1"/>
    <w:next w:val="1"/>
    <w:autoRedefine/>
    <w:unhideWhenUsed/>
    <w:qFormat/>
    <w:uiPriority w:val="39"/>
    <w:pPr>
      <w:spacing w:after="100"/>
      <w:ind w:left="420"/>
    </w:pPr>
  </w:style>
  <w:style w:type="paragraph" w:customStyle="1" w:styleId="19">
    <w:name w:val="Strong1"/>
    <w:qFormat/>
    <w:uiPriority w:val="0"/>
    <w:rPr>
      <w:rFonts w:ascii="Arial" w:hAnsi="Arial" w:eastAsia="Arial" w:cs="Arial"/>
      <w:b/>
      <w:bCs/>
      <w:color w:val="1A1A1A"/>
      <w:sz w:val="21"/>
      <w:szCs w:val="21"/>
      <w:lang w:val="zh-CN" w:eastAsia="en-GB" w:bidi="ar-SA"/>
    </w:rPr>
  </w:style>
  <w:style w:type="paragraph" w:styleId="20">
    <w:name w:val="List Paragraph"/>
    <w:qFormat/>
    <w:uiPriority w:val="0"/>
    <w:rPr>
      <w:rFonts w:ascii="Arial" w:hAnsi="Arial" w:eastAsia="Arial" w:cs="Arial"/>
      <w:color w:val="1A1A1A"/>
      <w:sz w:val="21"/>
      <w:szCs w:val="21"/>
      <w:lang w:val="zh-CN" w:eastAsia="en-GB" w:bidi="ar-SA"/>
    </w:rPr>
  </w:style>
  <w:style w:type="character" w:customStyle="1" w:styleId="21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22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4103</Words>
  <Characters>23393</Characters>
  <Lines>194</Lines>
  <Paragraphs>54</Paragraphs>
  <TotalTime>46</TotalTime>
  <ScaleCrop>false</ScaleCrop>
  <LinksUpToDate>false</LinksUpToDate>
  <CharactersWithSpaces>27442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2026-02-24T23:15:00Z</dcterms:created>
  <dc:creator>Un-named</dc:creator>
  <cp:lastModifiedBy>Asus</cp:lastModifiedBy>
  <dcterms:modified xsi:type="dcterms:W3CDTF">2026-03-16T17:40:45Z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320801AB08534582827423BC3FCF361C_13</vt:lpwstr>
  </property>
</Properties>
</file>