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7CA7E">
      <w:pPr>
        <w:jc w:val="both"/>
        <w:rPr>
          <w:rFonts w:ascii="Tahoma" w:hAnsi="Tahoma" w:cs="Tahoma"/>
          <w:sz w:val="20"/>
          <w:szCs w:val="20"/>
          <w:lang w:val="sr-Latn-ME"/>
        </w:rPr>
      </w:pPr>
      <w:bookmarkStart w:id="3" w:name="_GoBack"/>
      <w:bookmarkEnd w:id="3"/>
    </w:p>
    <w:p w14:paraId="1F4D4472">
      <w:pPr>
        <w:spacing w:after="120"/>
        <w:ind w:firstLine="720"/>
        <w:jc w:val="both"/>
        <w:rPr>
          <w:rFonts w:ascii="Tahoma" w:hAnsi="Tahoma" w:cs="Tahoma"/>
          <w:b/>
          <w:color w:val="000000"/>
          <w:sz w:val="20"/>
          <w:szCs w:val="20"/>
          <w:lang w:val="sr-Latn-ME"/>
        </w:rPr>
      </w:pPr>
      <w:r>
        <w:rPr>
          <w:rFonts w:ascii="Tahoma" w:hAnsi="Tahoma" w:cs="Tahoma"/>
          <w:b/>
          <w:color w:val="000000"/>
          <w:sz w:val="20"/>
          <w:szCs w:val="20"/>
          <w:lang w:val="sr-Latn-ME"/>
        </w:rPr>
        <w:t xml:space="preserve">Projektni zadatak </w:t>
      </w:r>
    </w:p>
    <w:p w14:paraId="72479ADC">
      <w:pPr>
        <w:spacing w:after="120"/>
        <w:ind w:firstLine="720"/>
        <w:jc w:val="both"/>
        <w:rPr>
          <w:rFonts w:ascii="Tahoma" w:hAnsi="Tahoma" w:cs="Tahoma"/>
          <w:sz w:val="20"/>
          <w:szCs w:val="20"/>
          <w:lang w:val="sr-Latn-ME"/>
        </w:rPr>
      </w:pPr>
      <w:r>
        <w:rPr>
          <w:rFonts w:ascii="Tahoma" w:hAnsi="Tahoma" w:cs="Tahoma"/>
          <w:sz w:val="20"/>
          <w:szCs w:val="20"/>
          <w:lang w:val="sr-Latn-ME"/>
        </w:rPr>
        <w:t>Predmet nabavke predstavlja usluga koja obuhvata:</w:t>
      </w:r>
    </w:p>
    <w:p w14:paraId="400CD4C5">
      <w:pPr>
        <w:pStyle w:val="38"/>
        <w:numPr>
          <w:ilvl w:val="0"/>
          <w:numId w:val="2"/>
        </w:numPr>
        <w:rPr>
          <w:rFonts w:cs="Tahoma"/>
          <w:lang w:val="sr-Latn-ME"/>
        </w:rPr>
      </w:pPr>
      <w:r>
        <w:rPr>
          <w:rFonts w:cs="Tahoma"/>
          <w:lang w:val="sr-Latn-ME"/>
        </w:rPr>
        <w:t>praćenje strukture emitovanog programa i gledanosti programa za utvrđeni broj televizijskih emitera, bez prekida, 24 sata, 365 dana;</w:t>
      </w:r>
    </w:p>
    <w:p w14:paraId="474B644E">
      <w:pPr>
        <w:pStyle w:val="38"/>
        <w:numPr>
          <w:ilvl w:val="0"/>
          <w:numId w:val="2"/>
        </w:numPr>
        <w:rPr>
          <w:rFonts w:cs="Tahoma"/>
          <w:lang w:val="sr-Latn-ME"/>
        </w:rPr>
      </w:pPr>
      <w:r>
        <w:rPr>
          <w:rFonts w:cs="Tahoma"/>
          <w:lang w:val="sr-Latn-ME"/>
        </w:rPr>
        <w:t xml:space="preserve">unos podataka koji omogućavaju analizu programa na način da se za svakog emitera pojedično obezbjeđuju sljedeći podaci: </w:t>
      </w:r>
    </w:p>
    <w:p w14:paraId="3253DCE7">
      <w:pPr>
        <w:pStyle w:val="33"/>
        <w:numPr>
          <w:ilvl w:val="0"/>
          <w:numId w:val="3"/>
        </w:numPr>
        <w:spacing w:before="120" w:after="120" w:line="240" w:lineRule="auto"/>
        <w:contextualSpacing w:val="0"/>
        <w:jc w:val="both"/>
        <w:rPr>
          <w:rStyle w:val="41"/>
          <w:rFonts w:ascii="Tahoma" w:hAnsi="Tahoma" w:cs="Tahoma"/>
          <w:sz w:val="20"/>
          <w:szCs w:val="20"/>
          <w:lang w:val="sr-Latn-ME"/>
        </w:rPr>
      </w:pPr>
      <w:r>
        <w:rPr>
          <w:rStyle w:val="41"/>
          <w:rFonts w:ascii="Tahoma" w:hAnsi="Tahoma" w:cs="Tahoma"/>
          <w:sz w:val="20"/>
          <w:szCs w:val="20"/>
          <w:lang w:val="sr-Latn-ME"/>
        </w:rPr>
        <w:t>Vremenski pečat (time code) programske šeme, koji podrazumijeva naziv, vrijeme početka i završetka svakog pojedinačnog programskog sadržaja, ukupno trajanje izraženo u satima, minutima i sekundama;</w:t>
      </w:r>
    </w:p>
    <w:p w14:paraId="564E5838">
      <w:pPr>
        <w:pStyle w:val="33"/>
        <w:numPr>
          <w:ilvl w:val="0"/>
          <w:numId w:val="3"/>
        </w:numPr>
        <w:spacing w:before="120" w:after="120" w:line="240" w:lineRule="auto"/>
        <w:contextualSpacing w:val="0"/>
        <w:jc w:val="both"/>
        <w:rPr>
          <w:rStyle w:val="41"/>
          <w:rFonts w:ascii="Tahoma" w:hAnsi="Tahoma" w:cs="Tahoma"/>
          <w:sz w:val="20"/>
          <w:szCs w:val="20"/>
          <w:lang w:val="sr-Latn-ME"/>
        </w:rPr>
      </w:pPr>
      <w:r>
        <w:rPr>
          <w:rStyle w:val="41"/>
          <w:rFonts w:ascii="Tahoma" w:hAnsi="Tahoma" w:cs="Tahoma"/>
          <w:sz w:val="20"/>
          <w:szCs w:val="20"/>
          <w:lang w:val="sr-Latn-ME"/>
        </w:rPr>
        <w:t>Količina oglašavanja, koja podrazumijeva vrijeme početka i završetka oglasnih blokova, ukupno trajanje izraženo u minutama i sekundama, bez obzira da li su oglasni blokovi realizovani između ili tokom trajanja pojedinačnih programskih sadržaja;</w:t>
      </w:r>
    </w:p>
    <w:p w14:paraId="169B2F11">
      <w:pPr>
        <w:pStyle w:val="33"/>
        <w:numPr>
          <w:ilvl w:val="0"/>
          <w:numId w:val="4"/>
        </w:numPr>
        <w:spacing w:before="120" w:after="120" w:line="240" w:lineRule="auto"/>
        <w:ind w:left="1440"/>
        <w:contextualSpacing w:val="0"/>
        <w:jc w:val="both"/>
        <w:rPr>
          <w:rStyle w:val="41"/>
          <w:rFonts w:ascii="Tahoma" w:hAnsi="Tahoma" w:cs="Tahoma"/>
          <w:sz w:val="20"/>
          <w:szCs w:val="20"/>
          <w:lang w:val="sr-Latn-ME"/>
        </w:rPr>
      </w:pPr>
      <w:r>
        <w:rPr>
          <w:rStyle w:val="41"/>
          <w:rFonts w:ascii="Tahoma" w:hAnsi="Tahoma" w:cs="Tahoma"/>
          <w:sz w:val="20"/>
          <w:szCs w:val="20"/>
          <w:lang w:val="sr-Latn-ME"/>
        </w:rPr>
        <w:t xml:space="preserve">Podaci o oglasnom sadržaju emitovanom unutar oglasnih blokova, uključujući i blokove političkog oglašavanja u vrijeme trajanja izborne kampanje, koji podrazumijevaju naziv/opis oglasnog sadržaja, vrijeme početka i završetka, trajanje pojedinačnog oglasnog sadržaja i podatak o oglašivaču, a saglasno čl. 82 Zakona o audiovizuelnim medijskim uslugama („Sl. list CG“, br. </w:t>
      </w:r>
      <w:r>
        <w:rPr>
          <w:lang w:val="sr-Latn-ME"/>
        </w:rPr>
        <w:t>54/24</w:t>
      </w:r>
      <w:r>
        <w:rPr>
          <w:rStyle w:val="41"/>
          <w:rFonts w:ascii="Tahoma" w:hAnsi="Tahoma" w:cs="Tahoma"/>
          <w:sz w:val="20"/>
          <w:szCs w:val="20"/>
          <w:lang w:val="sr-Latn-ME"/>
        </w:rPr>
        <w:t>);</w:t>
      </w:r>
    </w:p>
    <w:p w14:paraId="5A696708">
      <w:pPr>
        <w:pStyle w:val="33"/>
        <w:numPr>
          <w:ilvl w:val="0"/>
          <w:numId w:val="4"/>
        </w:numPr>
        <w:autoSpaceDE w:val="0"/>
        <w:autoSpaceDN w:val="0"/>
        <w:adjustRightInd w:val="0"/>
        <w:spacing w:before="120" w:after="120" w:line="264" w:lineRule="auto"/>
        <w:ind w:left="1440"/>
        <w:contextualSpacing w:val="0"/>
        <w:jc w:val="both"/>
        <w:rPr>
          <w:rStyle w:val="41"/>
          <w:rFonts w:ascii="Tahoma" w:hAnsi="Tahoma" w:cs="Tahoma"/>
          <w:sz w:val="20"/>
          <w:szCs w:val="20"/>
          <w:lang w:val="sr-Latn-ME"/>
        </w:rPr>
      </w:pPr>
      <w:r>
        <w:rPr>
          <w:rStyle w:val="41"/>
          <w:rFonts w:ascii="Tahoma" w:hAnsi="Tahoma" w:cs="Tahoma"/>
          <w:sz w:val="20"/>
          <w:szCs w:val="20"/>
          <w:lang w:val="sr-Latn-ME"/>
        </w:rPr>
        <w:t xml:space="preserve">Podaci o gledanosti informativnih sadržaja i oglasnih blokova u smislu </w:t>
      </w:r>
      <w:r>
        <w:rPr>
          <w:rFonts w:ascii="Tahoma" w:hAnsi="Tahoma" w:cs="Tahoma"/>
          <w:sz w:val="20"/>
          <w:szCs w:val="20"/>
          <w:lang w:val="sr-Latn-ME"/>
        </w:rPr>
        <w:t xml:space="preserve">Pravilnika o programskim standardima u radijskim i televizijskim programima </w:t>
      </w:r>
      <w:r>
        <w:rPr>
          <w:rStyle w:val="41"/>
          <w:rFonts w:ascii="Tahoma" w:hAnsi="Tahoma" w:cs="Tahoma"/>
          <w:sz w:val="20"/>
          <w:szCs w:val="20"/>
          <w:lang w:val="sr-Latn-ME"/>
        </w:rPr>
        <w:t xml:space="preserve">(„Sl. list CG“, broj </w:t>
      </w:r>
      <w:r>
        <w:rPr>
          <w:rFonts w:ascii="Tahoma" w:hAnsi="Tahoma" w:cs="Tahoma"/>
          <w:sz w:val="20"/>
          <w:szCs w:val="20"/>
          <w:lang w:val="sr-Latn-ME"/>
        </w:rPr>
        <w:t>121/24</w:t>
      </w:r>
      <w:r>
        <w:rPr>
          <w:rStyle w:val="41"/>
          <w:rFonts w:ascii="Tahoma" w:hAnsi="Tahoma" w:cs="Tahoma"/>
          <w:sz w:val="20"/>
          <w:szCs w:val="20"/>
          <w:lang w:val="sr-Latn-ME"/>
        </w:rPr>
        <w:t xml:space="preserve">) i </w:t>
      </w:r>
      <w:r>
        <w:rPr>
          <w:rFonts w:ascii="Tahoma" w:hAnsi="Tahoma" w:cs="Tahoma"/>
          <w:sz w:val="20"/>
          <w:szCs w:val="20"/>
          <w:lang w:val="sr-Latn-ME"/>
        </w:rPr>
        <w:t xml:space="preserve">Pravilnika o komercijalnim audiovizuelnim komunikacijama u audiovizuelnim medijskim uslugama </w:t>
      </w:r>
      <w:r>
        <w:rPr>
          <w:rStyle w:val="41"/>
          <w:rFonts w:ascii="Tahoma" w:hAnsi="Tahoma" w:cs="Tahoma"/>
          <w:sz w:val="20"/>
          <w:szCs w:val="20"/>
          <w:lang w:val="sr-Latn-ME"/>
        </w:rPr>
        <w:t xml:space="preserve"> („Sl. list CG“, broj </w:t>
      </w:r>
      <w:r>
        <w:rPr>
          <w:rFonts w:ascii="Tahoma" w:hAnsi="Tahoma" w:cs="Tahoma"/>
          <w:sz w:val="20"/>
          <w:szCs w:val="20"/>
          <w:lang w:val="sr-Latn-ME"/>
        </w:rPr>
        <w:t>121/24 i 104/25</w:t>
      </w:r>
      <w:r>
        <w:rPr>
          <w:rStyle w:val="41"/>
          <w:rFonts w:ascii="Tahoma" w:hAnsi="Tahoma" w:cs="Tahoma"/>
          <w:sz w:val="20"/>
          <w:szCs w:val="20"/>
          <w:lang w:val="sr-Latn-ME"/>
        </w:rPr>
        <w:t>);</w:t>
      </w:r>
    </w:p>
    <w:p w14:paraId="18A27F2A">
      <w:pPr>
        <w:pStyle w:val="38"/>
        <w:numPr>
          <w:ilvl w:val="0"/>
          <w:numId w:val="2"/>
        </w:numPr>
        <w:rPr>
          <w:rFonts w:cs="Tahoma"/>
          <w:lang w:val="sr-Latn-ME"/>
        </w:rPr>
      </w:pPr>
      <w:r>
        <w:rPr>
          <w:rFonts w:cs="Tahoma"/>
          <w:lang w:val="sr-Latn-ME"/>
        </w:rPr>
        <w:t>Pregled podataka iz tačke b) putem instalacije desktop aplikacije ili davanjem pristupa odgovarajućoj online aplikaciji;</w:t>
      </w:r>
    </w:p>
    <w:p w14:paraId="2CF53F42">
      <w:pPr>
        <w:pStyle w:val="38"/>
        <w:numPr>
          <w:ilvl w:val="0"/>
          <w:numId w:val="2"/>
        </w:numPr>
        <w:rPr>
          <w:rStyle w:val="41"/>
          <w:rFonts w:cs="Tahoma"/>
          <w:lang w:val="sr-Latn-ME"/>
        </w:rPr>
      </w:pPr>
      <w:r>
        <w:rPr>
          <w:rFonts w:cs="Tahoma"/>
          <w:lang w:val="sr-Latn-ME"/>
        </w:rPr>
        <w:t>Kreiranje različitih izvještaja uz mogućnost izbora generisanih podataka i izvoz izvještaja u format Microsoft Office Excel datoteke.</w:t>
      </w:r>
    </w:p>
    <w:p w14:paraId="57888803">
      <w:pPr>
        <w:keepNext/>
        <w:keepLines/>
        <w:spacing w:after="120"/>
        <w:ind w:firstLine="708"/>
        <w:jc w:val="both"/>
        <w:outlineLvl w:val="0"/>
        <w:rPr>
          <w:rFonts w:ascii="Tahoma" w:hAnsi="Tahoma" w:cs="Tahoma"/>
          <w:b/>
          <w:bCs/>
          <w:color w:val="000000"/>
          <w:sz w:val="20"/>
          <w:szCs w:val="20"/>
          <w:lang w:val="sr-Latn-ME"/>
        </w:rPr>
      </w:pPr>
      <w:r>
        <w:rPr>
          <w:rFonts w:ascii="Tahoma" w:hAnsi="Tahoma" w:cs="Tahoma"/>
          <w:b/>
          <w:bCs/>
          <w:color w:val="000000"/>
          <w:sz w:val="20"/>
          <w:szCs w:val="20"/>
          <w:lang w:val="sr-Latn-ME"/>
        </w:rPr>
        <w:t>Područje primjene</w:t>
      </w:r>
    </w:p>
    <w:p w14:paraId="2BD6CE68">
      <w:pPr>
        <w:keepNext/>
        <w:keepLines/>
        <w:spacing w:after="120"/>
        <w:ind w:firstLine="710"/>
        <w:jc w:val="both"/>
        <w:outlineLvl w:val="0"/>
        <w:rPr>
          <w:rFonts w:ascii="Tahoma" w:hAnsi="Tahoma" w:cs="Tahoma"/>
          <w:sz w:val="20"/>
          <w:szCs w:val="20"/>
          <w:lang w:val="sr-Latn-ME"/>
        </w:rPr>
      </w:pPr>
      <w:r>
        <w:rPr>
          <w:rFonts w:ascii="Tahoma" w:hAnsi="Tahoma" w:cs="Tahoma"/>
          <w:sz w:val="20"/>
          <w:szCs w:val="20"/>
          <w:lang w:val="sr-Latn-ME"/>
        </w:rPr>
        <w:t xml:space="preserve">Praćenje i analiza programa se sprovodi za sljedeće televizijske emitere: Prvi, Drugi i Parlementarni program Televizije Crne Gore (TVCG1, TVCG2 I TVCG3), Televizija Prva, Televizija Vijesti, </w:t>
      </w:r>
      <w:r>
        <w:rPr>
          <w:rStyle w:val="41"/>
          <w:rFonts w:ascii="Tahoma" w:hAnsi="Tahoma" w:cs="Tahoma"/>
          <w:sz w:val="20"/>
          <w:szCs w:val="20"/>
          <w:lang w:val="sr-Latn-ME"/>
        </w:rPr>
        <w:t>TV Nova M, TV Adria</w:t>
      </w:r>
      <w:r>
        <w:rPr>
          <w:rFonts w:ascii="Tahoma" w:hAnsi="Tahoma" w:cs="Tahoma"/>
          <w:sz w:val="20"/>
          <w:szCs w:val="20"/>
          <w:lang w:val="sr-Latn-ME"/>
        </w:rPr>
        <w:t>.</w:t>
      </w:r>
    </w:p>
    <w:p w14:paraId="6AB93429">
      <w:pPr>
        <w:spacing w:after="120"/>
        <w:ind w:firstLine="710"/>
        <w:jc w:val="both"/>
        <w:rPr>
          <w:rFonts w:ascii="Tahoma" w:hAnsi="Tahoma" w:cs="Tahoma"/>
          <w:sz w:val="20"/>
          <w:szCs w:val="20"/>
          <w:lang w:val="sr-Latn-ME"/>
        </w:rPr>
      </w:pPr>
      <w:r>
        <w:rPr>
          <w:rFonts w:ascii="Tahoma" w:hAnsi="Tahoma" w:cs="Tahoma"/>
          <w:sz w:val="20"/>
          <w:szCs w:val="20"/>
          <w:lang w:val="sr-Latn-ME"/>
        </w:rPr>
        <w:t>Ukoliko neki od navedenih televizijskih emitera prestane da svoj program emituje putem registrovanih javnih elektronskih komunikacionih mreža, prestaje obaveza ponuđača za pružanjem servisa analize programa tog emitera.</w:t>
      </w:r>
    </w:p>
    <w:p w14:paraId="5E12F491">
      <w:pPr>
        <w:keepNext/>
        <w:keepLines/>
        <w:spacing w:after="120"/>
        <w:ind w:firstLine="714"/>
        <w:jc w:val="both"/>
        <w:outlineLvl w:val="0"/>
        <w:rPr>
          <w:rFonts w:ascii="Tahoma" w:hAnsi="Tahoma" w:cs="Tahoma"/>
          <w:b/>
          <w:bCs/>
          <w:color w:val="000000"/>
          <w:sz w:val="20"/>
          <w:szCs w:val="20"/>
          <w:lang w:val="sr-Latn-ME"/>
        </w:rPr>
      </w:pPr>
      <w:r>
        <w:rPr>
          <w:rFonts w:ascii="Tahoma" w:hAnsi="Tahoma" w:cs="Tahoma"/>
          <w:b/>
          <w:bCs/>
          <w:color w:val="000000"/>
          <w:sz w:val="20"/>
          <w:szCs w:val="20"/>
          <w:lang w:val="sr-Latn-ME"/>
        </w:rPr>
        <w:t>Opis funkcionalnosti</w:t>
      </w:r>
    </w:p>
    <w:p w14:paraId="183D3931">
      <w:pPr>
        <w:spacing w:after="120"/>
        <w:ind w:firstLine="720"/>
        <w:jc w:val="both"/>
        <w:rPr>
          <w:rFonts w:ascii="Tahoma" w:hAnsi="Tahoma" w:cs="Tahoma"/>
          <w:sz w:val="20"/>
          <w:szCs w:val="20"/>
          <w:lang w:val="sr-Latn-ME"/>
        </w:rPr>
      </w:pPr>
      <w:r>
        <w:rPr>
          <w:rFonts w:ascii="Tahoma" w:hAnsi="Tahoma" w:cs="Tahoma"/>
          <w:sz w:val="20"/>
          <w:szCs w:val="20"/>
          <w:lang w:val="sr-Latn-ME"/>
        </w:rPr>
        <w:t>Početak pružanja usluge je najkasnije 5 radnih dana od dana zaključenja ugovora.</w:t>
      </w:r>
    </w:p>
    <w:p w14:paraId="7FC7D075">
      <w:pPr>
        <w:spacing w:after="120"/>
        <w:ind w:firstLine="720"/>
        <w:jc w:val="both"/>
        <w:rPr>
          <w:rFonts w:ascii="Tahoma" w:hAnsi="Tahoma" w:cs="Tahoma"/>
          <w:sz w:val="20"/>
          <w:szCs w:val="20"/>
          <w:lang w:val="sr-Latn-ME"/>
        </w:rPr>
      </w:pPr>
      <w:r>
        <w:rPr>
          <w:rFonts w:ascii="Tahoma" w:hAnsi="Tahoma" w:cs="Tahoma"/>
          <w:sz w:val="20"/>
          <w:szCs w:val="20"/>
          <w:lang w:val="sr-Latn-ME"/>
        </w:rPr>
        <w:t xml:space="preserve">Servis podrazumijeva postojanje tehničkih kapaciteta ponuđača za snimanje utvrđenog broja televizijskih emitera, dnevno praćenje strukture emitovanog programa i gledanosti programa za utvrđeni broj televizijskih emitera, bez prekida, 24 sata, 365 dana. </w:t>
      </w:r>
    </w:p>
    <w:p w14:paraId="2F951988">
      <w:pPr>
        <w:spacing w:after="120"/>
        <w:ind w:firstLine="720"/>
        <w:jc w:val="both"/>
        <w:rPr>
          <w:rFonts w:ascii="Tahoma" w:hAnsi="Tahoma" w:cs="Tahoma"/>
          <w:sz w:val="20"/>
          <w:szCs w:val="20"/>
          <w:lang w:val="sr-Latn-ME"/>
        </w:rPr>
      </w:pPr>
      <w:r>
        <w:rPr>
          <w:rFonts w:ascii="Tahoma" w:hAnsi="Tahoma" w:cs="Tahoma"/>
          <w:sz w:val="20"/>
          <w:szCs w:val="20"/>
          <w:lang w:val="sr-Latn-ME"/>
        </w:rPr>
        <w:t>Ažuriranje podataka dobijenih pregledom i analizom snimljenih programa može biti sa zadrškom od najviše tri dana od trenutka emitovanja.</w:t>
      </w:r>
    </w:p>
    <w:p w14:paraId="06014828">
      <w:pPr>
        <w:spacing w:after="120"/>
        <w:ind w:firstLine="720"/>
        <w:jc w:val="both"/>
        <w:rPr>
          <w:rFonts w:ascii="Tahoma" w:hAnsi="Tahoma" w:cs="Tahoma"/>
          <w:sz w:val="20"/>
          <w:szCs w:val="20"/>
          <w:lang w:val="sr-Latn-ME"/>
        </w:rPr>
      </w:pPr>
      <w:r>
        <w:rPr>
          <w:rFonts w:ascii="Tahoma" w:hAnsi="Tahoma" w:cs="Tahoma"/>
          <w:sz w:val="20"/>
          <w:szCs w:val="20"/>
          <w:lang w:val="sr-Latn-ME"/>
        </w:rPr>
        <w:t>Pregled podataka se obezbjeđuje putem instalacije odgovarajuće desktop aplikacije ili davanjem pristupa odgovarajućoj online aplikaciji sa integrisanim gore opisanim podacima, na način da se korisniku omogućava kreiranje različitih izvještaja uz mogućnost izvoza generisanih izvještaja u format Microsoft Office Excel datoteke.</w:t>
      </w:r>
    </w:p>
    <w:p w14:paraId="7A39E086">
      <w:pPr>
        <w:spacing w:after="120"/>
        <w:ind w:firstLine="720"/>
        <w:jc w:val="both"/>
        <w:rPr>
          <w:rFonts w:ascii="Tahoma" w:hAnsi="Tahoma" w:cs="Tahoma"/>
          <w:sz w:val="20"/>
          <w:szCs w:val="20"/>
          <w:lang w:val="sr-Latn-ME"/>
        </w:rPr>
      </w:pPr>
      <w:r>
        <w:rPr>
          <w:rFonts w:ascii="Tahoma" w:hAnsi="Tahoma" w:cs="Tahoma"/>
          <w:sz w:val="20"/>
          <w:szCs w:val="20"/>
          <w:lang w:val="sr-Latn-ME"/>
        </w:rPr>
        <w:t xml:space="preserve">Pristup desktop ili online aplikaciji se obezbjeđije za neograničen broj pojedinačnih korisnika – radnih stanica autorizovanih od strane Agencije za audiovizuelne medijske usluge.  </w:t>
      </w:r>
    </w:p>
    <w:p w14:paraId="19676526">
      <w:pPr>
        <w:keepNext/>
        <w:keepLines/>
        <w:spacing w:after="120"/>
        <w:ind w:firstLine="708"/>
        <w:jc w:val="both"/>
        <w:outlineLvl w:val="0"/>
        <w:rPr>
          <w:rFonts w:ascii="Tahoma" w:hAnsi="Tahoma" w:cs="Tahoma"/>
          <w:b/>
          <w:bCs/>
          <w:color w:val="000000"/>
          <w:sz w:val="20"/>
          <w:szCs w:val="20"/>
          <w:lang w:val="sr-Latn-ME"/>
        </w:rPr>
      </w:pPr>
      <w:bookmarkStart w:id="0" w:name="_Toc500727157"/>
      <w:r>
        <w:rPr>
          <w:rFonts w:ascii="Tahoma" w:hAnsi="Tahoma" w:cs="Tahoma"/>
          <w:b/>
          <w:bCs/>
          <w:color w:val="000000"/>
          <w:sz w:val="20"/>
          <w:szCs w:val="20"/>
          <w:lang w:val="sr-Latn-ME"/>
        </w:rPr>
        <w:t>Dokumentacija sistema</w:t>
      </w:r>
      <w:bookmarkEnd w:id="0"/>
    </w:p>
    <w:p w14:paraId="2EA02F02">
      <w:pPr>
        <w:spacing w:after="120"/>
        <w:ind w:firstLine="720"/>
        <w:jc w:val="both"/>
        <w:rPr>
          <w:rFonts w:ascii="Tahoma" w:hAnsi="Tahoma" w:cs="Tahoma"/>
          <w:sz w:val="20"/>
          <w:szCs w:val="20"/>
          <w:lang w:val="sr-Latn-ME"/>
        </w:rPr>
      </w:pPr>
      <w:r>
        <w:rPr>
          <w:rFonts w:ascii="Tahoma" w:hAnsi="Tahoma" w:cs="Tahoma"/>
          <w:sz w:val="20"/>
          <w:szCs w:val="20"/>
          <w:lang w:val="sr-Latn-ME"/>
        </w:rPr>
        <w:t xml:space="preserve">Ponuđač mora isporučiti odgovarajuću korisničku dokumentaciju (Uputstvo za korišćenje - User Guide) u pisanoj formi i elektronskom formatu. </w:t>
      </w:r>
    </w:p>
    <w:p w14:paraId="52382F26">
      <w:pPr>
        <w:spacing w:after="120"/>
        <w:ind w:firstLine="720"/>
        <w:jc w:val="both"/>
        <w:rPr>
          <w:rFonts w:ascii="Tahoma" w:hAnsi="Tahoma" w:cs="Tahoma"/>
          <w:sz w:val="20"/>
          <w:szCs w:val="20"/>
          <w:lang w:val="sr-Latn-ME"/>
        </w:rPr>
      </w:pPr>
      <w:r>
        <w:rPr>
          <w:rFonts w:ascii="Tahoma" w:hAnsi="Tahoma" w:cs="Tahoma"/>
          <w:sz w:val="20"/>
          <w:szCs w:val="20"/>
          <w:lang w:val="sr-Latn-ME"/>
        </w:rPr>
        <w:t>Korisnička dokumentacija mora biti razrađena na nivou procesa i na nivou specifičnih  funkcija servisa.</w:t>
      </w:r>
    </w:p>
    <w:p w14:paraId="5075B353">
      <w:pPr>
        <w:spacing w:after="120"/>
        <w:ind w:firstLine="720"/>
        <w:jc w:val="both"/>
        <w:rPr>
          <w:rFonts w:ascii="Tahoma" w:hAnsi="Tahoma" w:cs="Tahoma"/>
          <w:sz w:val="20"/>
          <w:szCs w:val="20"/>
          <w:lang w:val="sr-Latn-ME"/>
        </w:rPr>
      </w:pPr>
      <w:r>
        <w:rPr>
          <w:rFonts w:ascii="Tahoma" w:hAnsi="Tahoma" w:cs="Tahoma"/>
          <w:sz w:val="20"/>
          <w:szCs w:val="20"/>
          <w:lang w:val="sr-Latn-ME"/>
        </w:rPr>
        <w:t>Korisnička dokumentacija mora biti isporučena na crnogorskom jeziku u elektronskom obliku u formatu Microsoft Office Word datoteke.</w:t>
      </w:r>
    </w:p>
    <w:p w14:paraId="4E6D4DEB">
      <w:pPr>
        <w:keepNext/>
        <w:keepLines/>
        <w:spacing w:after="120"/>
        <w:ind w:firstLine="708"/>
        <w:jc w:val="both"/>
        <w:outlineLvl w:val="0"/>
        <w:rPr>
          <w:rFonts w:ascii="Tahoma" w:hAnsi="Tahoma" w:cs="Tahoma"/>
          <w:b/>
          <w:bCs/>
          <w:color w:val="000000"/>
          <w:sz w:val="20"/>
          <w:szCs w:val="20"/>
          <w:lang w:val="sr-Latn-ME"/>
        </w:rPr>
      </w:pPr>
      <w:bookmarkStart w:id="1" w:name="_Toc500727158"/>
      <w:r>
        <w:rPr>
          <w:rFonts w:ascii="Tahoma" w:hAnsi="Tahoma" w:cs="Tahoma"/>
          <w:b/>
          <w:bCs/>
          <w:color w:val="000000"/>
          <w:sz w:val="20"/>
          <w:szCs w:val="20"/>
          <w:lang w:val="sr-Latn-ME"/>
        </w:rPr>
        <w:t xml:space="preserve">Obuka službenika  </w:t>
      </w:r>
      <w:bookmarkEnd w:id="1"/>
    </w:p>
    <w:p w14:paraId="5253173F">
      <w:pPr>
        <w:spacing w:after="120"/>
        <w:ind w:firstLine="720"/>
        <w:jc w:val="both"/>
        <w:rPr>
          <w:rFonts w:ascii="Tahoma" w:hAnsi="Tahoma" w:cs="Tahoma"/>
          <w:sz w:val="20"/>
          <w:szCs w:val="20"/>
          <w:lang w:val="sr-Latn-ME"/>
        </w:rPr>
      </w:pPr>
      <w:r>
        <w:rPr>
          <w:rFonts w:ascii="Tahoma" w:hAnsi="Tahoma" w:cs="Tahoma"/>
          <w:sz w:val="20"/>
          <w:szCs w:val="20"/>
          <w:lang w:val="sr-Latn-ME"/>
        </w:rPr>
        <w:t>Ponuđač će tokom instalacije servisa, sprovesti besplatnu obuku za korisnike Agencije za audiovizuelne medijske usluge, po zahtjevu Naručioca, 7 dana od dana upućivanja zahtjeva.</w:t>
      </w:r>
    </w:p>
    <w:p w14:paraId="58AFB4C9">
      <w:pPr>
        <w:spacing w:after="120"/>
        <w:ind w:firstLine="720"/>
        <w:jc w:val="both"/>
        <w:rPr>
          <w:rFonts w:ascii="Tahoma" w:hAnsi="Tahoma" w:cs="Tahoma"/>
          <w:sz w:val="20"/>
          <w:szCs w:val="20"/>
          <w:lang w:val="sr-Latn-ME"/>
        </w:rPr>
      </w:pPr>
      <w:r>
        <w:rPr>
          <w:rFonts w:ascii="Tahoma" w:hAnsi="Tahoma" w:cs="Tahoma"/>
          <w:sz w:val="20"/>
          <w:szCs w:val="20"/>
          <w:lang w:val="sr-Latn-ME"/>
        </w:rPr>
        <w:t>Precizni detalji o planu i načinu sprovođenja obuke će biti definisani i usaglašeni tokom realizacije usluge.</w:t>
      </w:r>
    </w:p>
    <w:p w14:paraId="67B7683F">
      <w:pPr>
        <w:keepNext/>
        <w:keepLines/>
        <w:spacing w:after="120"/>
        <w:ind w:firstLine="708"/>
        <w:jc w:val="both"/>
        <w:outlineLvl w:val="1"/>
        <w:rPr>
          <w:rFonts w:ascii="Tahoma" w:hAnsi="Tahoma" w:cs="Tahoma"/>
          <w:b/>
          <w:bCs/>
          <w:color w:val="000000"/>
          <w:sz w:val="20"/>
          <w:szCs w:val="20"/>
          <w:lang w:val="sr-Latn-ME"/>
        </w:rPr>
      </w:pPr>
      <w:bookmarkStart w:id="2" w:name="_Toc500727159"/>
      <w:r>
        <w:rPr>
          <w:rFonts w:ascii="Tahoma" w:hAnsi="Tahoma" w:cs="Tahoma"/>
          <w:b/>
          <w:bCs/>
          <w:color w:val="000000"/>
          <w:sz w:val="20"/>
          <w:szCs w:val="20"/>
          <w:lang w:val="sr-Latn-ME"/>
        </w:rPr>
        <w:t>Testiranje i osiguranje kvalitet</w:t>
      </w:r>
      <w:bookmarkEnd w:id="2"/>
      <w:r>
        <w:rPr>
          <w:rFonts w:ascii="Tahoma" w:hAnsi="Tahoma" w:cs="Tahoma"/>
          <w:b/>
          <w:bCs/>
          <w:color w:val="000000"/>
          <w:sz w:val="20"/>
          <w:szCs w:val="20"/>
          <w:lang w:val="sr-Latn-ME"/>
        </w:rPr>
        <w:t>a</w:t>
      </w:r>
    </w:p>
    <w:p w14:paraId="022721F1">
      <w:pPr>
        <w:spacing w:after="120"/>
        <w:ind w:firstLine="720"/>
        <w:jc w:val="both"/>
        <w:rPr>
          <w:rFonts w:ascii="Tahoma" w:hAnsi="Tahoma" w:cs="Tahoma"/>
          <w:sz w:val="20"/>
          <w:szCs w:val="20"/>
          <w:lang w:val="sr-Latn-ME"/>
        </w:rPr>
      </w:pPr>
      <w:r>
        <w:rPr>
          <w:rFonts w:ascii="Tahoma" w:hAnsi="Tahoma" w:cs="Tahoma"/>
          <w:sz w:val="20"/>
          <w:szCs w:val="20"/>
          <w:lang w:val="sr-Latn-ME"/>
        </w:rPr>
        <w:t>Ponuđač mora obezbijediti i sprovesti minimalno sljedeće mjere i aktivnosti na osiguranju  kvaliteta predmeta nabavke:</w:t>
      </w:r>
    </w:p>
    <w:p w14:paraId="324DC0FD">
      <w:pPr>
        <w:numPr>
          <w:ilvl w:val="0"/>
          <w:numId w:val="5"/>
        </w:numPr>
        <w:spacing w:before="120" w:after="120" w:line="240" w:lineRule="auto"/>
        <w:jc w:val="both"/>
        <w:rPr>
          <w:rFonts w:ascii="Tahoma" w:hAnsi="Tahoma" w:cs="Tahoma"/>
          <w:sz w:val="20"/>
          <w:szCs w:val="20"/>
          <w:lang w:val="sr-Latn-ME"/>
        </w:rPr>
      </w:pPr>
      <w:r>
        <w:rPr>
          <w:rFonts w:ascii="Tahoma" w:hAnsi="Tahoma" w:cs="Tahoma"/>
          <w:sz w:val="20"/>
          <w:szCs w:val="20"/>
          <w:lang w:val="sr-Latn-ME"/>
        </w:rPr>
        <w:t>Ponuđač će instalirati i konfigurisati sav softver potreban za korišćenje servisa na postojećem hardveru u Agenciji za audiovizuelne medijske usluge.</w:t>
      </w:r>
    </w:p>
    <w:p w14:paraId="6BF18AB8">
      <w:pPr>
        <w:numPr>
          <w:ilvl w:val="0"/>
          <w:numId w:val="5"/>
        </w:numPr>
        <w:spacing w:before="120" w:after="120" w:line="240" w:lineRule="auto"/>
        <w:jc w:val="both"/>
        <w:rPr>
          <w:rFonts w:ascii="Tahoma" w:hAnsi="Tahoma" w:cs="Tahoma"/>
          <w:sz w:val="20"/>
          <w:szCs w:val="20"/>
          <w:lang w:val="sr-Latn-ME"/>
        </w:rPr>
      </w:pPr>
      <w:r>
        <w:rPr>
          <w:rFonts w:ascii="Tahoma" w:hAnsi="Tahoma" w:cs="Tahoma"/>
          <w:sz w:val="20"/>
          <w:szCs w:val="20"/>
          <w:lang w:val="sr-Latn-ME"/>
        </w:rPr>
        <w:t>Ponuđač obezbjeđuje testiranje softvera u trajanju od 30 dana.</w:t>
      </w:r>
    </w:p>
    <w:p w14:paraId="2C639966">
      <w:pPr>
        <w:numPr>
          <w:ilvl w:val="0"/>
          <w:numId w:val="5"/>
        </w:numPr>
        <w:spacing w:before="120" w:after="120" w:line="240" w:lineRule="auto"/>
        <w:jc w:val="both"/>
        <w:rPr>
          <w:rFonts w:ascii="Tahoma" w:hAnsi="Tahoma" w:cs="Tahoma"/>
          <w:sz w:val="20"/>
          <w:szCs w:val="20"/>
          <w:lang w:val="sr-Latn-ME"/>
        </w:rPr>
      </w:pPr>
      <w:r>
        <w:rPr>
          <w:rFonts w:ascii="Tahoma" w:hAnsi="Tahoma" w:cs="Tahoma"/>
          <w:sz w:val="20"/>
          <w:szCs w:val="20"/>
          <w:lang w:val="sr-Latn-ME"/>
        </w:rPr>
        <w:t>Ponuđač će kontinuirano tokom korištenja servisa vršiti uklanjanje grešaka prijavljenih od strane Agencije za audiovizuelne medijske usluge, u roku od najviše 5 dana od dana prijave greške.</w:t>
      </w:r>
    </w:p>
    <w:p w14:paraId="5AD0745C">
      <w:pPr>
        <w:numPr>
          <w:ilvl w:val="0"/>
          <w:numId w:val="5"/>
        </w:numPr>
        <w:spacing w:before="120" w:after="120" w:line="240" w:lineRule="auto"/>
        <w:contextualSpacing/>
        <w:jc w:val="both"/>
        <w:rPr>
          <w:rFonts w:ascii="Tahoma" w:hAnsi="Tahoma" w:cs="Tahoma"/>
          <w:sz w:val="20"/>
          <w:szCs w:val="20"/>
          <w:lang w:val="sr-Latn-ME"/>
        </w:rPr>
      </w:pPr>
      <w:r>
        <w:rPr>
          <w:rFonts w:ascii="Tahoma" w:hAnsi="Tahoma" w:cs="Tahoma"/>
          <w:sz w:val="20"/>
          <w:szCs w:val="20"/>
          <w:lang w:val="sr-Latn-ME"/>
        </w:rPr>
        <w:t xml:space="preserve">Ponuđač će dostaviti izjavu o uspostavljenom sistemu kontrole ispravnosti  podataka, sa opisom sistema kontrole. </w:t>
      </w:r>
    </w:p>
    <w:sectPr>
      <w:foot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0730251"/>
      <w:docPartObj>
        <w:docPartGallery w:val="autotext"/>
      </w:docPartObj>
    </w:sdtPr>
    <w:sdtContent>
      <w:p w14:paraId="058F3391">
        <w:pPr>
          <w:pStyle w:val="16"/>
          <w:jc w:val="right"/>
        </w:pPr>
        <w:r>
          <w:fldChar w:fldCharType="begin"/>
        </w:r>
        <w:r>
          <w:instrText xml:space="preserve"> PAGE   \* MERGEFORMAT </w:instrText>
        </w:r>
        <w:r>
          <w:fldChar w:fldCharType="separate"/>
        </w:r>
        <w:r>
          <w:t>2</w:t>
        </w:r>
        <w:r>
          <w:fldChar w:fldCharType="end"/>
        </w:r>
      </w:p>
    </w:sdtContent>
  </w:sdt>
  <w:p w14:paraId="3F6EC252">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160796"/>
    <w:multiLevelType w:val="multilevel"/>
    <w:tmpl w:val="21160796"/>
    <w:lvl w:ilvl="0" w:tentative="0">
      <w:start w:val="1"/>
      <w:numFmt w:val="decimal"/>
      <w:lvlText w:val="%1."/>
      <w:lvlJc w:val="left"/>
      <w:pPr>
        <w:ind w:left="1077" w:hanging="360"/>
      </w:pPr>
    </w:lvl>
    <w:lvl w:ilvl="1" w:tentative="0">
      <w:start w:val="1"/>
      <w:numFmt w:val="lowerLetter"/>
      <w:lvlText w:val="%2."/>
      <w:lvlJc w:val="left"/>
      <w:pPr>
        <w:ind w:left="1797" w:hanging="360"/>
      </w:pPr>
    </w:lvl>
    <w:lvl w:ilvl="2" w:tentative="0">
      <w:start w:val="1"/>
      <w:numFmt w:val="lowerRoman"/>
      <w:lvlText w:val="%3."/>
      <w:lvlJc w:val="right"/>
      <w:pPr>
        <w:ind w:left="2517" w:hanging="180"/>
      </w:pPr>
    </w:lvl>
    <w:lvl w:ilvl="3" w:tentative="0">
      <w:start w:val="1"/>
      <w:numFmt w:val="decimal"/>
      <w:lvlText w:val="%4."/>
      <w:lvlJc w:val="left"/>
      <w:pPr>
        <w:ind w:left="3237" w:hanging="360"/>
      </w:pPr>
    </w:lvl>
    <w:lvl w:ilvl="4" w:tentative="0">
      <w:start w:val="1"/>
      <w:numFmt w:val="lowerLetter"/>
      <w:lvlText w:val="%5."/>
      <w:lvlJc w:val="left"/>
      <w:pPr>
        <w:ind w:left="3957" w:hanging="360"/>
      </w:pPr>
    </w:lvl>
    <w:lvl w:ilvl="5" w:tentative="0">
      <w:start w:val="1"/>
      <w:numFmt w:val="lowerRoman"/>
      <w:lvlText w:val="%6."/>
      <w:lvlJc w:val="right"/>
      <w:pPr>
        <w:ind w:left="4677" w:hanging="180"/>
      </w:pPr>
    </w:lvl>
    <w:lvl w:ilvl="6" w:tentative="0">
      <w:start w:val="1"/>
      <w:numFmt w:val="decimal"/>
      <w:lvlText w:val="%7."/>
      <w:lvlJc w:val="left"/>
      <w:pPr>
        <w:ind w:left="5397" w:hanging="360"/>
      </w:pPr>
    </w:lvl>
    <w:lvl w:ilvl="7" w:tentative="0">
      <w:start w:val="1"/>
      <w:numFmt w:val="lowerLetter"/>
      <w:lvlText w:val="%8."/>
      <w:lvlJc w:val="left"/>
      <w:pPr>
        <w:ind w:left="6117" w:hanging="360"/>
      </w:pPr>
    </w:lvl>
    <w:lvl w:ilvl="8" w:tentative="0">
      <w:start w:val="1"/>
      <w:numFmt w:val="lowerRoman"/>
      <w:lvlText w:val="%9."/>
      <w:lvlJc w:val="right"/>
      <w:pPr>
        <w:ind w:left="6837" w:hanging="180"/>
      </w:pPr>
    </w:lvl>
  </w:abstractNum>
  <w:abstractNum w:abstractNumId="1">
    <w:nsid w:val="2C7A70FC"/>
    <w:multiLevelType w:val="multilevel"/>
    <w:tmpl w:val="2C7A70FC"/>
    <w:lvl w:ilvl="0" w:tentative="0">
      <w:start w:val="1"/>
      <w:numFmt w:val="bullet"/>
      <w:lvlText w:val="-"/>
      <w:lvlJc w:val="left"/>
      <w:pPr>
        <w:ind w:left="720" w:hanging="360"/>
      </w:pPr>
      <w:rPr>
        <w:rFonts w:hint="default" w:ascii="Courier New" w:hAnsi="Courier New"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3E592A17"/>
    <w:multiLevelType w:val="multilevel"/>
    <w:tmpl w:val="3E592A17"/>
    <w:lvl w:ilvl="0" w:tentative="0">
      <w:start w:val="1"/>
      <w:numFmt w:val="lowerLetter"/>
      <w:pStyle w:val="38"/>
      <w:lvlText w:val="%1)"/>
      <w:lvlJc w:val="left"/>
      <w:pPr>
        <w:ind w:left="1086" w:hanging="360"/>
      </w:pPr>
      <w:rPr>
        <w:rFonts w:hint="default"/>
      </w:rPr>
    </w:lvl>
    <w:lvl w:ilvl="1" w:tentative="0">
      <w:start w:val="1"/>
      <w:numFmt w:val="lowerLetter"/>
      <w:lvlText w:val="%2."/>
      <w:lvlJc w:val="left"/>
      <w:pPr>
        <w:ind w:left="1806" w:hanging="360"/>
      </w:pPr>
    </w:lvl>
    <w:lvl w:ilvl="2" w:tentative="0">
      <w:start w:val="1"/>
      <w:numFmt w:val="lowerRoman"/>
      <w:lvlText w:val="%3."/>
      <w:lvlJc w:val="right"/>
      <w:pPr>
        <w:ind w:left="2526" w:hanging="180"/>
      </w:pPr>
    </w:lvl>
    <w:lvl w:ilvl="3" w:tentative="0">
      <w:start w:val="1"/>
      <w:numFmt w:val="decimal"/>
      <w:lvlText w:val="%4."/>
      <w:lvlJc w:val="left"/>
      <w:pPr>
        <w:ind w:left="3246" w:hanging="360"/>
      </w:pPr>
    </w:lvl>
    <w:lvl w:ilvl="4" w:tentative="0">
      <w:start w:val="1"/>
      <w:numFmt w:val="lowerLetter"/>
      <w:lvlText w:val="%5."/>
      <w:lvlJc w:val="left"/>
      <w:pPr>
        <w:ind w:left="3966" w:hanging="360"/>
      </w:pPr>
    </w:lvl>
    <w:lvl w:ilvl="5" w:tentative="0">
      <w:start w:val="1"/>
      <w:numFmt w:val="lowerRoman"/>
      <w:lvlText w:val="%6."/>
      <w:lvlJc w:val="right"/>
      <w:pPr>
        <w:ind w:left="4686" w:hanging="180"/>
      </w:pPr>
    </w:lvl>
    <w:lvl w:ilvl="6" w:tentative="0">
      <w:start w:val="1"/>
      <w:numFmt w:val="decimal"/>
      <w:lvlText w:val="%7."/>
      <w:lvlJc w:val="left"/>
      <w:pPr>
        <w:ind w:left="5406" w:hanging="360"/>
      </w:pPr>
    </w:lvl>
    <w:lvl w:ilvl="7" w:tentative="0">
      <w:start w:val="1"/>
      <w:numFmt w:val="lowerLetter"/>
      <w:lvlText w:val="%8."/>
      <w:lvlJc w:val="left"/>
      <w:pPr>
        <w:ind w:left="6126" w:hanging="360"/>
      </w:pPr>
    </w:lvl>
    <w:lvl w:ilvl="8" w:tentative="0">
      <w:start w:val="1"/>
      <w:numFmt w:val="lowerRoman"/>
      <w:lvlText w:val="%9."/>
      <w:lvlJc w:val="right"/>
      <w:pPr>
        <w:ind w:left="6846" w:hanging="180"/>
      </w:pPr>
    </w:lvl>
  </w:abstractNum>
  <w:abstractNum w:abstractNumId="3">
    <w:nsid w:val="72311820"/>
    <w:multiLevelType w:val="multilevel"/>
    <w:tmpl w:val="72311820"/>
    <w:lvl w:ilvl="0" w:tentative="0">
      <w:start w:val="1"/>
      <w:numFmt w:val="lowerLetter"/>
      <w:lvlText w:val="%1)"/>
      <w:lvlJc w:val="left"/>
      <w:pPr>
        <w:ind w:left="1086" w:hanging="360"/>
      </w:pPr>
    </w:lvl>
    <w:lvl w:ilvl="1" w:tentative="0">
      <w:start w:val="0"/>
      <w:numFmt w:val="bullet"/>
      <w:lvlText w:val="-"/>
      <w:lvlJc w:val="left"/>
      <w:pPr>
        <w:ind w:left="1626" w:hanging="180"/>
      </w:pPr>
      <w:rPr>
        <w:rFonts w:hint="default" w:ascii="Tahoma" w:hAnsi="Tahoma" w:eastAsia="Calibri" w:cs="Tahoma"/>
      </w:rPr>
    </w:lvl>
    <w:lvl w:ilvl="2" w:tentative="0">
      <w:start w:val="1"/>
      <w:numFmt w:val="lowerRoman"/>
      <w:lvlText w:val="%3."/>
      <w:lvlJc w:val="right"/>
      <w:pPr>
        <w:ind w:left="2526" w:hanging="180"/>
      </w:pPr>
    </w:lvl>
    <w:lvl w:ilvl="3" w:tentative="0">
      <w:start w:val="1"/>
      <w:numFmt w:val="decimal"/>
      <w:lvlText w:val="%4."/>
      <w:lvlJc w:val="left"/>
      <w:pPr>
        <w:ind w:left="3246" w:hanging="360"/>
      </w:pPr>
    </w:lvl>
    <w:lvl w:ilvl="4" w:tentative="0">
      <w:start w:val="1"/>
      <w:numFmt w:val="lowerLetter"/>
      <w:lvlText w:val="%5."/>
      <w:lvlJc w:val="left"/>
      <w:pPr>
        <w:ind w:left="3966" w:hanging="360"/>
      </w:pPr>
    </w:lvl>
    <w:lvl w:ilvl="5" w:tentative="0">
      <w:start w:val="1"/>
      <w:numFmt w:val="lowerRoman"/>
      <w:lvlText w:val="%6."/>
      <w:lvlJc w:val="right"/>
      <w:pPr>
        <w:ind w:left="4686" w:hanging="180"/>
      </w:pPr>
    </w:lvl>
    <w:lvl w:ilvl="6" w:tentative="0">
      <w:start w:val="1"/>
      <w:numFmt w:val="decimal"/>
      <w:lvlText w:val="%7."/>
      <w:lvlJc w:val="left"/>
      <w:pPr>
        <w:ind w:left="5406" w:hanging="360"/>
      </w:pPr>
    </w:lvl>
    <w:lvl w:ilvl="7" w:tentative="0">
      <w:start w:val="1"/>
      <w:numFmt w:val="lowerLetter"/>
      <w:lvlText w:val="%8."/>
      <w:lvlJc w:val="left"/>
      <w:pPr>
        <w:ind w:left="6126" w:hanging="360"/>
      </w:pPr>
    </w:lvl>
    <w:lvl w:ilvl="8" w:tentative="0">
      <w:start w:val="1"/>
      <w:numFmt w:val="lowerRoman"/>
      <w:lvlText w:val="%9."/>
      <w:lvlJc w:val="right"/>
      <w:pPr>
        <w:ind w:left="6846" w:hanging="180"/>
      </w:pPr>
    </w:lvl>
  </w:abstractNum>
  <w:abstractNum w:abstractNumId="4">
    <w:nsid w:val="7F983E22"/>
    <w:multiLevelType w:val="multilevel"/>
    <w:tmpl w:val="7F983E22"/>
    <w:lvl w:ilvl="0" w:tentative="0">
      <w:start w:val="1"/>
      <w:numFmt w:val="bullet"/>
      <w:lvlText w:val="-"/>
      <w:lvlJc w:val="left"/>
      <w:pPr>
        <w:ind w:left="1440" w:hanging="360"/>
      </w:pPr>
      <w:rPr>
        <w:rFonts w:hint="default" w:ascii="Courier New" w:hAnsi="Courier New" w:cs="Times New Roman"/>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E9B"/>
    <w:rsid w:val="000601F8"/>
    <w:rsid w:val="000A1105"/>
    <w:rsid w:val="000D0440"/>
    <w:rsid w:val="000E6D68"/>
    <w:rsid w:val="000F75EC"/>
    <w:rsid w:val="00113AD8"/>
    <w:rsid w:val="0016568C"/>
    <w:rsid w:val="00166145"/>
    <w:rsid w:val="001745EE"/>
    <w:rsid w:val="001B777E"/>
    <w:rsid w:val="001D2FF5"/>
    <w:rsid w:val="00202CBB"/>
    <w:rsid w:val="00203BC0"/>
    <w:rsid w:val="002166F4"/>
    <w:rsid w:val="002A3B89"/>
    <w:rsid w:val="002C2098"/>
    <w:rsid w:val="00307A4B"/>
    <w:rsid w:val="00353DF3"/>
    <w:rsid w:val="003637B4"/>
    <w:rsid w:val="00375B6A"/>
    <w:rsid w:val="00376A0C"/>
    <w:rsid w:val="00395685"/>
    <w:rsid w:val="00396385"/>
    <w:rsid w:val="003D1FD2"/>
    <w:rsid w:val="003E4A42"/>
    <w:rsid w:val="00453344"/>
    <w:rsid w:val="004F0E41"/>
    <w:rsid w:val="00545F3B"/>
    <w:rsid w:val="005F2E2A"/>
    <w:rsid w:val="006228A9"/>
    <w:rsid w:val="006A747F"/>
    <w:rsid w:val="006C2515"/>
    <w:rsid w:val="006C6385"/>
    <w:rsid w:val="0071030C"/>
    <w:rsid w:val="0073016E"/>
    <w:rsid w:val="00766ED3"/>
    <w:rsid w:val="00770796"/>
    <w:rsid w:val="00775218"/>
    <w:rsid w:val="00780541"/>
    <w:rsid w:val="0079490A"/>
    <w:rsid w:val="007C332C"/>
    <w:rsid w:val="007C7728"/>
    <w:rsid w:val="007E21F9"/>
    <w:rsid w:val="007F4D6A"/>
    <w:rsid w:val="00812722"/>
    <w:rsid w:val="00820C62"/>
    <w:rsid w:val="00822F44"/>
    <w:rsid w:val="00827DD2"/>
    <w:rsid w:val="00843369"/>
    <w:rsid w:val="008718F8"/>
    <w:rsid w:val="00932063"/>
    <w:rsid w:val="009A0F55"/>
    <w:rsid w:val="009C5CD6"/>
    <w:rsid w:val="009E3437"/>
    <w:rsid w:val="009E4587"/>
    <w:rsid w:val="009E753E"/>
    <w:rsid w:val="009F064C"/>
    <w:rsid w:val="00A0160A"/>
    <w:rsid w:val="00A432B5"/>
    <w:rsid w:val="00A50BC8"/>
    <w:rsid w:val="00A67E9B"/>
    <w:rsid w:val="00A7160D"/>
    <w:rsid w:val="00AA1321"/>
    <w:rsid w:val="00AA189C"/>
    <w:rsid w:val="00AB494F"/>
    <w:rsid w:val="00AD12E0"/>
    <w:rsid w:val="00BB66B6"/>
    <w:rsid w:val="00BE07F5"/>
    <w:rsid w:val="00BF1211"/>
    <w:rsid w:val="00BF5A94"/>
    <w:rsid w:val="00C4366D"/>
    <w:rsid w:val="00C70AA4"/>
    <w:rsid w:val="00CC128A"/>
    <w:rsid w:val="00CD45E9"/>
    <w:rsid w:val="00CE0E5C"/>
    <w:rsid w:val="00D232F0"/>
    <w:rsid w:val="00D25B0F"/>
    <w:rsid w:val="00D30CB4"/>
    <w:rsid w:val="00D631A0"/>
    <w:rsid w:val="00DA7670"/>
    <w:rsid w:val="00DC3125"/>
    <w:rsid w:val="00DC5672"/>
    <w:rsid w:val="00DE6BFD"/>
    <w:rsid w:val="00E154D0"/>
    <w:rsid w:val="00E35460"/>
    <w:rsid w:val="00E51454"/>
    <w:rsid w:val="00E83DAD"/>
    <w:rsid w:val="00EB7FBA"/>
    <w:rsid w:val="00F02859"/>
    <w:rsid w:val="00F03F93"/>
    <w:rsid w:val="00F90292"/>
    <w:rsid w:val="00F94CE8"/>
    <w:rsid w:val="00FC57F9"/>
    <w:rsid w:val="00FE60F3"/>
    <w:rsid w:val="3BC529A8"/>
    <w:rsid w:val="778E7A48"/>
  </w:rsids>
  <m:mathPr>
    <m:mathFont m:val="Cambria Math"/>
    <m:brkBin m:val="before"/>
    <m:brkBinSub m:val="--"/>
    <m:smallFrac m:val="0"/>
    <m:dispDef/>
    <m:lMargin m:val="0"/>
    <m:rMargin m:val="0"/>
    <m:defJc m:val="centerGroup"/>
    <m:wrapIndent m:val="1440"/>
    <m:intLim m:val="subSup"/>
    <m:naryLim m:val="undOvr"/>
  </m:mathPr>
  <w:themeFontLang w:val="sr-Latn-C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sr-Latn-CS" w:eastAsia="en-US" w:bidi="ar-SA"/>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2"/>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qFormat/>
    <w:uiPriority w:val="99"/>
    <w:rPr>
      <w:sz w:val="16"/>
      <w:szCs w:val="16"/>
    </w:rPr>
  </w:style>
  <w:style w:type="paragraph" w:styleId="14">
    <w:name w:val="annotation text"/>
    <w:basedOn w:val="1"/>
    <w:link w:val="44"/>
    <w:unhideWhenUsed/>
    <w:uiPriority w:val="99"/>
    <w:pPr>
      <w:spacing w:line="240" w:lineRule="auto"/>
    </w:pPr>
    <w:rPr>
      <w:sz w:val="20"/>
      <w:szCs w:val="20"/>
    </w:rPr>
  </w:style>
  <w:style w:type="paragraph" w:styleId="15">
    <w:name w:val="annotation subject"/>
    <w:basedOn w:val="14"/>
    <w:next w:val="14"/>
    <w:link w:val="45"/>
    <w:semiHidden/>
    <w:unhideWhenUsed/>
    <w:uiPriority w:val="99"/>
    <w:rPr>
      <w:b/>
      <w:bCs/>
    </w:rPr>
  </w:style>
  <w:style w:type="paragraph" w:styleId="16">
    <w:name w:val="footer"/>
    <w:basedOn w:val="1"/>
    <w:link w:val="43"/>
    <w:unhideWhenUsed/>
    <w:qFormat/>
    <w:uiPriority w:val="99"/>
    <w:pPr>
      <w:tabs>
        <w:tab w:val="center" w:pos="4513"/>
        <w:tab w:val="right" w:pos="9026"/>
      </w:tabs>
      <w:spacing w:after="0" w:line="240" w:lineRule="auto"/>
    </w:pPr>
  </w:style>
  <w:style w:type="paragraph" w:styleId="17">
    <w:name w:val="header"/>
    <w:basedOn w:val="1"/>
    <w:link w:val="42"/>
    <w:unhideWhenUsed/>
    <w:qFormat/>
    <w:uiPriority w:val="99"/>
    <w:pPr>
      <w:tabs>
        <w:tab w:val="center" w:pos="4513"/>
        <w:tab w:val="right" w:pos="9026"/>
      </w:tabs>
      <w:spacing w:after="0" w:line="240" w:lineRule="auto"/>
    </w:pPr>
  </w:style>
  <w:style w:type="paragraph" w:styleId="18">
    <w:name w:val="Subtitle"/>
    <w:basedOn w:val="1"/>
    <w:next w:val="1"/>
    <w:link w:val="30"/>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Heading 1 Char"/>
    <w:basedOn w:val="11"/>
    <w:link w:val="2"/>
    <w:uiPriority w:val="9"/>
    <w:rPr>
      <w:rFonts w:asciiTheme="majorHAnsi" w:hAnsiTheme="majorHAnsi" w:eastAsiaTheme="majorEastAsia" w:cstheme="majorBidi"/>
      <w:color w:val="376092" w:themeColor="accent1" w:themeShade="BF"/>
      <w:sz w:val="40"/>
      <w:szCs w:val="40"/>
    </w:rPr>
  </w:style>
  <w:style w:type="character" w:customStyle="1" w:styleId="21">
    <w:name w:val="Heading 2 Char"/>
    <w:basedOn w:val="11"/>
    <w:link w:val="3"/>
    <w:semiHidden/>
    <w:uiPriority w:val="9"/>
    <w:rPr>
      <w:rFonts w:asciiTheme="majorHAnsi" w:hAnsiTheme="majorHAnsi" w:eastAsiaTheme="majorEastAsia" w:cstheme="majorBidi"/>
      <w:color w:val="376092" w:themeColor="accent1" w:themeShade="BF"/>
      <w:sz w:val="32"/>
      <w:szCs w:val="32"/>
    </w:rPr>
  </w:style>
  <w:style w:type="character" w:customStyle="1" w:styleId="22">
    <w:name w:val="Heading 3 Char"/>
    <w:basedOn w:val="11"/>
    <w:link w:val="4"/>
    <w:semiHidden/>
    <w:uiPriority w:val="9"/>
    <w:rPr>
      <w:rFonts w:eastAsiaTheme="majorEastAsia" w:cstheme="majorBidi"/>
      <w:color w:val="376092" w:themeColor="accent1" w:themeShade="BF"/>
      <w:sz w:val="28"/>
      <w:szCs w:val="28"/>
    </w:rPr>
  </w:style>
  <w:style w:type="character" w:customStyle="1" w:styleId="23">
    <w:name w:val="Heading 4 Char"/>
    <w:basedOn w:val="11"/>
    <w:link w:val="5"/>
    <w:semiHidden/>
    <w:uiPriority w:val="9"/>
    <w:rPr>
      <w:rFonts w:eastAsiaTheme="majorEastAsia" w:cstheme="majorBidi"/>
      <w:i/>
      <w:iCs/>
      <w:color w:val="376092" w:themeColor="accent1" w:themeShade="BF"/>
    </w:rPr>
  </w:style>
  <w:style w:type="character" w:customStyle="1" w:styleId="24">
    <w:name w:val="Heading 5 Char"/>
    <w:basedOn w:val="11"/>
    <w:link w:val="6"/>
    <w:semiHidden/>
    <w:uiPriority w:val="9"/>
    <w:rPr>
      <w:rFonts w:eastAsiaTheme="majorEastAsia" w:cstheme="majorBidi"/>
      <w:color w:val="376092" w:themeColor="accent1" w:themeShade="BF"/>
    </w:rPr>
  </w:style>
  <w:style w:type="character" w:customStyle="1" w:styleId="25">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tle Char"/>
    <w:basedOn w:val="11"/>
    <w:link w:val="19"/>
    <w:uiPriority w:val="10"/>
    <w:rPr>
      <w:rFonts w:asciiTheme="majorHAnsi" w:hAnsiTheme="majorHAnsi" w:eastAsiaTheme="majorEastAsia" w:cstheme="majorBidi"/>
      <w:spacing w:val="-10"/>
      <w:kern w:val="28"/>
      <w:sz w:val="56"/>
      <w:szCs w:val="56"/>
    </w:rPr>
  </w:style>
  <w:style w:type="character" w:customStyle="1" w:styleId="30">
    <w:name w:val="Subtitle Char"/>
    <w:basedOn w:val="11"/>
    <w:link w:val="18"/>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link w:val="40"/>
    <w:qFormat/>
    <w:uiPriority w:val="34"/>
    <w:pPr>
      <w:ind w:left="720"/>
      <w:contextualSpacing/>
    </w:pPr>
  </w:style>
  <w:style w:type="character" w:customStyle="1" w:styleId="34">
    <w:name w:val="Intense Emphasis"/>
    <w:basedOn w:val="11"/>
    <w:qFormat/>
    <w:uiPriority w:val="21"/>
    <w:rPr>
      <w:i/>
      <w:iCs/>
      <w:color w:val="376092" w:themeColor="accent1" w:themeShade="BF"/>
    </w:rPr>
  </w:style>
  <w:style w:type="paragraph" w:styleId="35">
    <w:name w:val="Intense Quote"/>
    <w:basedOn w:val="1"/>
    <w:next w:val="1"/>
    <w:link w:val="36"/>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6">
    <w:name w:val="Intense Quote Char"/>
    <w:basedOn w:val="11"/>
    <w:link w:val="35"/>
    <w:qFormat/>
    <w:uiPriority w:val="30"/>
    <w:rPr>
      <w:i/>
      <w:iCs/>
      <w:color w:val="376092" w:themeColor="accent1" w:themeShade="BF"/>
    </w:rPr>
  </w:style>
  <w:style w:type="character" w:customStyle="1" w:styleId="37">
    <w:name w:val="Intense Reference"/>
    <w:basedOn w:val="11"/>
    <w:qFormat/>
    <w:uiPriority w:val="32"/>
    <w:rPr>
      <w:b/>
      <w:bCs/>
      <w:smallCaps/>
      <w:color w:val="376092" w:themeColor="accent1" w:themeShade="BF"/>
      <w:spacing w:val="5"/>
    </w:rPr>
  </w:style>
  <w:style w:type="paragraph" w:customStyle="1" w:styleId="38">
    <w:name w:val="alineja"/>
    <w:basedOn w:val="1"/>
    <w:link w:val="39"/>
    <w:qFormat/>
    <w:uiPriority w:val="0"/>
    <w:pPr>
      <w:numPr>
        <w:ilvl w:val="0"/>
        <w:numId w:val="1"/>
      </w:numPr>
      <w:autoSpaceDE w:val="0"/>
      <w:autoSpaceDN w:val="0"/>
      <w:adjustRightInd w:val="0"/>
      <w:spacing w:before="120" w:after="0" w:line="240" w:lineRule="auto"/>
      <w:jc w:val="both"/>
    </w:pPr>
    <w:rPr>
      <w:rFonts w:ascii="Tahoma" w:hAnsi="Tahoma" w:eastAsia="Times New Roman" w:cs="Times New Roman"/>
      <w:color w:val="000000"/>
      <w:kern w:val="0"/>
      <w:sz w:val="20"/>
      <w:szCs w:val="20"/>
      <w:lang w:val="zh-CN" w:eastAsia="zh-CN"/>
    </w:rPr>
  </w:style>
  <w:style w:type="character" w:customStyle="1" w:styleId="39">
    <w:name w:val="alineja Char"/>
    <w:link w:val="38"/>
    <w:uiPriority w:val="0"/>
    <w:rPr>
      <w:rFonts w:ascii="Tahoma" w:hAnsi="Tahoma" w:eastAsia="Times New Roman" w:cs="Times New Roman"/>
      <w:color w:val="000000"/>
      <w:kern w:val="0"/>
      <w:sz w:val="20"/>
      <w:szCs w:val="20"/>
      <w:lang w:val="zh-CN" w:eastAsia="zh-CN"/>
    </w:rPr>
  </w:style>
  <w:style w:type="character" w:customStyle="1" w:styleId="40">
    <w:name w:val="List Paragraph Char"/>
    <w:link w:val="33"/>
    <w:qFormat/>
    <w:locked/>
    <w:uiPriority w:val="34"/>
  </w:style>
  <w:style w:type="character" w:customStyle="1" w:styleId="41">
    <w:name w:val="markedcontent"/>
    <w:basedOn w:val="11"/>
    <w:uiPriority w:val="0"/>
  </w:style>
  <w:style w:type="character" w:customStyle="1" w:styleId="42">
    <w:name w:val="Header Char"/>
    <w:basedOn w:val="11"/>
    <w:link w:val="17"/>
    <w:qFormat/>
    <w:uiPriority w:val="99"/>
  </w:style>
  <w:style w:type="character" w:customStyle="1" w:styleId="43">
    <w:name w:val="Footer Char"/>
    <w:basedOn w:val="11"/>
    <w:link w:val="16"/>
    <w:uiPriority w:val="99"/>
  </w:style>
  <w:style w:type="character" w:customStyle="1" w:styleId="44">
    <w:name w:val="Comment Text Char"/>
    <w:basedOn w:val="11"/>
    <w:link w:val="14"/>
    <w:qFormat/>
    <w:uiPriority w:val="99"/>
    <w:rPr>
      <w:sz w:val="20"/>
      <w:szCs w:val="20"/>
    </w:rPr>
  </w:style>
  <w:style w:type="character" w:customStyle="1" w:styleId="45">
    <w:name w:val="Comment Subject Char"/>
    <w:basedOn w:val="44"/>
    <w:link w:val="15"/>
    <w:semiHidden/>
    <w:uiPriority w:val="99"/>
    <w:rPr>
      <w:b/>
      <w:bCs/>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1011</Words>
  <Characters>5766</Characters>
  <Lines>48</Lines>
  <Paragraphs>13</Paragraphs>
  <TotalTime>14</TotalTime>
  <ScaleCrop>false</ScaleCrop>
  <LinksUpToDate>false</LinksUpToDate>
  <CharactersWithSpaces>6764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2026-02-04T13:35:00Z</dcterms:created>
  <dc:creator>Jadranka Vojvodić</dc:creator>
  <cp:lastModifiedBy>Svetlana</cp:lastModifiedBy>
  <cp:lastPrinted>2025-01-24T13:20:00Z</cp:lastPrinted>
  <dcterms:modified xsi:type="dcterms:W3CDTF">2026-02-10T13:38:11Z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3472F05D257C4553A39151AB37B24E2C_13</vt:lpwstr>
  </property>
</Properties>
</file>