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C1C9C">
      <w:pPr>
        <w:tabs>
          <w:tab w:val="left" w:pos="1701"/>
          <w:tab w:val="left" w:pos="4820"/>
        </w:tabs>
        <w:jc w:val="both"/>
        <w:rPr>
          <w:color w:val="000000"/>
          <w:lang w:val="sr-Latn-ME"/>
        </w:rPr>
      </w:pPr>
      <w:r>
        <w:rPr>
          <w:color w:val="000000"/>
          <w:u w:val="single"/>
        </w:rPr>
        <w:t xml:space="preserve">Ministarstvo </w:t>
      </w:r>
      <w:r>
        <w:rPr>
          <w:color w:val="000000"/>
          <w:u w:val="single"/>
          <w:lang w:val="sr-Latn-ME"/>
        </w:rPr>
        <w:t>evropskih poslova</w:t>
      </w:r>
    </w:p>
    <w:p w14:paraId="2A8E07CD">
      <w:pPr>
        <w:jc w:val="both"/>
      </w:pPr>
      <w:r>
        <w:t xml:space="preserve">Broj iz evidencije postupaka javnih nabavki: </w:t>
      </w:r>
      <w:r>
        <w:rPr>
          <w:color w:val="000000" w:themeColor="text1"/>
          <w14:textFill>
            <w14:solidFill>
              <w14:schemeClr w14:val="tx1"/>
            </w14:solidFill>
          </w14:textFill>
        </w:rPr>
        <w:t>0</w:t>
      </w:r>
      <w:r>
        <w:rPr>
          <w:color w:val="000000" w:themeColor="text1"/>
          <w:lang w:val="sr-Latn-ME"/>
          <w14:textFill>
            <w14:solidFill>
              <w14:schemeClr w14:val="tx1"/>
            </w14:solidFill>
          </w14:textFill>
        </w:rPr>
        <w:t>3/1/2</w:t>
      </w:r>
      <w:r>
        <w:rPr>
          <w:color w:val="000000" w:themeColor="text1"/>
          <w14:textFill>
            <w14:solidFill>
              <w14:schemeClr w14:val="tx1"/>
            </w14:solidFill>
          </w14:textFill>
        </w:rPr>
        <w:t>-426/2</w:t>
      </w:r>
      <w:r>
        <w:rPr>
          <w:color w:val="000000" w:themeColor="text1"/>
          <w:lang w:val="sr-Latn-ME"/>
          <w14:textFill>
            <w14:solidFill>
              <w14:schemeClr w14:val="tx1"/>
            </w14:solidFill>
          </w14:textFill>
        </w:rPr>
        <w:t>5</w:t>
      </w:r>
      <w:r>
        <w:rPr>
          <w:color w:val="000000" w:themeColor="text1"/>
          <w14:textFill>
            <w14:solidFill>
              <w14:schemeClr w14:val="tx1"/>
            </w14:solidFill>
          </w14:textFill>
        </w:rPr>
        <w:t>-</w:t>
      </w:r>
      <w:r>
        <w:rPr>
          <w:color w:val="000000" w:themeColor="text1"/>
          <w:lang w:val="sr-Latn-ME"/>
          <w14:textFill>
            <w14:solidFill>
              <w14:schemeClr w14:val="tx1"/>
            </w14:solidFill>
          </w14:textFill>
        </w:rPr>
        <w:t>4321</w:t>
      </w:r>
      <w:r>
        <w:rPr>
          <w:color w:val="000000" w:themeColor="text1"/>
          <w14:textFill>
            <w14:solidFill>
              <w14:schemeClr w14:val="tx1"/>
            </w14:solidFill>
          </w14:textFill>
        </w:rPr>
        <w:t>/5</w:t>
      </w:r>
    </w:p>
    <w:p w14:paraId="6F429827">
      <w:pPr>
        <w:jc w:val="both"/>
        <w:rPr>
          <w:color w:val="000000"/>
          <w:lang w:val="sr-Latn-ME"/>
        </w:rPr>
      </w:pPr>
      <w:r>
        <w:rPr>
          <w:color w:val="000000"/>
        </w:rPr>
        <w:t xml:space="preserve">Redni broj iz Plana javnih nabavki: </w:t>
      </w:r>
      <w:r>
        <w:rPr>
          <w:color w:val="000000"/>
          <w:lang w:val="sr-Latn-ME"/>
        </w:rPr>
        <w:t>6</w:t>
      </w:r>
    </w:p>
    <w:p w14:paraId="46B8EBFB">
      <w:pPr>
        <w:jc w:val="both"/>
        <w:rPr>
          <w:b/>
          <w:bCs/>
          <w:color w:val="000000"/>
        </w:rPr>
      </w:pPr>
      <w:r>
        <w:rPr>
          <w:color w:val="000000"/>
        </w:rPr>
        <w:t>Mjesto i datum: Podgorica, 30.12.202</w:t>
      </w:r>
      <w:r>
        <w:rPr>
          <w:color w:val="000000"/>
          <w:lang w:val="sr-Latn-ME"/>
        </w:rPr>
        <w:t>5</w:t>
      </w:r>
      <w:r>
        <w:rPr>
          <w:color w:val="000000"/>
        </w:rPr>
        <w:t>.</w:t>
      </w:r>
      <w:r>
        <w:rPr>
          <w:color w:val="000000"/>
          <w:lang w:val="sr-Latn-ME"/>
        </w:rPr>
        <w:t xml:space="preserve"> </w:t>
      </w:r>
      <w:r>
        <w:rPr>
          <w:color w:val="000000"/>
        </w:rPr>
        <w:t>godine</w:t>
      </w:r>
    </w:p>
    <w:p w14:paraId="163DA914">
      <w:pPr>
        <w:keepNext/>
        <w:jc w:val="both"/>
        <w:outlineLvl w:val="0"/>
        <w:rPr>
          <w:b/>
          <w:bCs/>
          <w:i/>
          <w:iCs/>
          <w:color w:val="000000"/>
        </w:rPr>
      </w:pPr>
    </w:p>
    <w:p w14:paraId="0ACF1970">
      <w:pPr>
        <w:keepNext/>
        <w:jc w:val="both"/>
        <w:outlineLvl w:val="0"/>
        <w:rPr>
          <w:b/>
          <w:bCs/>
          <w:i/>
          <w:iCs/>
          <w:color w:val="000000"/>
        </w:rPr>
      </w:pPr>
    </w:p>
    <w:p w14:paraId="0DA43BC0">
      <w:pPr>
        <w:keepNext/>
        <w:jc w:val="both"/>
        <w:outlineLvl w:val="0"/>
        <w:rPr>
          <w:b/>
          <w:bCs/>
          <w:i/>
          <w:iCs/>
          <w:color w:val="000000"/>
        </w:rPr>
      </w:pPr>
    </w:p>
    <w:p w14:paraId="31729385"/>
    <w:p w14:paraId="4F25A402">
      <w:pPr>
        <w:tabs>
          <w:tab w:val="left" w:pos="1276"/>
          <w:tab w:val="left" w:pos="3261"/>
        </w:tabs>
        <w:jc w:val="both"/>
      </w:pPr>
    </w:p>
    <w:p w14:paraId="57B33CC7">
      <w:pPr>
        <w:tabs>
          <w:tab w:val="left" w:pos="1276"/>
          <w:tab w:val="left" w:pos="3261"/>
        </w:tabs>
        <w:jc w:val="both"/>
      </w:pPr>
      <w:r>
        <w:t xml:space="preserve">Na osnovu člana 53 stav 3 Zakona o javnim nabavkama („Službeni list CG“, br. 074/19, 3/2023 i 11/2023 ) </w:t>
      </w:r>
      <w:r>
        <w:rPr>
          <w:color w:val="000000"/>
          <w:u w:val="single"/>
        </w:rPr>
        <w:t xml:space="preserve">Ministarstvo </w:t>
      </w:r>
      <w:r>
        <w:rPr>
          <w:color w:val="000000"/>
          <w:u w:val="single"/>
          <w:lang w:val="sr-Latn-ME"/>
        </w:rPr>
        <w:t>evropskih poslova</w:t>
      </w:r>
      <w:r>
        <w:rPr>
          <w:color w:val="000000"/>
          <w:u w:val="single"/>
        </w:rPr>
        <w:t xml:space="preserve">, </w:t>
      </w:r>
      <w:r>
        <w:t>objavljuje</w:t>
      </w:r>
    </w:p>
    <w:p w14:paraId="59219DC4">
      <w:pPr>
        <w:jc w:val="both"/>
      </w:pPr>
    </w:p>
    <w:p w14:paraId="623CE132">
      <w:pPr>
        <w:keepNext/>
        <w:jc w:val="both"/>
        <w:outlineLvl w:val="0"/>
        <w:rPr>
          <w:i/>
          <w:iCs/>
          <w:color w:val="000000"/>
        </w:rPr>
      </w:pPr>
    </w:p>
    <w:p w14:paraId="5909B8EA">
      <w:pPr>
        <w:rPr>
          <w:color w:val="000000"/>
        </w:rPr>
      </w:pPr>
    </w:p>
    <w:p w14:paraId="250CA3F0">
      <w:pPr>
        <w:tabs>
          <w:tab w:val="left" w:pos="1701"/>
          <w:tab w:val="left" w:pos="4820"/>
        </w:tabs>
        <w:jc w:val="both"/>
        <w:rPr>
          <w:color w:val="000000"/>
          <w:u w:val="single"/>
        </w:rPr>
      </w:pPr>
    </w:p>
    <w:p w14:paraId="3D5D9233">
      <w:pPr>
        <w:rPr>
          <w:color w:val="000000"/>
        </w:rPr>
      </w:pPr>
    </w:p>
    <w:p w14:paraId="174EC8A4">
      <w:pPr>
        <w:keepNext/>
        <w:jc w:val="center"/>
        <w:outlineLvl w:val="0"/>
        <w:rPr>
          <w:b/>
          <w:bCs/>
          <w:color w:val="000000"/>
        </w:rPr>
      </w:pPr>
    </w:p>
    <w:p w14:paraId="339D63BB">
      <w:pPr>
        <w:jc w:val="center"/>
        <w:rPr>
          <w:b/>
          <w:bCs/>
          <w:color w:val="000000"/>
        </w:rPr>
      </w:pPr>
      <w:r>
        <w:rPr>
          <w:b/>
          <w:bCs/>
          <w:color w:val="000000"/>
        </w:rPr>
        <w:t>TENDERSKU DOKUMENTACIJU</w:t>
      </w:r>
    </w:p>
    <w:p w14:paraId="1AD8A15A">
      <w:pPr>
        <w:jc w:val="center"/>
        <w:rPr>
          <w:b/>
          <w:bCs/>
          <w:color w:val="000000"/>
        </w:rPr>
      </w:pPr>
      <w:r>
        <w:rPr>
          <w:b/>
          <w:bCs/>
          <w:color w:val="000000"/>
        </w:rPr>
        <w:t>ZA OTVORENI POSTUPAK JAVNE NABAVKE</w:t>
      </w:r>
    </w:p>
    <w:p w14:paraId="5A08D318">
      <w:pPr>
        <w:jc w:val="center"/>
        <w:rPr>
          <w:b/>
          <w:bCs/>
          <w:color w:val="000000"/>
        </w:rPr>
      </w:pPr>
    </w:p>
    <w:p w14:paraId="089341EC">
      <w:pPr>
        <w:jc w:val="center"/>
        <w:rPr>
          <w:color w:val="000000"/>
        </w:rPr>
      </w:pPr>
      <w:r>
        <w:rPr>
          <w:color w:val="000000"/>
        </w:rPr>
        <w:t>Nabavka usluge –</w:t>
      </w:r>
      <w:r>
        <w:rPr>
          <w:color w:val="000000"/>
          <w:lang w:val="sr-Latn-ME"/>
        </w:rPr>
        <w:t xml:space="preserve"> </w:t>
      </w:r>
      <w:r>
        <w:rPr>
          <w:color w:val="000000"/>
        </w:rPr>
        <w:t xml:space="preserve"> Prevođenje pravne tekovine EU (ponovljeni postupak)</w:t>
      </w:r>
    </w:p>
    <w:p w14:paraId="42A1991D">
      <w:pPr>
        <w:tabs>
          <w:tab w:val="left" w:pos="1276"/>
          <w:tab w:val="left" w:pos="3261"/>
        </w:tabs>
        <w:jc w:val="center"/>
      </w:pPr>
    </w:p>
    <w:p w14:paraId="0832351C">
      <w:pPr>
        <w:tabs>
          <w:tab w:val="left" w:pos="1276"/>
          <w:tab w:val="left" w:pos="3261"/>
        </w:tabs>
        <w:jc w:val="center"/>
      </w:pPr>
    </w:p>
    <w:p w14:paraId="53FE9D2D">
      <w:pPr>
        <w:tabs>
          <w:tab w:val="left" w:pos="1276"/>
          <w:tab w:val="left" w:pos="3261"/>
        </w:tabs>
        <w:jc w:val="center"/>
      </w:pPr>
    </w:p>
    <w:p w14:paraId="1481CC57">
      <w:pPr>
        <w:tabs>
          <w:tab w:val="left" w:pos="1276"/>
          <w:tab w:val="left" w:pos="3261"/>
        </w:tabs>
        <w:jc w:val="center"/>
      </w:pPr>
    </w:p>
    <w:p w14:paraId="749E626E">
      <w:pPr>
        <w:jc w:val="both"/>
        <w:rPr>
          <w:rFonts w:ascii="Cambria" w:hAnsi="Cambria" w:eastAsia="Calibri" w:cs="Calibri"/>
          <w:b/>
          <w:lang w:val="it-IT"/>
        </w:rPr>
      </w:pPr>
    </w:p>
    <w:p w14:paraId="7B45FCED">
      <w:pPr>
        <w:jc w:val="both"/>
        <w:rPr>
          <w:rFonts w:ascii="Cambria" w:hAnsi="Cambria" w:eastAsia="Calibri" w:cs="Calibri"/>
          <w:b/>
          <w:lang w:val="it-IT"/>
        </w:rPr>
      </w:pPr>
    </w:p>
    <w:p w14:paraId="571175A8">
      <w:pPr>
        <w:jc w:val="both"/>
        <w:rPr>
          <w:color w:val="000000"/>
        </w:rPr>
      </w:pPr>
    </w:p>
    <w:p w14:paraId="1EC73163">
      <w:pPr>
        <w:jc w:val="both"/>
        <w:rPr>
          <w:color w:val="000000"/>
        </w:rPr>
      </w:pPr>
    </w:p>
    <w:p w14:paraId="661EEAAD">
      <w:pPr>
        <w:jc w:val="both"/>
        <w:rPr>
          <w:color w:val="000000"/>
        </w:rPr>
      </w:pPr>
      <w:r>
        <w:rPr>
          <w:color w:val="000000"/>
        </w:rPr>
        <w:t>Predmet nabavke se nabavlja:</w:t>
      </w:r>
    </w:p>
    <w:p w14:paraId="02CAE79C">
      <w:pPr>
        <w:jc w:val="both"/>
        <w:rPr>
          <w:color w:val="000000"/>
        </w:rPr>
      </w:pPr>
    </w:p>
    <w:p w14:paraId="5EDE2161">
      <w:pPr>
        <w:jc w:val="both"/>
        <w:rPr>
          <w:color w:val="000000"/>
        </w:rPr>
      </w:pPr>
      <w:r>
        <w:rPr>
          <w:color w:val="000000"/>
        </w:rPr>
        <w:sym w:font="Wingdings" w:char="F0A8"/>
      </w:r>
      <w:r>
        <w:rPr>
          <w:color w:val="000000"/>
        </w:rPr>
        <w:t xml:space="preserve"> </w:t>
      </w:r>
      <w:r>
        <w:rPr>
          <w:color w:val="000000"/>
          <w:lang w:val="sr-Latn-ME"/>
        </w:rPr>
        <w:t>kao cjelina</w:t>
      </w:r>
      <w:r>
        <w:rPr>
          <w:color w:val="000000"/>
        </w:rPr>
        <w:t xml:space="preserve"> </w:t>
      </w:r>
    </w:p>
    <w:p w14:paraId="18E25B83">
      <w:pPr>
        <w:jc w:val="both"/>
        <w:rPr>
          <w:rFonts w:ascii="Cambria" w:hAnsi="Cambria" w:eastAsia="Calibri" w:cs="Calibri"/>
          <w:b/>
          <w:lang w:val="it-IT"/>
        </w:rPr>
      </w:pPr>
    </w:p>
    <w:p w14:paraId="63B5E909">
      <w:pPr>
        <w:jc w:val="both"/>
        <w:rPr>
          <w:rFonts w:ascii="Cambria" w:hAnsi="Cambria"/>
          <w:color w:val="000000"/>
        </w:rPr>
      </w:pPr>
    </w:p>
    <w:p w14:paraId="666602B7">
      <w:pPr>
        <w:tabs>
          <w:tab w:val="left" w:pos="1276"/>
          <w:tab w:val="left" w:pos="3261"/>
        </w:tabs>
        <w:jc w:val="both"/>
        <w:rPr>
          <w:rFonts w:ascii="Cambria" w:hAnsi="Cambria" w:cs="Arial"/>
        </w:rPr>
      </w:pPr>
    </w:p>
    <w:p w14:paraId="0F8DAB70">
      <w:pPr>
        <w:jc w:val="center"/>
        <w:rPr>
          <w:rFonts w:ascii="Cambria" w:hAnsi="Cambria" w:eastAsia="Calibri" w:cs="Calibri"/>
          <w:b/>
          <w:lang w:val="it-IT"/>
        </w:rPr>
      </w:pPr>
    </w:p>
    <w:p w14:paraId="60CAFFF1">
      <w:pPr>
        <w:jc w:val="center"/>
        <w:rPr>
          <w:color w:val="000000"/>
        </w:rPr>
      </w:pPr>
    </w:p>
    <w:p w14:paraId="1F2C1377">
      <w:pPr>
        <w:rPr>
          <w:bCs/>
          <w:color w:val="000000"/>
          <w:shd w:val="clear" w:color="auto" w:fill="FFFFFF"/>
        </w:rPr>
      </w:pPr>
    </w:p>
    <w:p w14:paraId="120FC03A">
      <w:pPr>
        <w:rPr>
          <w:bCs/>
          <w:color w:val="000000"/>
          <w:shd w:val="clear" w:color="auto" w:fill="FFFFFF"/>
        </w:rPr>
      </w:pPr>
    </w:p>
    <w:p w14:paraId="434E54D3">
      <w:pPr>
        <w:rPr>
          <w:bCs/>
          <w:color w:val="000000"/>
          <w:shd w:val="clear" w:color="auto" w:fill="FFFFFF"/>
        </w:rPr>
      </w:pPr>
    </w:p>
    <w:p w14:paraId="27B5262E">
      <w:pPr>
        <w:rPr>
          <w:bCs/>
          <w:color w:val="000000"/>
          <w:shd w:val="clear" w:color="auto" w:fill="FFFFFF"/>
        </w:rPr>
      </w:pPr>
    </w:p>
    <w:p w14:paraId="19AF8F09">
      <w:pPr>
        <w:rPr>
          <w:bCs/>
          <w:color w:val="000000"/>
          <w:shd w:val="clear" w:color="auto" w:fill="FFFFFF"/>
        </w:rPr>
      </w:pPr>
    </w:p>
    <w:p w14:paraId="00C2477A">
      <w:pPr>
        <w:rPr>
          <w:bCs/>
          <w:color w:val="000000"/>
          <w:shd w:val="clear" w:color="auto" w:fill="FFFFFF"/>
        </w:rPr>
      </w:pPr>
    </w:p>
    <w:p w14:paraId="694767CB">
      <w:pPr>
        <w:rPr>
          <w:bCs/>
          <w:color w:val="000000"/>
          <w:shd w:val="clear" w:color="auto" w:fill="FFFFFF"/>
        </w:rPr>
      </w:pPr>
    </w:p>
    <w:p w14:paraId="6EE6903F">
      <w:pPr>
        <w:rPr>
          <w:bCs/>
          <w:color w:val="000000"/>
          <w:shd w:val="clear" w:color="auto" w:fill="FFFFFF"/>
        </w:rPr>
      </w:pPr>
    </w:p>
    <w:p w14:paraId="27C93C3E">
      <w:pPr>
        <w:rPr>
          <w:bCs/>
          <w:color w:val="000000"/>
          <w:shd w:val="clear" w:color="auto" w:fill="FFFFFF"/>
        </w:rPr>
      </w:pPr>
    </w:p>
    <w:p w14:paraId="6C67017D">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eastAsiaTheme="minorHAnsi" w:cstheme="minorBidi"/>
          <w:b/>
          <w:color w:val="000000"/>
          <w:sz w:val="22"/>
          <w:szCs w:val="32"/>
          <w:lang w:val="sr-Latn-ME"/>
        </w:rPr>
      </w:pPr>
      <w:r>
        <w:rPr>
          <w:rFonts w:ascii="Arial" w:hAnsi="Arial" w:eastAsiaTheme="minorHAnsi" w:cstheme="minorBidi"/>
          <w:b/>
          <w:color w:val="000000"/>
          <w:sz w:val="22"/>
          <w:szCs w:val="32"/>
          <w:lang w:val="sr-Latn-ME"/>
        </w:rPr>
        <w:t>POZIV ZA NADMETANJE</w:t>
      </w:r>
      <w:r>
        <w:rPr>
          <w:rFonts w:ascii="Arial" w:hAnsi="Arial" w:eastAsiaTheme="minorHAnsi" w:cstheme="minorBidi"/>
          <w:b/>
          <w:color w:val="000000"/>
          <w:sz w:val="22"/>
          <w:szCs w:val="32"/>
          <w:vertAlign w:val="superscript"/>
          <w:lang w:val="sr-Latn-ME"/>
        </w:rPr>
        <w:footnoteReference w:id="0"/>
      </w:r>
      <w:r>
        <w:rPr>
          <w:rFonts w:ascii="Arial" w:hAnsi="Arial" w:eastAsiaTheme="minorHAnsi" w:cstheme="minorBidi"/>
          <w:b/>
          <w:color w:val="000000"/>
          <w:sz w:val="22"/>
          <w:szCs w:val="32"/>
          <w:lang w:val="sr-Latn-ME"/>
        </w:rPr>
        <w:t xml:space="preserve"> </w:t>
      </w:r>
    </w:p>
    <w:p w14:paraId="37A388D4">
      <w:pPr>
        <w:spacing w:after="160" w:line="259" w:lineRule="auto"/>
        <w:rPr>
          <w:rFonts w:ascii="Arial" w:hAnsi="Arial" w:cs="Arial" w:eastAsiaTheme="minorHAnsi"/>
          <w:b/>
          <w:bCs/>
          <w:color w:val="000000"/>
          <w:sz w:val="22"/>
          <w:szCs w:val="22"/>
          <w:lang w:val="sr-Latn-ME"/>
        </w:rPr>
      </w:pPr>
      <w:r>
        <w:rPr>
          <w:rFonts w:ascii="Arial" w:hAnsi="Arial" w:cs="Arial" w:eastAsiaTheme="minorHAnsi"/>
          <w:b/>
          <w:bCs/>
          <w:color w:val="000000"/>
          <w:sz w:val="22"/>
          <w:szCs w:val="22"/>
          <w:lang w:val="sr-Latn-ME"/>
        </w:rPr>
        <w:tab/>
      </w:r>
    </w:p>
    <w:p w14:paraId="2A95A22A">
      <w:pPr>
        <w:numPr>
          <w:ilvl w:val="0"/>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Podaci o naručiocu;</w:t>
      </w:r>
    </w:p>
    <w:p w14:paraId="2B7CE72D">
      <w:pPr>
        <w:numPr>
          <w:ilvl w:val="0"/>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 xml:space="preserve">Podaci o postupku i predmetu javne nabavke: </w:t>
      </w:r>
    </w:p>
    <w:p w14:paraId="48FC689B">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Vrsta postupka,</w:t>
      </w:r>
    </w:p>
    <w:p w14:paraId="37140A4E">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Predmet javne nabavke (vrsta predmeta, naziv i opis predmeta),</w:t>
      </w:r>
    </w:p>
    <w:p w14:paraId="7B7EB24B">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Procijenjena vrijednost predmeta nabavke</w:t>
      </w:r>
      <w:r>
        <w:rPr>
          <w:rFonts w:ascii="Arial" w:hAnsi="Arial" w:eastAsia="Calibri" w:cs="Arial"/>
          <w:color w:val="000000"/>
          <w:sz w:val="22"/>
          <w:szCs w:val="22"/>
          <w:vertAlign w:val="superscript"/>
          <w:lang w:val="sr-Latn-ME"/>
        </w:rPr>
        <w:footnoteReference w:id="1"/>
      </w:r>
      <w:r>
        <w:rPr>
          <w:rFonts w:ascii="Arial" w:hAnsi="Arial" w:eastAsia="Calibri" w:cs="Arial"/>
          <w:color w:val="000000"/>
          <w:sz w:val="22"/>
          <w:szCs w:val="22"/>
          <w:lang w:val="sr-Latn-ME"/>
        </w:rPr>
        <w:t>,</w:t>
      </w:r>
    </w:p>
    <w:p w14:paraId="548B4598">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 xml:space="preserve">Način nabavke: </w:t>
      </w:r>
    </w:p>
    <w:p w14:paraId="03B6CBF1">
      <w:pPr>
        <w:numPr>
          <w:ilvl w:val="0"/>
          <w:numId w:val="3"/>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Cjelina, po partijama,</w:t>
      </w:r>
    </w:p>
    <w:p w14:paraId="3B2D8E2D">
      <w:pPr>
        <w:numPr>
          <w:ilvl w:val="0"/>
          <w:numId w:val="3"/>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Zajednička nabavka,</w:t>
      </w:r>
    </w:p>
    <w:p w14:paraId="020B4414">
      <w:pPr>
        <w:numPr>
          <w:ilvl w:val="0"/>
          <w:numId w:val="3"/>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Centralizovana nabavka,</w:t>
      </w:r>
    </w:p>
    <w:p w14:paraId="20B2A1E6">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Posebni oblik nabavke:</w:t>
      </w:r>
    </w:p>
    <w:p w14:paraId="2C99959A">
      <w:pPr>
        <w:numPr>
          <w:ilvl w:val="0"/>
          <w:numId w:val="4"/>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Okvirni sporazum,</w:t>
      </w:r>
    </w:p>
    <w:p w14:paraId="63060163">
      <w:pPr>
        <w:numPr>
          <w:ilvl w:val="0"/>
          <w:numId w:val="4"/>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Dinamički sistem nabavki,</w:t>
      </w:r>
    </w:p>
    <w:p w14:paraId="41F795FA">
      <w:pPr>
        <w:numPr>
          <w:ilvl w:val="0"/>
          <w:numId w:val="4"/>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Elektronska aukcija,</w:t>
      </w:r>
    </w:p>
    <w:p w14:paraId="787B4A00">
      <w:pPr>
        <w:numPr>
          <w:ilvl w:val="0"/>
          <w:numId w:val="4"/>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Elektronski katalog,</w:t>
      </w:r>
    </w:p>
    <w:p w14:paraId="56D8E133">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Uslovi za učešće u postupku javne nabavke i posebni osnovi za isključenje,</w:t>
      </w:r>
    </w:p>
    <w:p w14:paraId="51AF1198">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Kriterijum za izbor najpovoljnije ponude,</w:t>
      </w:r>
    </w:p>
    <w:p w14:paraId="013855D2">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Način, mjesto i vrijeme podnošenja ponuda i otvaranja ponuda,</w:t>
      </w:r>
    </w:p>
    <w:p w14:paraId="38DF8357">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Rok za donošenje odluke o izboru,</w:t>
      </w:r>
    </w:p>
    <w:p w14:paraId="4A60082D">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Rok važenja ponude,</w:t>
      </w:r>
    </w:p>
    <w:p w14:paraId="034C7B4A">
      <w:pPr>
        <w:numPr>
          <w:ilvl w:val="1"/>
          <w:numId w:val="2"/>
        </w:numPr>
        <w:spacing w:after="160" w:line="259" w:lineRule="auto"/>
        <w:contextualSpacing/>
        <w:rPr>
          <w:rFonts w:ascii="Arial" w:hAnsi="Arial" w:eastAsia="Calibri" w:cs="Arial"/>
          <w:color w:val="000000"/>
          <w:sz w:val="22"/>
          <w:szCs w:val="22"/>
          <w:lang w:val="sr-Latn-ME"/>
        </w:rPr>
      </w:pPr>
      <w:r>
        <w:rPr>
          <w:rFonts w:ascii="Arial" w:hAnsi="Arial" w:eastAsia="Calibri" w:cs="Arial"/>
          <w:color w:val="000000"/>
          <w:sz w:val="22"/>
          <w:szCs w:val="22"/>
          <w:lang w:val="sr-Latn-ME"/>
        </w:rPr>
        <w:t>Garancija ponude</w:t>
      </w:r>
    </w:p>
    <w:p w14:paraId="50ED3370">
      <w:pPr>
        <w:spacing w:after="160" w:line="259" w:lineRule="auto"/>
        <w:rPr>
          <w:rFonts w:ascii="Calibri" w:hAnsi="Calibri" w:eastAsia="Calibri" w:cstheme="minorBidi"/>
          <w:color w:val="000000"/>
          <w:sz w:val="22"/>
          <w:szCs w:val="22"/>
          <w:lang w:val="sr-Latn-ME"/>
        </w:rPr>
      </w:pPr>
    </w:p>
    <w:p w14:paraId="300ABF9A">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eastAsiaTheme="minorHAnsi" w:cstheme="minorBidi"/>
          <w:b/>
          <w:color w:val="000000"/>
          <w:sz w:val="22"/>
          <w:szCs w:val="32"/>
          <w:lang w:val="sr-Latn-ME"/>
        </w:rPr>
      </w:pPr>
      <w:r>
        <w:rPr>
          <w:rFonts w:ascii="Arial" w:hAnsi="Arial" w:eastAsiaTheme="minorHAnsi" w:cstheme="minorBidi"/>
          <w:b/>
          <w:color w:val="000000"/>
          <w:sz w:val="22"/>
          <w:szCs w:val="32"/>
          <w:lang w:val="sr-Latn-ME"/>
        </w:rPr>
        <w:t>TEHNIČKA SPECIFIKACIJA PREDMETA JAVNE NABAVKE</w:t>
      </w:r>
      <w:r>
        <w:rPr>
          <w:rFonts w:ascii="Arial" w:hAnsi="Arial" w:eastAsiaTheme="minorHAnsi" w:cstheme="minorBidi"/>
          <w:b/>
          <w:color w:val="000000"/>
          <w:sz w:val="22"/>
          <w:szCs w:val="32"/>
          <w:vertAlign w:val="superscript"/>
          <w:lang w:val="sr-Latn-ME"/>
        </w:rPr>
        <w:footnoteReference w:id="2"/>
      </w:r>
    </w:p>
    <w:p w14:paraId="0DF4FC1D">
      <w:pPr>
        <w:spacing w:after="160" w:line="259" w:lineRule="auto"/>
        <w:rPr>
          <w:rFonts w:ascii="Calibri" w:hAnsi="Calibri" w:eastAsia="Calibri" w:cstheme="minorBidi"/>
          <w:color w:val="000000"/>
          <w:sz w:val="22"/>
          <w:szCs w:val="22"/>
          <w:lang w:val="sr-Latn-ME"/>
        </w:rPr>
      </w:pPr>
    </w:p>
    <w:p w14:paraId="4DF124E3">
      <w:pPr>
        <w:numPr>
          <w:ilvl w:val="0"/>
          <w:numId w:val="5"/>
        </w:numPr>
        <w:spacing w:after="160" w:line="259" w:lineRule="auto"/>
        <w:ind w:left="1080"/>
        <w:contextualSpacing/>
        <w:jc w:val="both"/>
        <w:rPr>
          <w:rFonts w:ascii="Arial" w:hAnsi="Arial" w:eastAsia="Calibri" w:cs="Arial"/>
          <w:color w:val="000000"/>
          <w:sz w:val="22"/>
          <w:szCs w:val="22"/>
          <w:lang w:val="sr-Latn-ME"/>
        </w:rPr>
      </w:pPr>
      <w:r>
        <w:rPr>
          <w:rFonts w:ascii="Arial" w:hAnsi="Arial" w:eastAsia="Calibri" w:cs="Arial"/>
          <w:color w:val="000000"/>
          <w:sz w:val="22"/>
          <w:szCs w:val="22"/>
          <w:lang w:val="sr-Latn-ME"/>
        </w:rPr>
        <w:t>Naziv i opis predmeta nabavke u cjelini, po partijama i stavkama sa bitnim karakteristikama</w:t>
      </w:r>
    </w:p>
    <w:p w14:paraId="3D65FE99">
      <w:pPr>
        <w:numPr>
          <w:ilvl w:val="0"/>
          <w:numId w:val="5"/>
        </w:numPr>
        <w:spacing w:after="160" w:line="259" w:lineRule="auto"/>
        <w:ind w:left="1080"/>
        <w:contextualSpacing/>
        <w:jc w:val="both"/>
        <w:rPr>
          <w:rFonts w:ascii="Arial" w:hAnsi="Arial" w:eastAsia="Calibri" w:cs="Arial"/>
          <w:color w:val="000000"/>
          <w:sz w:val="22"/>
          <w:szCs w:val="22"/>
          <w:lang w:val="sr-Latn-ME"/>
        </w:rPr>
      </w:pPr>
      <w:r>
        <w:rPr>
          <w:rFonts w:ascii="Arial" w:hAnsi="Arial" w:eastAsia="Calibri" w:cs="Arial"/>
          <w:color w:val="000000"/>
          <w:sz w:val="22"/>
          <w:szCs w:val="22"/>
          <w:lang w:val="sr-Latn-ME"/>
        </w:rPr>
        <w:t>Zahtjevi u pogledu načina izvršavanja predmeta nabavke koji su od značaja za sačinjavanje ponude i izvršenje ugovora</w:t>
      </w:r>
    </w:p>
    <w:p w14:paraId="38B91B88">
      <w:pPr>
        <w:rPr>
          <w:bCs/>
          <w:color w:val="000000"/>
          <w:shd w:val="clear" w:color="auto" w:fill="FFFFFF"/>
        </w:rPr>
      </w:pPr>
    </w:p>
    <w:p w14:paraId="24430BE3">
      <w:pPr>
        <w:rPr>
          <w:bCs/>
          <w:color w:val="000000"/>
          <w:shd w:val="clear" w:color="auto" w:fill="FFFFFF"/>
        </w:rPr>
      </w:pPr>
    </w:p>
    <w:p w14:paraId="411981E6">
      <w:pPr>
        <w:rPr>
          <w:bCs/>
          <w:color w:val="000000"/>
          <w:shd w:val="clear" w:color="auto" w:fill="FFFFFF"/>
        </w:rPr>
      </w:pPr>
    </w:p>
    <w:p w14:paraId="702DFA4B">
      <w:pPr>
        <w:rPr>
          <w:bCs/>
          <w:color w:val="000000"/>
          <w:shd w:val="clear" w:color="auto" w:fill="FFFFFF"/>
        </w:rPr>
      </w:pPr>
    </w:p>
    <w:p w14:paraId="027B0715">
      <w:pPr>
        <w:rPr>
          <w:bCs/>
          <w:color w:val="000000"/>
          <w:shd w:val="clear" w:color="auto" w:fill="FFFFFF"/>
        </w:rPr>
      </w:pPr>
    </w:p>
    <w:p w14:paraId="0674422F">
      <w:pPr>
        <w:rPr>
          <w:bCs/>
          <w:color w:val="000000"/>
          <w:shd w:val="clear" w:color="auto" w:fill="FFFFFF"/>
        </w:rPr>
      </w:pPr>
    </w:p>
    <w:p w14:paraId="7B47AF35">
      <w:pPr>
        <w:rPr>
          <w:bCs/>
          <w:color w:val="000000"/>
          <w:shd w:val="clear" w:color="auto" w:fill="FFFFFF"/>
        </w:rPr>
      </w:pPr>
    </w:p>
    <w:p w14:paraId="15DB0722">
      <w:pPr>
        <w:rPr>
          <w:bCs/>
          <w:color w:val="000000"/>
          <w:shd w:val="clear" w:color="auto" w:fill="FFFFFF"/>
        </w:rPr>
      </w:pPr>
    </w:p>
    <w:p w14:paraId="4EAC643A">
      <w:pPr>
        <w:rPr>
          <w:bCs/>
          <w:color w:val="000000"/>
          <w:shd w:val="clear" w:color="auto" w:fill="FFFFFF"/>
        </w:rPr>
      </w:pPr>
    </w:p>
    <w:p w14:paraId="02059371">
      <w:pPr>
        <w:rPr>
          <w:bCs/>
          <w:color w:val="000000"/>
          <w:shd w:val="clear" w:color="auto" w:fill="FFFFFF"/>
        </w:rPr>
      </w:pPr>
    </w:p>
    <w:p w14:paraId="68384AC4">
      <w:pPr>
        <w:rPr>
          <w:bCs/>
          <w:color w:val="000000"/>
          <w:shd w:val="clear" w:color="auto" w:fill="FFFFFF"/>
        </w:rPr>
      </w:pPr>
    </w:p>
    <w:p w14:paraId="55952BC5">
      <w:pPr>
        <w:rPr>
          <w:bCs/>
          <w:color w:val="000000"/>
          <w:shd w:val="clear" w:color="auto" w:fill="FFFFFF"/>
        </w:rPr>
      </w:pPr>
    </w:p>
    <w:p w14:paraId="428E0236">
      <w:pPr>
        <w:keepNext/>
        <w:keepLines/>
        <w:pBdr>
          <w:top w:val="single" w:color="auto" w:sz="4" w:space="1"/>
          <w:left w:val="single" w:color="auto" w:sz="4" w:space="4"/>
          <w:bottom w:val="single" w:color="auto" w:sz="4" w:space="1"/>
          <w:right w:val="single" w:color="auto" w:sz="4" w:space="4"/>
        </w:pBdr>
        <w:shd w:val="clear" w:color="auto" w:fill="D9D9D9"/>
        <w:spacing w:before="240"/>
        <w:jc w:val="center"/>
        <w:outlineLvl w:val="0"/>
        <w:rPr>
          <w:rFonts w:ascii="Cambria" w:hAnsi="Cambria"/>
          <w:b/>
          <w:color w:val="000000"/>
          <w:szCs w:val="32"/>
          <w:lang w:val="sr-Latn-ME"/>
        </w:rPr>
      </w:pPr>
      <w:r>
        <w:rPr>
          <w:rFonts w:ascii="Cambria" w:hAnsi="Cambria"/>
          <w:b/>
          <w:color w:val="000000"/>
          <w:szCs w:val="32"/>
          <w:lang w:val="sr-Latn-ME"/>
        </w:rPr>
        <w:t>DODATNE INFORMACIJE O PREDMETU I POSTUPKU NABAVKE</w:t>
      </w:r>
    </w:p>
    <w:p w14:paraId="1D2A4DC3">
      <w:pPr>
        <w:rPr>
          <w:bCs/>
          <w:color w:val="000000"/>
          <w:shd w:val="clear" w:color="auto" w:fill="FFFFFF"/>
        </w:rPr>
      </w:pPr>
    </w:p>
    <w:p w14:paraId="24CEE37B">
      <w:pPr>
        <w:jc w:val="both"/>
        <w:rPr>
          <w:bCs/>
          <w:color w:val="000000"/>
          <w:shd w:val="clear" w:color="auto" w:fill="FFFFFF"/>
        </w:rPr>
      </w:pPr>
    </w:p>
    <w:p w14:paraId="78AF5A28">
      <w:pPr>
        <w:rPr>
          <w:bCs/>
          <w:color w:val="000000"/>
          <w:shd w:val="clear" w:color="auto" w:fill="FFFFFF"/>
        </w:rPr>
      </w:pPr>
    </w:p>
    <w:p w14:paraId="6D71F896">
      <w:pPr>
        <w:pBdr>
          <w:top w:val="single" w:color="auto" w:sz="4" w:space="1"/>
          <w:left w:val="single" w:color="auto" w:sz="4" w:space="4"/>
          <w:bottom w:val="single" w:color="auto" w:sz="4" w:space="1"/>
          <w:right w:val="single" w:color="auto" w:sz="4" w:space="4"/>
        </w:pBdr>
        <w:shd w:val="clear" w:color="auto" w:fill="D9D9D9"/>
        <w:rPr>
          <w:rFonts w:ascii="Cambria" w:hAnsi="Cambria" w:cs="Arial"/>
          <w:b/>
          <w:bCs/>
          <w:color w:val="000000"/>
        </w:rPr>
      </w:pPr>
      <w:r>
        <w:rPr>
          <w:rFonts w:ascii="Cambria" w:hAnsi="Cambria" w:cs="Arial"/>
          <w:b/>
          <w:bCs/>
          <w:color w:val="000000"/>
        </w:rPr>
        <w:t>Procijenjena vrijednost predmenta nabavke:</w:t>
      </w:r>
    </w:p>
    <w:p w14:paraId="3CCBCF03">
      <w:pPr>
        <w:jc w:val="both"/>
        <w:rPr>
          <w:rFonts w:ascii="Cambria" w:hAnsi="Cambria" w:cs="Arial"/>
          <w:color w:val="000000"/>
        </w:rPr>
      </w:pPr>
    </w:p>
    <w:p w14:paraId="45F0DD9E">
      <w:pPr>
        <w:jc w:val="both"/>
        <w:rPr>
          <w:color w:val="000000"/>
        </w:rPr>
      </w:pPr>
      <w:r>
        <w:rPr>
          <w:color w:val="000000"/>
        </w:rPr>
        <w:sym w:font="Wingdings" w:char="00A8"/>
      </w:r>
      <w:r>
        <w:rPr>
          <w:color w:val="000000"/>
        </w:rPr>
        <w:t xml:space="preserve"> </w:t>
      </w:r>
      <w:r>
        <w:rPr>
          <w:b/>
          <w:bCs/>
          <w:color w:val="000000"/>
        </w:rPr>
        <w:t>Procijenjena vrijednost predmeta nabavke</w:t>
      </w:r>
      <w:r>
        <w:rPr>
          <w:color w:val="000000"/>
        </w:rPr>
        <w:t>:</w:t>
      </w:r>
    </w:p>
    <w:p w14:paraId="6EF4E8B9">
      <w:pPr>
        <w:jc w:val="both"/>
        <w:rPr>
          <w:rFonts w:ascii="Cambria" w:hAnsi="Cambria"/>
          <w:color w:val="000000"/>
        </w:rPr>
      </w:pPr>
    </w:p>
    <w:p w14:paraId="56DC86CA">
      <w:pPr>
        <w:jc w:val="both"/>
        <w:rPr>
          <w:rFonts w:ascii="Cambria" w:hAnsi="Cambria"/>
          <w:b/>
          <w:color w:val="000000"/>
        </w:rPr>
      </w:pPr>
      <w:r>
        <w:rPr>
          <w:color w:val="000000"/>
        </w:rPr>
        <w:sym w:font="Wingdings" w:char="00A8"/>
      </w:r>
      <w:r>
        <w:rPr>
          <w:color w:val="000000"/>
          <w:lang w:val="sr-Latn-ME"/>
        </w:rPr>
        <w:t xml:space="preserve"> Kao cjelina:</w:t>
      </w:r>
      <w:r>
        <w:rPr>
          <w:rFonts w:ascii="Cambria" w:hAnsi="Cambria"/>
          <w:b/>
          <w:color w:val="000000"/>
        </w:rPr>
        <w:t xml:space="preserve"> </w:t>
      </w:r>
      <w:r>
        <w:rPr>
          <w:rFonts w:ascii="Cambria" w:hAnsi="Cambria"/>
          <w:b/>
          <w:color w:val="000000"/>
          <w:lang w:val="sr-Latn-ME"/>
        </w:rPr>
        <w:t>100</w:t>
      </w:r>
      <w:r>
        <w:rPr>
          <w:rFonts w:ascii="Cambria" w:hAnsi="Cambria"/>
          <w:b/>
          <w:color w:val="000000"/>
        </w:rPr>
        <w:t>.</w:t>
      </w:r>
      <w:r>
        <w:rPr>
          <w:rFonts w:ascii="Cambria" w:hAnsi="Cambria"/>
          <w:b/>
          <w:color w:val="000000"/>
          <w:lang w:val="sr-Latn-ME"/>
        </w:rPr>
        <w:t>000</w:t>
      </w:r>
      <w:r>
        <w:rPr>
          <w:rFonts w:ascii="Cambria" w:hAnsi="Cambria"/>
          <w:b/>
          <w:color w:val="000000"/>
        </w:rPr>
        <w:t>,</w:t>
      </w:r>
      <w:r>
        <w:rPr>
          <w:rFonts w:ascii="Cambria" w:hAnsi="Cambria"/>
          <w:b/>
          <w:color w:val="000000"/>
          <w:lang w:val="sr-Latn-ME"/>
        </w:rPr>
        <w:t>00</w:t>
      </w:r>
      <w:r>
        <w:rPr>
          <w:rFonts w:ascii="Cambria" w:hAnsi="Cambria"/>
          <w:b/>
          <w:color w:val="000000"/>
        </w:rPr>
        <w:t xml:space="preserve"> € bez uračunatog PDV-a.</w:t>
      </w:r>
    </w:p>
    <w:p w14:paraId="7820E1B6">
      <w:pPr>
        <w:jc w:val="both"/>
        <w:rPr>
          <w:rFonts w:ascii="Cambria" w:hAnsi="Cambria"/>
          <w:b/>
          <w:color w:val="000000"/>
        </w:rPr>
      </w:pPr>
    </w:p>
    <w:p w14:paraId="1280F200">
      <w:pPr>
        <w:pBdr>
          <w:top w:val="single" w:color="auto" w:sz="4" w:space="1"/>
          <w:left w:val="single" w:color="auto" w:sz="4" w:space="4"/>
          <w:bottom w:val="single" w:color="auto" w:sz="4" w:space="1"/>
          <w:right w:val="single" w:color="auto" w:sz="4" w:space="4"/>
        </w:pBdr>
        <w:shd w:val="clear" w:color="auto" w:fill="D9D9D9"/>
        <w:rPr>
          <w:rFonts w:ascii="Cambria" w:hAnsi="Cambria" w:cs="Arial"/>
          <w:b/>
          <w:bCs/>
          <w:color w:val="000000"/>
        </w:rPr>
      </w:pPr>
      <w:r>
        <w:rPr>
          <w:rFonts w:ascii="Cambria" w:hAnsi="Cambria" w:cs="Arial"/>
          <w:b/>
          <w:bCs/>
          <w:color w:val="000000"/>
          <w:lang w:val="sr-Latn-ME"/>
        </w:rPr>
        <w:t>Obrazloženje razloga zašto predmet nabavke nije podijeljen na partije</w:t>
      </w:r>
      <w:r>
        <w:rPr>
          <w:rFonts w:ascii="Cambria" w:hAnsi="Cambria" w:cs="Arial"/>
          <w:b/>
          <w:bCs/>
          <w:color w:val="000000"/>
        </w:rPr>
        <w:t>:</w:t>
      </w:r>
    </w:p>
    <w:p w14:paraId="7C6BA664">
      <w:pPr>
        <w:jc w:val="both"/>
        <w:rPr>
          <w:rFonts w:ascii="Cambria" w:hAnsi="Cambria" w:cs="Arial"/>
        </w:rPr>
      </w:pPr>
    </w:p>
    <w:p w14:paraId="5BCE9E7D">
      <w:pPr>
        <w:jc w:val="both"/>
        <w:rPr>
          <w:rFonts w:ascii="Cambria" w:hAnsi="Cambria"/>
          <w:color w:val="000000"/>
        </w:rPr>
      </w:pPr>
      <w:r>
        <w:rPr>
          <w:rFonts w:ascii="Cambria" w:hAnsi="Cambria"/>
          <w:color w:val="000000"/>
        </w:rPr>
        <w:t>Predmet nabavke predstavlja jedinstvenu cjelinu, jer je obezbjeđivanje kvalitetnog i pravno preciznog prevoda pravne tekovine EU uslov za njegovu konzistentnost i pravnu sigurnost.</w:t>
      </w:r>
    </w:p>
    <w:p w14:paraId="6C657B3C">
      <w:pPr>
        <w:jc w:val="both"/>
        <w:rPr>
          <w:rFonts w:ascii="Cambria" w:hAnsi="Cambria" w:cs="Arial"/>
        </w:rPr>
      </w:pPr>
    </w:p>
    <w:p w14:paraId="23755B42">
      <w:pPr>
        <w:pBdr>
          <w:top w:val="single" w:color="auto" w:sz="4" w:space="1"/>
          <w:left w:val="single" w:color="auto" w:sz="4" w:space="4"/>
          <w:bottom w:val="single" w:color="auto" w:sz="4" w:space="1"/>
          <w:right w:val="single" w:color="auto" w:sz="4" w:space="4"/>
        </w:pBdr>
        <w:shd w:val="clear" w:color="auto" w:fill="D9D9D9"/>
        <w:rPr>
          <w:rFonts w:ascii="Cambria" w:hAnsi="Cambria" w:cs="Arial"/>
          <w:b/>
          <w:color w:val="000000"/>
          <w:lang w:val="sr-Latn-ME"/>
        </w:rPr>
      </w:pPr>
      <w:r>
        <w:rPr>
          <w:rFonts w:ascii="Cambria" w:hAnsi="Cambria" w:cs="Arial"/>
          <w:b/>
          <w:color w:val="000000"/>
          <w:lang w:val="sr-Latn-ME"/>
        </w:rPr>
        <w:t>ZAKLJUČIVANJE OKVIRNOG SPORAZUMA</w:t>
      </w:r>
    </w:p>
    <w:p w14:paraId="5536D17A">
      <w:pPr>
        <w:jc w:val="both"/>
        <w:rPr>
          <w:rFonts w:ascii="Cambria" w:hAnsi="Cambria"/>
          <w:color w:val="000000"/>
        </w:rPr>
      </w:pPr>
    </w:p>
    <w:p w14:paraId="48FBA912">
      <w:pPr>
        <w:jc w:val="both"/>
        <w:rPr>
          <w:rFonts w:ascii="Cambria" w:hAnsi="Cambria"/>
          <w:color w:val="000000"/>
        </w:rPr>
      </w:pPr>
      <w:r>
        <w:rPr>
          <w:rFonts w:ascii="Cambria" w:hAnsi="Cambria"/>
          <w:color w:val="000000"/>
        </w:rPr>
        <w:t>Zaključiće se okvirni sporazum:</w:t>
      </w:r>
    </w:p>
    <w:p w14:paraId="4A90E84F">
      <w:pPr>
        <w:jc w:val="both"/>
        <w:rPr>
          <w:rFonts w:ascii="Cambria" w:hAnsi="Cambria"/>
          <w:color w:val="000000"/>
        </w:rPr>
      </w:pPr>
    </w:p>
    <w:p w14:paraId="4D49DD41">
      <w:pPr>
        <w:jc w:val="both"/>
        <w:rPr>
          <w:rFonts w:ascii="Cambria" w:hAnsi="Cambria"/>
          <w:color w:val="000000"/>
        </w:rPr>
      </w:pPr>
      <w:r>
        <w:rPr>
          <w:rFonts w:ascii="Cambria" w:hAnsi="Cambria"/>
          <w:color w:val="000000"/>
        </w:rPr>
        <w:sym w:font="Wingdings" w:char="F0A8"/>
      </w:r>
      <w:r>
        <w:rPr>
          <w:rFonts w:ascii="Cambria" w:hAnsi="Cambria"/>
          <w:color w:val="000000"/>
        </w:rPr>
        <w:t xml:space="preserve"> ne </w:t>
      </w:r>
    </w:p>
    <w:p w14:paraId="420BBDB9">
      <w:pPr>
        <w:jc w:val="both"/>
        <w:rPr>
          <w:rFonts w:ascii="Cambria" w:hAnsi="Cambria" w:cs="Arial"/>
          <w:color w:val="000000"/>
        </w:rPr>
      </w:pPr>
    </w:p>
    <w:p w14:paraId="6AAA2E85">
      <w:pPr>
        <w:pBdr>
          <w:top w:val="single" w:color="auto" w:sz="4" w:space="1"/>
          <w:left w:val="single" w:color="auto" w:sz="4" w:space="4"/>
          <w:bottom w:val="single" w:color="auto" w:sz="4" w:space="1"/>
          <w:right w:val="single" w:color="auto" w:sz="4" w:space="4"/>
        </w:pBdr>
        <w:shd w:val="clear" w:color="auto" w:fill="D9D9D9"/>
        <w:rPr>
          <w:rFonts w:ascii="Cambria" w:hAnsi="Cambria" w:cs="Arial"/>
          <w:b/>
          <w:lang w:val="sr-Latn-ME"/>
        </w:rPr>
      </w:pPr>
      <w:r>
        <w:rPr>
          <w:rFonts w:ascii="Cambria" w:hAnsi="Cambria" w:cs="Arial"/>
          <w:b/>
          <w:lang w:val="sr-Latn-ME"/>
        </w:rPr>
        <w:t>PONUDA SA VARIJANTAMA</w:t>
      </w:r>
    </w:p>
    <w:p w14:paraId="4D9482AE">
      <w:pPr>
        <w:jc w:val="both"/>
        <w:rPr>
          <w:rFonts w:ascii="Cambria" w:hAnsi="Cambria"/>
          <w:color w:val="000000"/>
        </w:rPr>
      </w:pPr>
    </w:p>
    <w:p w14:paraId="4A983DA2">
      <w:pPr>
        <w:jc w:val="both"/>
        <w:rPr>
          <w:rFonts w:ascii="Cambria" w:hAnsi="Cambria"/>
          <w:color w:val="000000"/>
        </w:rPr>
      </w:pPr>
      <w:r>
        <w:rPr>
          <w:rFonts w:ascii="Cambria" w:hAnsi="Cambria"/>
          <w:color w:val="000000"/>
        </w:rPr>
        <w:t>Mogućnost podnošenja ponude sa varijantama</w:t>
      </w:r>
    </w:p>
    <w:p w14:paraId="1182BA0A">
      <w:pPr>
        <w:jc w:val="both"/>
        <w:rPr>
          <w:rFonts w:ascii="Cambria" w:hAnsi="Cambria"/>
          <w:color w:val="000000"/>
        </w:rPr>
      </w:pPr>
    </w:p>
    <w:p w14:paraId="25B0A01D">
      <w:pPr>
        <w:jc w:val="both"/>
        <w:rPr>
          <w:rFonts w:ascii="Cambria" w:hAnsi="Cambria"/>
          <w:color w:val="000000"/>
        </w:rPr>
      </w:pPr>
      <w:r>
        <w:rPr>
          <w:rFonts w:ascii="Cambria" w:hAnsi="Cambria"/>
          <w:color w:val="000000"/>
        </w:rPr>
        <w:sym w:font="Wingdings" w:char="F0A8"/>
      </w:r>
      <w:r>
        <w:rPr>
          <w:rFonts w:ascii="Cambria" w:hAnsi="Cambria"/>
          <w:color w:val="000000"/>
        </w:rPr>
        <w:t xml:space="preserve"> Varijante ponude nijesu dozvoljene i neće biti razmatrane.</w:t>
      </w:r>
    </w:p>
    <w:p w14:paraId="15BBDBC9">
      <w:pPr>
        <w:jc w:val="both"/>
        <w:rPr>
          <w:rFonts w:ascii="Cambria" w:hAnsi="Cambria" w:cs="Arial"/>
          <w:color w:val="000000"/>
          <w:lang w:val="sr-Latn-ME"/>
        </w:rPr>
      </w:pPr>
    </w:p>
    <w:p w14:paraId="359B31C8">
      <w:pPr>
        <w:jc w:val="both"/>
        <w:rPr>
          <w:rFonts w:ascii="Cambria" w:hAnsi="Cambria" w:cs="Arial"/>
          <w:color w:val="000000"/>
          <w:lang w:val="sr-Latn-ME"/>
        </w:rPr>
      </w:pPr>
    </w:p>
    <w:p w14:paraId="581C14ED">
      <w:pPr>
        <w:pBdr>
          <w:top w:val="single" w:color="auto" w:sz="4" w:space="1"/>
          <w:left w:val="single" w:color="auto" w:sz="4" w:space="4"/>
          <w:bottom w:val="single" w:color="auto" w:sz="4" w:space="1"/>
          <w:right w:val="single" w:color="auto" w:sz="4" w:space="4"/>
        </w:pBdr>
        <w:shd w:val="clear" w:color="auto" w:fill="D9D9D9"/>
        <w:jc w:val="both"/>
        <w:rPr>
          <w:rFonts w:ascii="Cambria" w:hAnsi="Cambria" w:cs="Arial"/>
          <w:b/>
          <w:bCs/>
          <w:color w:val="FF0000"/>
          <w:lang w:val="sr-Latn-ME"/>
        </w:rPr>
      </w:pPr>
      <w:r>
        <w:rPr>
          <w:rFonts w:ascii="Cambria" w:hAnsi="Cambria" w:cs="Arial"/>
          <w:b/>
          <w:lang w:val="sr-Latn-ME"/>
        </w:rPr>
        <w:t>REZERVISANA NABAVKA</w:t>
      </w:r>
    </w:p>
    <w:p w14:paraId="41EB5148">
      <w:pPr>
        <w:jc w:val="both"/>
        <w:rPr>
          <w:rFonts w:ascii="Cambria" w:hAnsi="Cambria" w:cs="Arial"/>
          <w:lang w:val="sr-Latn-ME"/>
        </w:rPr>
      </w:pPr>
    </w:p>
    <w:p w14:paraId="69500C0A">
      <w:pPr>
        <w:jc w:val="both"/>
        <w:rPr>
          <w:rFonts w:ascii="Cambria" w:hAnsi="Cambria"/>
          <w:color w:val="000000"/>
        </w:rPr>
      </w:pPr>
      <w:r>
        <w:rPr>
          <w:rFonts w:ascii="Cambria" w:hAnsi="Cambria"/>
          <w:color w:val="000000"/>
        </w:rPr>
        <w:sym w:font="Wingdings" w:char="F0A8"/>
      </w:r>
      <w:r>
        <w:rPr>
          <w:rFonts w:ascii="Cambria" w:hAnsi="Cambria"/>
          <w:color w:val="000000"/>
        </w:rPr>
        <w:t xml:space="preserve"> Ne</w:t>
      </w:r>
    </w:p>
    <w:p w14:paraId="663ABDA8">
      <w:pPr>
        <w:jc w:val="both"/>
        <w:rPr>
          <w:rFonts w:ascii="Cambria" w:hAnsi="Cambria"/>
          <w:color w:val="000000"/>
        </w:rPr>
      </w:pPr>
    </w:p>
    <w:p w14:paraId="595036A6">
      <w:pPr>
        <w:jc w:val="both"/>
        <w:rPr>
          <w:rFonts w:ascii="Cambria" w:hAnsi="Cambria" w:cs="Arial"/>
          <w:color w:val="000000"/>
          <w:lang w:val="sr-Latn-ME"/>
        </w:rPr>
      </w:pPr>
    </w:p>
    <w:p w14:paraId="6EF05371">
      <w:pPr>
        <w:pBdr>
          <w:top w:val="single" w:color="auto" w:sz="4" w:space="1"/>
          <w:left w:val="single" w:color="auto" w:sz="4" w:space="4"/>
          <w:bottom w:val="single" w:color="auto" w:sz="4" w:space="1"/>
          <w:right w:val="single" w:color="auto" w:sz="4" w:space="4"/>
        </w:pBdr>
        <w:shd w:val="clear" w:color="auto" w:fill="BFBFBF"/>
        <w:jc w:val="both"/>
        <w:rPr>
          <w:rFonts w:ascii="Cambria" w:hAnsi="Cambria"/>
          <w:b/>
        </w:rPr>
      </w:pPr>
      <w:r>
        <w:rPr>
          <w:rFonts w:ascii="Cambria" w:hAnsi="Cambria"/>
          <w:b/>
        </w:rPr>
        <w:t>Osnovi za obavezno isključenje iz postupka javne nabavke</w:t>
      </w:r>
    </w:p>
    <w:p w14:paraId="05209ECD">
      <w:pPr>
        <w:jc w:val="both"/>
        <w:rPr>
          <w:rFonts w:ascii="Cambria" w:hAnsi="Cambria"/>
        </w:rPr>
      </w:pPr>
    </w:p>
    <w:p w14:paraId="3D62EDF6">
      <w:pPr>
        <w:jc w:val="both"/>
        <w:rPr>
          <w:rFonts w:ascii="Cambria" w:hAnsi="Cambria"/>
        </w:rPr>
      </w:pPr>
    </w:p>
    <w:p w14:paraId="38DE4137">
      <w:pPr>
        <w:jc w:val="both"/>
        <w:rPr>
          <w:rFonts w:ascii="Cambria" w:hAnsi="Cambria"/>
          <w:color w:val="000000"/>
          <w:lang w:val="sr-Latn-ME"/>
        </w:rPr>
      </w:pPr>
      <w:r>
        <w:rPr>
          <w:rFonts w:ascii="Cambria" w:hAnsi="Cambria"/>
          <w:color w:val="000000"/>
          <w:lang w:val="sr-Latn-ME"/>
        </w:rPr>
        <w:t xml:space="preserve">Privredni subjekat će se isključiti iz postupka javne nabavke, ako: </w:t>
      </w:r>
    </w:p>
    <w:p w14:paraId="11721E4A">
      <w:pPr>
        <w:jc w:val="both"/>
        <w:rPr>
          <w:rFonts w:ascii="Cambria" w:hAnsi="Cambria"/>
          <w:color w:val="000000"/>
          <w:lang w:val="sr-Latn-ME"/>
        </w:rPr>
      </w:pPr>
    </w:p>
    <w:p w14:paraId="6FD2907F">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je vršio neprimjeren uticaj u smislu člana 38 stav 2 tačka 1 ovog zakona;</w:t>
      </w:r>
    </w:p>
    <w:p w14:paraId="3C9CE545">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postoji sukob interesa iz člana 41 stav 1 tačka 2 ili člana 42 ovog zakona;</w:t>
      </w:r>
    </w:p>
    <w:p w14:paraId="1F96C5FE">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ne ispunjava uslov iz člana 99 ovog zakona;</w:t>
      </w:r>
    </w:p>
    <w:p w14:paraId="12FFAF86">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ne ispunjava uslov iz čl. 102, 104 ili 106 ovog zakona predviđen tenderskom dokumentacijom;</w:t>
      </w:r>
    </w:p>
    <w:p w14:paraId="0F27C573">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nije dostavio izjavu privrednog subjekta ili dostavljena izjava ne sadrži informacije i podatke tražene tenderskom dokumentacijom ili je nepravilno sačinjena;</w:t>
      </w:r>
    </w:p>
    <w:p w14:paraId="7B42BBA1">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postoji razlog na osnovu kojeg se smatra da je odustao od prijave, odnosno ponude, a koji je propisan članom 120 stav 15 ovog zakona;</w:t>
      </w:r>
    </w:p>
    <w:p w14:paraId="4D9D483B">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FEC0D2">
      <w:pPr>
        <w:numPr>
          <w:ilvl w:val="0"/>
          <w:numId w:val="6"/>
        </w:numPr>
        <w:spacing w:after="160" w:line="259" w:lineRule="auto"/>
        <w:rPr>
          <w:rFonts w:ascii="Cambria" w:hAnsi="Cambria" w:cs="Cambria" w:eastAsiaTheme="minorHAnsi"/>
          <w:lang w:val="sr-Latn-ME"/>
        </w:rPr>
      </w:pPr>
      <w:r>
        <w:rPr>
          <w:rFonts w:ascii="Cambria" w:hAnsi="Cambria" w:cs="Cambria" w:eastAsiaTheme="minorHAnsi"/>
          <w:lang w:val="sr-Latn-ME"/>
        </w:rPr>
        <w:t>postoji drugi razlog propisan ovim zakonom.</w:t>
      </w:r>
    </w:p>
    <w:p w14:paraId="40A4B87A">
      <w:pPr>
        <w:jc w:val="both"/>
        <w:rPr>
          <w:rFonts w:ascii="Cambria" w:hAnsi="Cambria" w:cs="Arial"/>
          <w:color w:val="000000"/>
        </w:rPr>
      </w:pPr>
    </w:p>
    <w:p w14:paraId="0249DF8E">
      <w:pPr>
        <w:pBdr>
          <w:top w:val="single" w:color="auto" w:sz="4" w:space="1"/>
          <w:left w:val="single" w:color="auto" w:sz="4" w:space="4"/>
          <w:bottom w:val="single" w:color="auto" w:sz="4" w:space="1"/>
          <w:right w:val="single" w:color="auto" w:sz="4" w:space="4"/>
        </w:pBdr>
        <w:shd w:val="clear" w:color="auto" w:fill="D9D9D9"/>
        <w:jc w:val="both"/>
        <w:rPr>
          <w:rFonts w:ascii="Cambria" w:hAnsi="Cambria" w:cs="Arial"/>
          <w:b/>
          <w:bCs/>
          <w:color w:val="000000"/>
        </w:rPr>
      </w:pPr>
      <w:r>
        <w:rPr>
          <w:rFonts w:ascii="Cambria" w:hAnsi="Cambria" w:cs="Arial"/>
          <w:b/>
          <w:bCs/>
          <w:color w:val="000000"/>
        </w:rPr>
        <w:t>SREDSTVA FINANSIJSKOG OBEZBJEĐENJA UGOVORA O JAVNOJ NABAVCI</w:t>
      </w:r>
    </w:p>
    <w:p w14:paraId="6D98755E">
      <w:pPr>
        <w:jc w:val="both"/>
        <w:rPr>
          <w:rFonts w:ascii="Cambria" w:hAnsi="Cambria"/>
          <w:color w:val="000000"/>
        </w:rPr>
      </w:pPr>
    </w:p>
    <w:p w14:paraId="48C870BC">
      <w:pPr>
        <w:jc w:val="both"/>
        <w:rPr>
          <w:rFonts w:ascii="Cambria" w:hAnsi="Cambria"/>
          <w:color w:val="000000"/>
        </w:rPr>
      </w:pPr>
    </w:p>
    <w:p w14:paraId="2AAEAC0D">
      <w:pPr>
        <w:rPr>
          <w:rFonts w:ascii="Cambria" w:hAnsi="Cambria"/>
          <w:color w:val="000000"/>
        </w:rPr>
      </w:pPr>
      <w:r>
        <w:rPr>
          <w:rFonts w:ascii="Cambria" w:hAnsi="Cambria"/>
          <w:color w:val="000000"/>
        </w:rPr>
        <w:t>Ponuđač čija ponuda bude izabrana kao najpovoljnija je dužan da uz potpisan ugovor o javnoj nabavci dostavi naručiocu:</w:t>
      </w:r>
    </w:p>
    <w:p w14:paraId="750E1915">
      <w:pPr>
        <w:rPr>
          <w:rFonts w:ascii="Cambria" w:hAnsi="Cambria"/>
          <w:color w:val="000000"/>
        </w:rPr>
      </w:pPr>
    </w:p>
    <w:p w14:paraId="2348EB11">
      <w:pPr>
        <w:jc w:val="both"/>
        <w:rPr>
          <w:rFonts w:ascii="Cambria" w:hAnsi="Cambria"/>
          <w:color w:val="000000"/>
        </w:rPr>
      </w:pPr>
      <w:r>
        <w:rPr>
          <w:rFonts w:ascii="Cambria" w:hAnsi="Cambria" w:eastAsiaTheme="minorHAnsi"/>
          <w:color w:val="000000"/>
          <w:lang w:val="en-GB"/>
        </w:rPr>
        <w:sym w:font="Wingdings" w:char="F078"/>
      </w:r>
      <w:r>
        <w:rPr>
          <w:rFonts w:ascii="Cambria" w:hAnsi="Cambria"/>
          <w:color w:val="000000"/>
        </w:rPr>
        <w:t xml:space="preserve">garanciju, neopozivu i bezuslovno plativu na prvi poziv za dobro izvršenje ugovora, za slučaj povrede ugovorenih obaveza u iznosu od 10 % od vrijednosti ugovora. Garancija za dobro izvršenje ugovora treba da važi sedam dana duže od ponuđenog roka izvršenja ugovora. </w:t>
      </w:r>
    </w:p>
    <w:p w14:paraId="58D3E5EF">
      <w:pPr>
        <w:jc w:val="both"/>
        <w:rPr>
          <w:rFonts w:ascii="Cambria" w:hAnsi="Cambria"/>
          <w:color w:val="000000"/>
        </w:rPr>
      </w:pPr>
      <w:r>
        <w:rPr>
          <w:rFonts w:ascii="Cambria" w:hAnsi="Cambria"/>
          <w:color w:val="000000"/>
        </w:rPr>
        <w:t>U slučaju prekoračenja roka iz prethodnog stava, izvršilac je dužan da, na zahtjev naručioca, prije isteka roka važenja, produži garanciju za dobro izvršenje ugovora.</w:t>
      </w:r>
    </w:p>
    <w:p w14:paraId="11C34D90">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Cambria" w:hAnsi="Cambria"/>
          <w:b/>
          <w:color w:val="000000"/>
          <w:szCs w:val="32"/>
          <w:lang w:val="sr-Latn-ME"/>
        </w:rPr>
      </w:pPr>
      <w:r>
        <w:rPr>
          <w:rFonts w:ascii="Cambria" w:hAnsi="Cambria"/>
          <w:b/>
          <w:szCs w:val="32"/>
          <w:lang w:val="sr-Latn-ME"/>
        </w:rPr>
        <w:t>METODOLOGIJA VREDNOVANJA PONUDA</w:t>
      </w:r>
    </w:p>
    <w:p w14:paraId="317BBE5D">
      <w:pPr>
        <w:rPr>
          <w:rFonts w:ascii="Cambria" w:hAnsi="Cambria"/>
          <w:b/>
        </w:rPr>
      </w:pPr>
    </w:p>
    <w:p w14:paraId="5B9D14B6">
      <w:pPr>
        <w:rPr>
          <w:rFonts w:ascii="Cambria" w:hAnsi="Cambria"/>
          <w:color w:val="000000" w:themeColor="text1"/>
          <w14:textFill>
            <w14:solidFill>
              <w14:schemeClr w14:val="tx1"/>
            </w14:solidFill>
          </w14:textFill>
        </w:rPr>
      </w:pPr>
    </w:p>
    <w:p w14:paraId="50543177">
      <w:pPr>
        <w:jc w:val="both"/>
        <w:rPr>
          <w:rFonts w:ascii="Cambria" w:hAnsi="Cambria"/>
          <w:color w:val="000000" w:themeColor="text1"/>
          <w14:textFill>
            <w14:solidFill>
              <w14:schemeClr w14:val="tx1"/>
            </w14:solidFill>
          </w14:textFill>
        </w:rPr>
      </w:pPr>
      <w:r>
        <w:rPr>
          <w:rFonts w:ascii="Cambria" w:hAnsi="Cambria"/>
          <w:color w:val="000000" w:themeColor="text1"/>
          <w14:textFill>
            <w14:solidFill>
              <w14:schemeClr w14:val="tx1"/>
            </w14:solidFill>
          </w14:textFill>
        </w:rPr>
        <w:t xml:space="preserve">Naručilac će u postupku javne nabavki izabrati ekonomski najpovoljniju ponudu, po osnovu kriterijuma: </w:t>
      </w:r>
    </w:p>
    <w:p w14:paraId="5B356C1F">
      <w:pPr>
        <w:jc w:val="both"/>
        <w:rPr>
          <w:rFonts w:ascii="Cambria" w:hAnsi="Cambria"/>
          <w:color w:val="000000" w:themeColor="text1"/>
          <w14:textFill>
            <w14:solidFill>
              <w14:schemeClr w14:val="tx1"/>
            </w14:solidFill>
          </w14:textFill>
        </w:rPr>
      </w:pPr>
    </w:p>
    <w:p w14:paraId="3A010256">
      <w:pPr>
        <w:jc w:val="both"/>
        <w:rPr>
          <w:rFonts w:ascii="Cambria" w:hAnsi="Cambria"/>
          <w:color w:val="000000" w:themeColor="text1"/>
          <w14:textFill>
            <w14:solidFill>
              <w14:schemeClr w14:val="tx1"/>
            </w14:solidFill>
          </w14:textFill>
        </w:rPr>
      </w:pPr>
    </w:p>
    <w:p w14:paraId="729677A1">
      <w:pPr>
        <w:jc w:val="both"/>
        <w:rPr>
          <w:rFonts w:ascii="Cambria" w:hAnsi="Cambria"/>
          <w:color w:val="000000" w:themeColor="text1"/>
          <w14:textFill>
            <w14:solidFill>
              <w14:schemeClr w14:val="tx1"/>
            </w14:solidFill>
          </w14:textFill>
        </w:rPr>
      </w:pPr>
    </w:p>
    <w:p w14:paraId="11BA8D19">
      <w:pPr>
        <w:jc w:val="both"/>
        <w:rPr>
          <w:rFonts w:ascii="Cambria" w:hAnsi="Cambria"/>
          <w:color w:val="000000" w:themeColor="text1"/>
          <w14:textFill>
            <w14:solidFill>
              <w14:schemeClr w14:val="tx1"/>
            </w14:solidFill>
          </w14:textFill>
        </w:rPr>
      </w:pPr>
    </w:p>
    <w:p w14:paraId="74D52A5B">
      <w:pPr>
        <w:numPr>
          <w:ilvl w:val="0"/>
          <w:numId w:val="7"/>
        </w:numPr>
        <w:spacing w:after="160" w:line="259" w:lineRule="auto"/>
        <w:contextualSpacing/>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Odnos cijene i kvaliteta</w:t>
      </w:r>
    </w:p>
    <w:p w14:paraId="270E3A35">
      <w:pPr>
        <w:numPr>
          <w:ilvl w:val="0"/>
          <w:numId w:val="8"/>
        </w:numPr>
        <w:spacing w:after="160" w:line="259" w:lineRule="auto"/>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Parametar cijena ………………………………60 bodova</w:t>
      </w:r>
    </w:p>
    <w:p w14:paraId="7F19024B">
      <w:pPr>
        <w:numPr>
          <w:ilvl w:val="0"/>
          <w:numId w:val="8"/>
        </w:numPr>
        <w:spacing w:after="160" w:line="259" w:lineRule="auto"/>
        <w:rPr>
          <w:rFonts w:ascii="Cambria" w:hAnsi="Cambria"/>
          <w:b/>
          <w:color w:val="000000" w:themeColor="text1"/>
          <w14:textFill>
            <w14:solidFill>
              <w14:schemeClr w14:val="tx1"/>
            </w14:solidFill>
          </w14:textFill>
        </w:rPr>
      </w:pPr>
      <w:r>
        <w:rPr>
          <w:rFonts w:ascii="Cambria" w:hAnsi="Cambria"/>
          <w:b/>
          <w:color w:val="000000" w:themeColor="text1"/>
          <w14:textFill>
            <w14:solidFill>
              <w14:schemeClr w14:val="tx1"/>
            </w14:solidFill>
          </w14:textFill>
        </w:rPr>
        <w:t>Parametar kvalitet …………………………….40 bodova</w:t>
      </w:r>
    </w:p>
    <w:p w14:paraId="71EAEAC3">
      <w:pPr>
        <w:jc w:val="both"/>
        <w:rPr>
          <w:rFonts w:ascii="Cambria" w:hAnsi="Cambria" w:cs="Arial"/>
          <w:color w:val="000000"/>
        </w:rPr>
      </w:pPr>
    </w:p>
    <w:p w14:paraId="2A6E9416">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r>
        <w:rPr>
          <w:rFonts w:ascii="Cambria" w:hAnsi="Cambria"/>
          <w:i/>
          <w:color w:val="000000" w:themeColor="text1"/>
          <w14:textFill>
            <w14:solidFill>
              <w14:schemeClr w14:val="tx1"/>
            </w14:solidFill>
          </w14:textFill>
        </w:rPr>
        <w:t>Broj bodova po osnovu vrednovanja cijene:</w:t>
      </w:r>
    </w:p>
    <w:p w14:paraId="0AA013C3">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r>
        <w:rPr>
          <w:rFonts w:ascii="Cambria" w:hAnsi="Cambria"/>
          <w:i/>
          <w:color w:val="000000" w:themeColor="text1"/>
          <w14:textFill>
            <w14:solidFill>
              <w14:schemeClr w14:val="tx1"/>
            </w14:solidFill>
          </w14:textFill>
        </w:rPr>
        <w:t>Najniža ponuđena cijena = 60 bodova</w:t>
      </w:r>
    </w:p>
    <w:p w14:paraId="41CDFA87">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r>
        <w:rPr>
          <w:rFonts w:ascii="Cambria" w:hAnsi="Cambria"/>
          <w:i/>
          <w:color w:val="000000" w:themeColor="text1"/>
          <w14:textFill>
            <w14:solidFill>
              <w14:schemeClr w14:val="tx1"/>
            </w14:solidFill>
          </w14:textFill>
        </w:rPr>
        <w:t>Broj bodova za ponuđenu cijenu konkretnog ponuđača = najniža ponuđena cijena / ponuđena cijena konkretnog ponuđača x 60</w:t>
      </w:r>
    </w:p>
    <w:p w14:paraId="3F9B88CC">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p>
    <w:p w14:paraId="66AECAA4">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r>
        <w:rPr>
          <w:rFonts w:ascii="Cambria" w:hAnsi="Cambria"/>
          <w:i/>
          <w:color w:val="000000" w:themeColor="text1"/>
          <w14:textFill>
            <w14:solidFill>
              <w14:schemeClr w14:val="tx1"/>
            </w14:solidFill>
          </w14:textFill>
        </w:rPr>
        <w:t>Broj bodova po osnovu vrednovanja kao mjerila kvaliteta 40 bodova.</w:t>
      </w:r>
    </w:p>
    <w:p w14:paraId="01EA8DE6">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p>
    <w:p w14:paraId="6188A16B">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r>
        <w:rPr>
          <w:rFonts w:ascii="Cambria" w:hAnsi="Cambria"/>
          <w:i/>
          <w:color w:val="000000" w:themeColor="text1"/>
          <w14:textFill>
            <w14:solidFill>
              <w14:schemeClr w14:val="tx1"/>
            </w14:solidFill>
          </w14:textFill>
        </w:rPr>
        <w:t>Refrence ponuđača o kvalitetnom i uspješnom izvršavanju istih ili sličnih poslova iz oblasti predmeta nabavke: potvrde izdate od strane krajnjih korisnika o pruženim uslugama, tokom prethodnih pet godina, računajući i godinu u kojoj je započet postupak javne nabavke, koje sadrže opis i vrijednost predmeta nabavke, vrijeme realizacije ugovora i konstataciju da je ugovor izvršen blagovremeno i u skladu ugovorom utvrđenim kriterijumima kvaliteta; Pod istim poslovima podrazumijeva se pisano prevođenje pravne tekovine Evropske unije, dok se pod sličnim poslovima podrazumijeva pisano prevođenje zvaničnih dokumenata Evropske unije odnosno radnih ili zvaničnih dokumenata državnih organa koji se prevode radi komunikacije sa organima Evropske unije. Reference ponuđača = 40 bodova Ponuđač koji ima najveći broj referenci dobija 40 bodova. Ostali ponuđači dobijaju bodove po formuli: broj bodova za ponuđeni broj referenci = broj ponuđenih referenci/ najveći broj ponuđenih referenci x 40. Ponuđač u okviru svoje ponude dostavlja i kontakt podatke za provjeru potvrda i referenci kod krajnjih korisnika. Napomena: Neće se priznati reference koje nijesu izdate na osnovu zaključenog ugovora sa krajnjim korinsnikom.</w:t>
      </w:r>
    </w:p>
    <w:p w14:paraId="7AE7F787">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p>
    <w:p w14:paraId="4F0A819A">
      <w:pPr>
        <w:pBdr>
          <w:top w:val="single" w:color="auto" w:sz="4" w:space="1"/>
          <w:left w:val="single" w:color="auto" w:sz="4" w:space="4"/>
          <w:bottom w:val="single" w:color="auto" w:sz="4" w:space="1"/>
          <w:right w:val="single" w:color="auto" w:sz="4" w:space="4"/>
        </w:pBdr>
        <w:jc w:val="both"/>
        <w:rPr>
          <w:rFonts w:ascii="Cambria" w:hAnsi="Cambria"/>
          <w:b/>
          <w:i/>
          <w:color w:val="000000" w:themeColor="text1"/>
          <w14:textFill>
            <w14:solidFill>
              <w14:schemeClr w14:val="tx1"/>
            </w14:solidFill>
          </w14:textFill>
        </w:rPr>
      </w:pPr>
      <w:r>
        <w:rPr>
          <w:rFonts w:ascii="Cambria" w:hAnsi="Cambria"/>
          <w:b/>
          <w:i/>
          <w:color w:val="000000" w:themeColor="text1"/>
          <w14:textFill>
            <w14:solidFill>
              <w14:schemeClr w14:val="tx1"/>
            </w14:solidFill>
          </w14:textFill>
        </w:rPr>
        <w:t>Odnos cijene i kvaliteta = Cijena + Kvalitet</w:t>
      </w:r>
    </w:p>
    <w:p w14:paraId="3B151652">
      <w:pPr>
        <w:pBdr>
          <w:top w:val="single" w:color="auto" w:sz="4" w:space="1"/>
          <w:left w:val="single" w:color="auto" w:sz="4" w:space="4"/>
          <w:bottom w:val="single" w:color="auto" w:sz="4" w:space="1"/>
          <w:right w:val="single" w:color="auto" w:sz="4" w:space="4"/>
        </w:pBdr>
        <w:jc w:val="both"/>
        <w:rPr>
          <w:rFonts w:ascii="Cambria" w:hAnsi="Cambria"/>
          <w:i/>
          <w:color w:val="000000" w:themeColor="text1"/>
          <w14:textFill>
            <w14:solidFill>
              <w14:schemeClr w14:val="tx1"/>
            </w14:solidFill>
          </w14:textFill>
        </w:rPr>
      </w:pPr>
    </w:p>
    <w:p w14:paraId="7EECC5DE">
      <w:pPr>
        <w:jc w:val="both"/>
        <w:rPr>
          <w:rFonts w:ascii="Cambria" w:hAnsi="Cambria"/>
          <w:color w:val="000000"/>
        </w:rPr>
      </w:pPr>
    </w:p>
    <w:p w14:paraId="072DF12C">
      <w:pPr>
        <w:jc w:val="both"/>
        <w:rPr>
          <w:rFonts w:ascii="Cambria" w:hAnsi="Cambria" w:cs="Arial"/>
          <w:b/>
          <w:bCs/>
          <w:color w:val="000000"/>
        </w:rPr>
      </w:pPr>
    </w:p>
    <w:p w14:paraId="4A63076A">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Cambria" w:hAnsi="Cambria"/>
          <w:b/>
          <w:szCs w:val="32"/>
          <w:lang w:val="sr-Latn-ME"/>
        </w:rPr>
      </w:pPr>
      <w:r>
        <w:rPr>
          <w:rFonts w:ascii="Cambria" w:hAnsi="Cambria"/>
          <w:b/>
          <w:szCs w:val="32"/>
          <w:lang w:val="sr-Latn-ME"/>
        </w:rPr>
        <w:t>NAČIN, MJESTO I VRIJEME PODNOŠENJA PONUDA I OTVARANJA PONUDA</w:t>
      </w:r>
    </w:p>
    <w:p w14:paraId="1235FABB">
      <w:pPr>
        <w:jc w:val="both"/>
        <w:rPr>
          <w:rFonts w:ascii="Cambria" w:hAnsi="Cambria" w:cs="Arial"/>
          <w:color w:val="000000"/>
          <w:lang w:val="sr-Latn-ME"/>
        </w:rPr>
      </w:pPr>
    </w:p>
    <w:p w14:paraId="6E8F01AF">
      <w:pPr>
        <w:jc w:val="both"/>
        <w:rPr>
          <w:color w:val="FF0000"/>
          <w:lang w:val="sr-Latn-ME"/>
        </w:rPr>
      </w:pPr>
      <w:r>
        <w:rPr>
          <w:color w:val="000000"/>
          <w:lang w:val="sr-Latn-ME"/>
        </w:rPr>
        <w:t xml:space="preserve">Ponude se podnose preko ESJN-a zaključno sa </w:t>
      </w:r>
      <w:r>
        <w:rPr>
          <w:lang w:val="sr-Latn-ME"/>
        </w:rPr>
        <w:t>danom  16.01.2026. godine do 10 sati.</w:t>
      </w:r>
    </w:p>
    <w:p w14:paraId="256DE2D3">
      <w:pPr>
        <w:jc w:val="both"/>
        <w:rPr>
          <w:color w:val="FF0000"/>
          <w:lang w:val="sr-Latn-ME"/>
        </w:rPr>
      </w:pPr>
    </w:p>
    <w:p w14:paraId="69B68350">
      <w:pPr>
        <w:jc w:val="both"/>
        <w:rPr>
          <w:color w:val="000000"/>
          <w:lang w:val="sr-Latn-ME"/>
        </w:rPr>
      </w:pPr>
      <w:r>
        <w:rPr>
          <w:color w:val="000000"/>
          <w:lang w:val="sr-Latn-ME"/>
        </w:rPr>
        <w:t>Izjva privrednog subjekta i garancija banke podnose se u elektronskom obliku putem ESJN .</w:t>
      </w:r>
    </w:p>
    <w:p w14:paraId="6DDDF857">
      <w:pPr>
        <w:jc w:val="both"/>
        <w:rPr>
          <w:color w:val="000000"/>
          <w:lang w:val="sr-Latn-ME"/>
        </w:rPr>
      </w:pPr>
    </w:p>
    <w:p w14:paraId="6E66DFCA">
      <w:pPr>
        <w:jc w:val="both"/>
        <w:rPr>
          <w:color w:val="000000"/>
          <w:lang w:val="sr-Latn-ME"/>
        </w:rPr>
      </w:pPr>
      <w:r>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0CFC0D6B">
      <w:pPr>
        <w:jc w:val="both"/>
        <w:rPr>
          <w:color w:val="000000"/>
          <w:lang w:val="sr-Latn-ME"/>
        </w:rPr>
      </w:pPr>
    </w:p>
    <w:p w14:paraId="6A290A0B">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E03DF79">
      <w:pPr>
        <w:jc w:val="both"/>
        <w:rPr>
          <w:color w:val="000000"/>
          <w:lang w:val="sr-Latn-ME"/>
        </w:rPr>
      </w:pPr>
    </w:p>
    <w:p w14:paraId="72F93E82">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02D2DF80">
      <w:pPr>
        <w:jc w:val="both"/>
        <w:rPr>
          <w:color w:val="000000"/>
          <w:lang w:val="sr-Latn-ME"/>
        </w:rPr>
      </w:pPr>
      <w:r>
        <w:rPr>
          <w:color w:val="000000"/>
          <w:lang w:val="sr-Latn-ME"/>
        </w:rPr>
        <w:t>ESJN ć izvršiti automatsko otvaranje ponuda istovremeno sa istekom roka za dostavljanje ponuda iz prethodnog stava, generisati zapisnik o otvaranju ponuda i izvršiti njegovu automatsku dostavu svim ponuđačima koji su podnijeli ponude.</w:t>
      </w:r>
    </w:p>
    <w:p w14:paraId="6EEA4ABC">
      <w:pPr>
        <w:jc w:val="both"/>
        <w:rPr>
          <w:color w:val="000000"/>
          <w:lang w:val="sr-Latn-ME"/>
        </w:rPr>
      </w:pPr>
    </w:p>
    <w:p w14:paraId="48ACD26B">
      <w:pPr>
        <w:jc w:val="both"/>
        <w:rPr>
          <w:color w:val="000000"/>
          <w:lang w:val="sr-Latn-ME"/>
        </w:rPr>
      </w:pPr>
      <w:r>
        <w:rPr>
          <w:color w:val="000000"/>
          <w:lang w:val="sr-Latn-ME"/>
        </w:rPr>
        <w:t>O dostavljanju garancije ponude, naručilac će sačiniti potvrdu i uz zapisnik o otvaranju o otvaranju ponuda priložiti kao skeniranu kopiju u ESJN, istog dana kada je izvršeno otvaranje ponuda.</w:t>
      </w:r>
    </w:p>
    <w:p w14:paraId="299C097C">
      <w:pPr>
        <w:jc w:val="both"/>
        <w:rPr>
          <w:color w:val="000000"/>
          <w:lang w:val="sr-Latn-ME"/>
        </w:rPr>
      </w:pPr>
    </w:p>
    <w:p w14:paraId="441DE88E">
      <w:pPr>
        <w:jc w:val="both"/>
        <w:rPr>
          <w:color w:val="000000"/>
          <w:lang w:val="sr-Latn-ME"/>
        </w:rPr>
      </w:pPr>
      <w:r>
        <w:rPr>
          <w:color w:val="000000"/>
          <w:lang w:val="sr-Latn-ME"/>
        </w:rPr>
        <w:sym w:font="Wingdings" w:char="F0A8"/>
      </w:r>
      <w:r>
        <w:rPr>
          <w:color w:val="000000"/>
          <w:lang w:val="sr-Latn-ME"/>
        </w:rPr>
        <w:t xml:space="preserve"> Original garancije ponude u pisanom obliku dostavlja se: </w:t>
      </w:r>
    </w:p>
    <w:p w14:paraId="6A587DB1">
      <w:pPr>
        <w:jc w:val="both"/>
        <w:rPr>
          <w:color w:val="000000"/>
          <w:lang w:val="sr-Latn-ME"/>
        </w:rPr>
      </w:pPr>
    </w:p>
    <w:p w14:paraId="1BEAF63E">
      <w:pPr>
        <w:jc w:val="both"/>
        <w:rPr>
          <w:lang w:val="sr-Latn-ME"/>
        </w:rPr>
      </w:pPr>
      <w:r>
        <w:rPr>
          <w:lang w:val="sr-Latn-ME"/>
        </w:rPr>
        <w:t xml:space="preserve">• neposrednom predajom na arhivi naručioca na adresi Naručioca, Ministarstvo evropskih poslova Bulevar Ivana Crnojevića br. 167, 81000 Podgorica. </w:t>
      </w:r>
    </w:p>
    <w:p w14:paraId="55421D1A">
      <w:pPr>
        <w:jc w:val="both"/>
        <w:rPr>
          <w:lang w:val="sr-Latn-ME"/>
        </w:rPr>
      </w:pPr>
    </w:p>
    <w:p w14:paraId="45057B66">
      <w:pPr>
        <w:jc w:val="both"/>
        <w:rPr>
          <w:lang w:val="sr-Latn-ME"/>
        </w:rPr>
      </w:pPr>
      <w:r>
        <w:rPr>
          <w:lang w:val="sr-Latn-ME"/>
        </w:rPr>
        <w:t xml:space="preserve">• preporučenom pošiljkom sa povratnicom na adresi Ministarstvo evropskih poslova, Bulevar Ivana Crnojevića br. 167, 81000 Podgorica, </w:t>
      </w:r>
    </w:p>
    <w:p w14:paraId="43BDDB91">
      <w:pPr>
        <w:jc w:val="both"/>
        <w:rPr>
          <w:lang w:val="sr-Latn-ME"/>
        </w:rPr>
      </w:pPr>
    </w:p>
    <w:p w14:paraId="5EE59153">
      <w:pPr>
        <w:jc w:val="both"/>
        <w:rPr>
          <w:lang w:val="sr-Latn-ME"/>
        </w:rPr>
      </w:pPr>
    </w:p>
    <w:p w14:paraId="5ECB4E4A">
      <w:pPr>
        <w:jc w:val="both"/>
        <w:rPr>
          <w:lang w:val="sr-Latn-ME"/>
        </w:rPr>
      </w:pPr>
      <w:r>
        <w:rPr>
          <w:lang w:val="sr-Latn-ME"/>
        </w:rPr>
        <w:t>radnim danima od 9:00 do 13:00 sati, zaključno sa danom 16.01.2026. godine do 10:00h.</w:t>
      </w:r>
    </w:p>
    <w:p w14:paraId="1CCA8558">
      <w:pPr>
        <w:spacing w:before="96"/>
        <w:jc w:val="both"/>
        <w:rPr>
          <w:b/>
          <w:color w:val="000000"/>
        </w:rPr>
      </w:pPr>
    </w:p>
    <w:p w14:paraId="1AEFB68A">
      <w:pPr>
        <w:jc w:val="both"/>
        <w:rPr>
          <w:lang w:val="sr-Latn-ME"/>
        </w:rPr>
      </w:pPr>
      <w:r>
        <w:rPr>
          <w:lang w:val="sr-Latn-ME"/>
        </w:rPr>
        <w:t>Otvaranje ponuda održaće se dana 16.01.2026. godine u 10:30 sati.</w:t>
      </w:r>
    </w:p>
    <w:p w14:paraId="34747D99">
      <w:pPr>
        <w:jc w:val="both"/>
        <w:rPr>
          <w:rFonts w:ascii="Cambria" w:hAnsi="Cambria" w:cs="Arial"/>
          <w:b/>
          <w:color w:val="000000"/>
          <w:lang w:val="sr-Latn-ME"/>
        </w:rPr>
      </w:pPr>
    </w:p>
    <w:p w14:paraId="7E8EC263">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Cambria" w:hAnsi="Cambria"/>
          <w:b/>
          <w:szCs w:val="32"/>
          <w:lang w:val="sr-Latn-ME"/>
        </w:rPr>
      </w:pPr>
      <w:r>
        <w:rPr>
          <w:rFonts w:ascii="Cambria" w:hAnsi="Cambria"/>
          <w:b/>
          <w:szCs w:val="32"/>
          <w:lang w:val="sr-Latn-ME"/>
        </w:rPr>
        <w:t>TAJNOST PODATAKA</w:t>
      </w:r>
    </w:p>
    <w:p w14:paraId="654B9D57">
      <w:pPr>
        <w:jc w:val="both"/>
        <w:rPr>
          <w:rFonts w:ascii="Cambria" w:hAnsi="Cambria" w:cs="Arial"/>
          <w:color w:val="000000"/>
          <w:lang w:val="sr-Latn-ME"/>
        </w:rPr>
      </w:pPr>
      <w:r>
        <w:rPr>
          <w:rFonts w:ascii="Cambria" w:hAnsi="Cambria" w:cs="Arial"/>
          <w:color w:val="000000"/>
          <w:lang w:val="sr-Latn-ME"/>
        </w:rPr>
        <w:t xml:space="preserve"> </w:t>
      </w:r>
    </w:p>
    <w:p w14:paraId="468A4B1B">
      <w:pPr>
        <w:jc w:val="both"/>
        <w:rPr>
          <w:rFonts w:ascii="Cambria" w:hAnsi="Cambria"/>
        </w:rPr>
      </w:pPr>
      <w:r>
        <w:rPr>
          <w:rFonts w:ascii="Cambria" w:hAnsi="Cambria"/>
        </w:rPr>
        <w:t>Tenderska dokumentacija sadrži tajne podatke</w:t>
      </w:r>
    </w:p>
    <w:p w14:paraId="0542385A">
      <w:pPr>
        <w:jc w:val="both"/>
        <w:rPr>
          <w:rFonts w:ascii="Cambria" w:hAnsi="Cambria"/>
        </w:rPr>
      </w:pPr>
    </w:p>
    <w:p w14:paraId="25DE7DCE">
      <w:pPr>
        <w:jc w:val="both"/>
        <w:rPr>
          <w:rFonts w:ascii="Cambria" w:hAnsi="Cambria"/>
        </w:rPr>
      </w:pPr>
      <w:r>
        <w:rPr>
          <w:rFonts w:ascii="Cambria" w:hAnsi="Cambria"/>
        </w:rPr>
        <w:sym w:font="Wingdings" w:char="F0A8"/>
      </w:r>
      <w:r>
        <w:rPr>
          <w:rFonts w:ascii="Cambria" w:hAnsi="Cambria"/>
        </w:rPr>
        <w:t xml:space="preserve"> ne</w:t>
      </w:r>
    </w:p>
    <w:p w14:paraId="4299E7EE">
      <w:pPr>
        <w:jc w:val="both"/>
        <w:rPr>
          <w:rFonts w:ascii="Cambria" w:hAnsi="Cambria" w:cs="Arial"/>
          <w:color w:val="000000"/>
          <w:lang w:val="sr-Latn-ME"/>
        </w:rPr>
      </w:pPr>
    </w:p>
    <w:p w14:paraId="54183B3A">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Cambria" w:hAnsi="Cambria"/>
          <w:b/>
          <w:szCs w:val="32"/>
          <w:lang w:val="sr-Latn-ME"/>
        </w:rPr>
      </w:pPr>
      <w:r>
        <w:rPr>
          <w:rFonts w:ascii="Cambria" w:hAnsi="Cambria"/>
          <w:b/>
          <w:szCs w:val="32"/>
          <w:lang w:val="sr-Latn-ME"/>
        </w:rPr>
        <w:t>UPUTSTVO ZA SAČINJAVANJE PONUDE</w:t>
      </w:r>
    </w:p>
    <w:p w14:paraId="483A3297">
      <w:pPr>
        <w:rPr>
          <w:rFonts w:ascii="Cambria" w:hAnsi="Cambria" w:cs="Arial"/>
          <w:lang w:val="sr-Latn-ME"/>
        </w:rPr>
      </w:pPr>
    </w:p>
    <w:p w14:paraId="0D166F49">
      <w:pPr>
        <w:jc w:val="both"/>
        <w:rPr>
          <w:rFonts w:ascii="Cambria" w:hAnsi="Cambria"/>
        </w:rPr>
      </w:pPr>
      <w:r>
        <w:rPr>
          <w:rFonts w:ascii="Cambria" w:hAnsi="Cambria"/>
        </w:rPr>
        <w:t xml:space="preserve">Ponude se sačinjava u ESJN u skladu sa tenderskom dokumentacijom i važećim Pravilnikom o sadržaju ponude i uputstvu za sačinjavanje i podnošenje ponude. </w:t>
      </w:r>
    </w:p>
    <w:p w14:paraId="7B081BBC">
      <w:pPr>
        <w:jc w:val="both"/>
        <w:rPr>
          <w:rFonts w:ascii="Cambria" w:hAnsi="Cambria"/>
        </w:rPr>
      </w:pPr>
      <w:r>
        <w:rPr>
          <w:rFonts w:ascii="Cambria" w:hAnsi="Cambria"/>
        </w:rPr>
        <w:t>Ispunjenost uslova za učešće u postupku javne nabavke dokazuje se izjavom privrednog subjekta, koja se sačinjava na obrascu datom u Pravilniku o obrascu izjave privrednog subjekta.</w:t>
      </w:r>
    </w:p>
    <w:p w14:paraId="0B4CA34E">
      <w:pPr>
        <w:jc w:val="both"/>
        <w:rPr>
          <w:rFonts w:ascii="Cambria" w:hAnsi="Cambria"/>
        </w:rPr>
      </w:pPr>
      <w:r>
        <w:rPr>
          <w:rFonts w:ascii="Cambria" w:hAnsi="Cambria"/>
        </w:rPr>
        <w:t>Ponuđač je dužan da tačno i nedvosmisleno popuni Izjavu privrednog subjekta u skladu sa zahtjevima iz tenderske dokumentacije.</w:t>
      </w:r>
    </w:p>
    <w:p w14:paraId="7F24060C">
      <w:pPr>
        <w:jc w:val="both"/>
        <w:rPr>
          <w:rFonts w:ascii="Cambria" w:hAnsi="Cambria" w:cs="Arial"/>
          <w:i/>
          <w:iCs/>
          <w:color w:val="000000"/>
        </w:rPr>
      </w:pPr>
    </w:p>
    <w:p w14:paraId="585BFC51">
      <w:pPr>
        <w:jc w:val="both"/>
        <w:rPr>
          <w:rFonts w:ascii="Cambria" w:hAnsi="Cambria" w:cs="Arial"/>
          <w:i/>
          <w:iCs/>
          <w:color w:val="000000"/>
        </w:rPr>
      </w:pPr>
    </w:p>
    <w:p w14:paraId="7F779649">
      <w:pPr>
        <w:keepNext/>
        <w:pBdr>
          <w:top w:val="single" w:color="auto" w:sz="4" w:space="1"/>
          <w:left w:val="single" w:color="auto" w:sz="4" w:space="4"/>
          <w:bottom w:val="single" w:color="auto" w:sz="4" w:space="1"/>
          <w:right w:val="single" w:color="auto" w:sz="4" w:space="4"/>
        </w:pBdr>
        <w:shd w:val="clear" w:color="auto" w:fill="D9D9D9"/>
        <w:outlineLvl w:val="0"/>
        <w:rPr>
          <w:rFonts w:ascii="Cambria" w:hAnsi="Cambria" w:cs="Arial"/>
          <w:b/>
          <w:bCs/>
        </w:rPr>
      </w:pPr>
      <w:r>
        <w:rPr>
          <w:rFonts w:ascii="Cambria" w:hAnsi="Cambria" w:cs="Arial"/>
          <w:b/>
          <w:bCs/>
        </w:rPr>
        <w:t>3. NAČIN ZAKLJUČIVANJA I IZMJENE UGOVORA O JAVNOJ NABACI</w:t>
      </w:r>
    </w:p>
    <w:p w14:paraId="03A85017">
      <w:pPr>
        <w:jc w:val="both"/>
        <w:rPr>
          <w:rFonts w:ascii="Cambria" w:hAnsi="Cambria" w:cs="Arial"/>
          <w:i/>
        </w:rPr>
      </w:pPr>
    </w:p>
    <w:p w14:paraId="7426FCDA">
      <w:pPr>
        <w:jc w:val="both"/>
        <w:rPr>
          <w:rFonts w:ascii="Cambria" w:hAnsi="Cambria"/>
        </w:rPr>
      </w:pPr>
      <w:r>
        <w:rPr>
          <w:rFonts w:ascii="Cambria" w:hAnsi="Cambria"/>
        </w:rPr>
        <w:t xml:space="preserve">Naručilac zaključuje ugovor o javnoj nabavci u pisanom ili elektronskom obliku sa ponuđačem čija je ponuda izabrana kao najpovoljnija, nakon izvršnosti odluke o izboru najpovoljnije ponude. </w:t>
      </w:r>
    </w:p>
    <w:p w14:paraId="4807B666">
      <w:pPr>
        <w:jc w:val="both"/>
        <w:rPr>
          <w:rFonts w:ascii="Cambria" w:hAnsi="Cambria"/>
        </w:rPr>
      </w:pPr>
    </w:p>
    <w:p w14:paraId="2A42E9CD">
      <w:pPr>
        <w:jc w:val="both"/>
        <w:rPr>
          <w:rFonts w:ascii="Cambria" w:hAnsi="Cambria"/>
        </w:rPr>
      </w:pPr>
      <w:r>
        <w:rPr>
          <w:rFonts w:ascii="Cambria" w:hAnsi="Cambria"/>
        </w:rPr>
        <w:t>Ugovor o javnoj nabavci mora da bude u skladu sa uslovima utvrđenim tenderskom dokumentacijom, izabranom ponudom i odlukom o izboru najpovoljnije ponude, osim u pogledu iskazivanja PDV-a.</w:t>
      </w:r>
    </w:p>
    <w:p w14:paraId="63DBDDDE">
      <w:pPr>
        <w:jc w:val="both"/>
        <w:rPr>
          <w:rFonts w:ascii="Cambria" w:hAnsi="Cambria"/>
        </w:rPr>
      </w:pPr>
    </w:p>
    <w:p w14:paraId="75B8EB00">
      <w:pPr>
        <w:jc w:val="both"/>
        <w:rPr>
          <w:rFonts w:ascii="Cambria" w:hAnsi="Cambria"/>
          <w:color w:val="000000"/>
        </w:rPr>
      </w:pPr>
      <w:r>
        <w:rPr>
          <w:rFonts w:ascii="Cambria" w:hAnsi="Cambria"/>
          <w:color w:val="000000"/>
        </w:rPr>
        <w:t>Ugovor između naručioca i ponuđača čija je ponuda izabrana kao najpovoljnija, pored uslova koji su propisani ovom tenderskom dokumentacijom, će sadržati i sljedeće:</w:t>
      </w:r>
    </w:p>
    <w:p w14:paraId="2709897D">
      <w:pPr>
        <w:jc w:val="both"/>
        <w:rPr>
          <w:rFonts w:ascii="Cambria" w:hAnsi="Cambria" w:eastAsia="Calibri" w:cs="Calibri"/>
          <w:sz w:val="22"/>
          <w:szCs w:val="22"/>
          <w:lang w:val="pl-PL" w:eastAsia="zh-TW"/>
        </w:rPr>
      </w:pPr>
    </w:p>
    <w:p w14:paraId="7B72D33F">
      <w:pPr>
        <w:spacing w:after="120"/>
        <w:jc w:val="both"/>
        <w:rPr>
          <w:rFonts w:eastAsia="PMingLiU"/>
          <w:lang w:val="sr-Latn-ME" w:eastAsia="zh-TW"/>
        </w:rPr>
      </w:pPr>
      <w:r>
        <w:rPr>
          <w:rFonts w:eastAsia="PMingLiU"/>
          <w:lang w:val="sr-Latn-ME" w:eastAsia="zh-TW"/>
        </w:rPr>
        <w:t xml:space="preserve">Ugovorne strane su saglasne da do raskida ovog Ugovora može doći ako Izvršilac ne bude izvršavao svoje obaveze u rokovima i na način predviđen Ugovorom: </w:t>
      </w:r>
    </w:p>
    <w:p w14:paraId="2DBE1369">
      <w:pPr>
        <w:numPr>
          <w:ilvl w:val="0"/>
          <w:numId w:val="9"/>
        </w:numPr>
        <w:spacing w:after="120" w:line="259" w:lineRule="auto"/>
        <w:jc w:val="both"/>
        <w:rPr>
          <w:rFonts w:eastAsia="PMingLiU"/>
          <w:lang w:val="sr-Latn-ME" w:eastAsia="zh-TW"/>
        </w:rPr>
      </w:pPr>
      <w:r>
        <w:rPr>
          <w:rFonts w:eastAsia="PMingLiU"/>
          <w:lang w:val="sr-Latn-ME" w:eastAsia="zh-TW"/>
        </w:rPr>
        <w:t xml:space="preserve">U slučaju kada Naručilac ustanovi da kvalitet usluge koja je predmet ovog ugovora ili način na koje se pruža, odstupa od traženog, odnosno ponuđenog kvaliteta iz ponude Ponuđača, </w:t>
      </w:r>
    </w:p>
    <w:p w14:paraId="38235750">
      <w:pPr>
        <w:numPr>
          <w:ilvl w:val="0"/>
          <w:numId w:val="9"/>
        </w:numPr>
        <w:spacing w:after="120" w:line="259" w:lineRule="auto"/>
        <w:jc w:val="both"/>
        <w:rPr>
          <w:rFonts w:eastAsia="PMingLiU"/>
          <w:bCs/>
          <w:lang w:val="sr-Latn-ME" w:eastAsia="zh-TW"/>
        </w:rPr>
      </w:pPr>
      <w:r>
        <w:rPr>
          <w:rFonts w:eastAsia="PMingLiU"/>
          <w:lang w:val="sr-Latn-ME" w:eastAsia="zh-TW"/>
        </w:rPr>
        <w:t xml:space="preserve">U slučaju da se Izvršilac ne pridržava svojih obaveza i u drugim slučajevima nesavjesnog obavljanja posla. </w:t>
      </w:r>
    </w:p>
    <w:p w14:paraId="4ADEFE47">
      <w:pPr>
        <w:spacing w:after="120"/>
        <w:jc w:val="both"/>
        <w:rPr>
          <w:rFonts w:eastAsia="PMingLiU"/>
          <w:lang w:val="sr-Latn-ME" w:eastAsia="zh-TW"/>
        </w:rPr>
      </w:pPr>
      <w:r>
        <w:rPr>
          <w:rFonts w:eastAsia="PMingLiU"/>
          <w:lang w:val="sr-Latn-ME" w:eastAsia="zh-TW"/>
        </w:rPr>
        <w:t>Ukoliko jedna od ugovornih strana ne izvrši svoje ugovorne obaveze, druga ugovorna strana može raskinuti Ugovor, uz prethodno pisano upozorenje druge strane, a sve posljedice eventualnog raskida Ugovora, snosiće ugovorna strana koja nije izvršila svoje ugovorne obaveze.</w:t>
      </w:r>
    </w:p>
    <w:p w14:paraId="3103A9EE">
      <w:pPr>
        <w:rPr>
          <w:rFonts w:eastAsia="PMingLiU"/>
          <w:lang w:eastAsia="zh-TW"/>
        </w:rPr>
      </w:pPr>
    </w:p>
    <w:p w14:paraId="4225470F">
      <w:pPr>
        <w:spacing w:after="120"/>
        <w:jc w:val="both"/>
        <w:rPr>
          <w:rFonts w:eastAsia="PMingLiU"/>
          <w:lang w:val="sr-Latn-RS" w:eastAsia="zh-TW"/>
        </w:rPr>
      </w:pPr>
      <w:r>
        <w:rPr>
          <w:rFonts w:eastAsia="PMingLiU"/>
          <w:lang w:val="sr-Latn-RS" w:eastAsia="zh-TW"/>
        </w:rPr>
        <w:t>Nepoštovanje  antikorupcijskog pravila iz člana 38 Zakona o javnim nabavkama povlači ništavost ugovora.</w:t>
      </w:r>
    </w:p>
    <w:p w14:paraId="620AECF0">
      <w:pPr>
        <w:spacing w:after="120"/>
        <w:jc w:val="both"/>
        <w:rPr>
          <w:rFonts w:eastAsia="PMingLiU"/>
          <w:lang w:val="sr-Latn-RS" w:eastAsia="zh-TW"/>
        </w:rPr>
      </w:pPr>
      <w:r>
        <w:rPr>
          <w:rFonts w:eastAsia="PMingLiU"/>
          <w:lang w:val="sr-Latn-RS" w:eastAsia="zh-TW"/>
        </w:rPr>
        <w:t>KONTROLA KVALITETA: Način sprovođenja kontrole kvaliteta izvršenja ugovora će se vršiti u skladu sa naznakama iz Priloga 1 - koji je objavljen u sekciji "Dokumenta" predmetnog postupka broj 10</w:t>
      </w:r>
      <w:r>
        <w:rPr>
          <w:rFonts w:hint="default" w:eastAsia="PMingLiU"/>
          <w:lang w:val="sr-Latn-ME" w:eastAsia="zh-TW"/>
        </w:rPr>
        <w:t>5969</w:t>
      </w:r>
      <w:bookmarkStart w:id="1" w:name="_GoBack"/>
      <w:bookmarkEnd w:id="1"/>
      <w:r>
        <w:rPr>
          <w:rFonts w:eastAsia="PMingLiU"/>
          <w:lang w:val="sr-Latn-RS" w:eastAsia="zh-TW"/>
        </w:rPr>
        <w:t xml:space="preserve"> (CEJN). Kontrolu kvaliteta će vršiti službenici iz Direkcije za pripremu crnogorske verzije pravne tekovine EU.</w:t>
      </w:r>
    </w:p>
    <w:p w14:paraId="098F3E6F">
      <w:pPr>
        <w:spacing w:after="120"/>
        <w:jc w:val="both"/>
        <w:rPr>
          <w:rFonts w:eastAsia="PMingLiU"/>
          <w:lang w:val="sr-Latn-RS" w:eastAsia="zh-TW"/>
        </w:rPr>
      </w:pPr>
    </w:p>
    <w:p w14:paraId="52CB94DD">
      <w:pPr>
        <w:keepNext/>
        <w:numPr>
          <w:ilvl w:val="0"/>
          <w:numId w:val="10"/>
        </w:numPr>
        <w:pBdr>
          <w:top w:val="single" w:color="auto" w:sz="4" w:space="1"/>
          <w:left w:val="single" w:color="auto" w:sz="4" w:space="4"/>
          <w:bottom w:val="single" w:color="auto" w:sz="4" w:space="1"/>
          <w:right w:val="single" w:color="auto" w:sz="4" w:space="4"/>
        </w:pBdr>
        <w:shd w:val="clear" w:color="auto" w:fill="D9D9D9"/>
        <w:spacing w:after="160" w:line="259" w:lineRule="auto"/>
        <w:outlineLvl w:val="0"/>
        <w:rPr>
          <w:rFonts w:ascii="Cambria" w:hAnsi="Cambria" w:cs="Arial"/>
          <w:b/>
          <w:bCs/>
        </w:rPr>
      </w:pPr>
      <w:r>
        <w:rPr>
          <w:rFonts w:ascii="Cambria" w:hAnsi="Cambria" w:cs="Arial"/>
          <w:b/>
          <w:bCs/>
        </w:rPr>
        <w:t>ZAHTJEV ZA POJAŠNJENJE ILI IZMJENU I DOPUNU TENDERSKE DOKUMENTACIJE</w:t>
      </w:r>
    </w:p>
    <w:p w14:paraId="51EBAC69">
      <w:pPr>
        <w:jc w:val="both"/>
        <w:rPr>
          <w:rFonts w:ascii="Cambria" w:hAnsi="Cambria" w:cs="Arial"/>
        </w:rPr>
      </w:pPr>
    </w:p>
    <w:p w14:paraId="710A61B3">
      <w:pPr>
        <w:widowControl w:val="0"/>
        <w:kinsoku w:val="0"/>
        <w:overflowPunct w:val="0"/>
        <w:jc w:val="both"/>
        <w:textAlignment w:val="baseline"/>
        <w:rPr>
          <w:rFonts w:ascii="Cambria" w:hAnsi="Cambria"/>
          <w:lang w:val="sr-Latn-ME" w:eastAsia="sr-Latn-CS"/>
        </w:rPr>
      </w:pPr>
      <w:r>
        <w:rPr>
          <w:rFonts w:ascii="Cambria" w:hAnsi="Cambria"/>
          <w:lang w:val="sr-Latn-ME" w:eastAsia="sr-Latn-CS"/>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B21EC9A">
      <w:pPr>
        <w:widowControl w:val="0"/>
        <w:kinsoku w:val="0"/>
        <w:overflowPunct w:val="0"/>
        <w:jc w:val="both"/>
        <w:textAlignment w:val="baseline"/>
        <w:rPr>
          <w:rFonts w:ascii="Cambria" w:hAnsi="Cambria"/>
          <w:lang w:val="sr-Latn-ME" w:eastAsia="sr-Latn-CS"/>
        </w:rPr>
      </w:pPr>
    </w:p>
    <w:p w14:paraId="6860BC64">
      <w:pPr>
        <w:widowControl w:val="0"/>
        <w:kinsoku w:val="0"/>
        <w:overflowPunct w:val="0"/>
        <w:jc w:val="both"/>
        <w:textAlignment w:val="baseline"/>
        <w:rPr>
          <w:rFonts w:ascii="Cambria" w:hAnsi="Cambria"/>
          <w:lang w:val="sr-Latn-ME" w:eastAsia="sr-Latn-CS"/>
        </w:rPr>
      </w:pPr>
      <w:r>
        <w:rPr>
          <w:rFonts w:ascii="Cambria" w:hAnsi="Cambria"/>
          <w:lang w:val="sr-Latn-ME" w:eastAsia="sr-Latn-CS"/>
        </w:rPr>
        <w:t>Privredni subjekat ima pravo da pisanim zahtjevom traži od naručioca pojašnjenje tenderske dokumentacije najkasnije deset dana prije isteka roka određenog za dostavljanje ponuda.</w:t>
      </w:r>
    </w:p>
    <w:p w14:paraId="025E2A72">
      <w:pPr>
        <w:widowControl w:val="0"/>
        <w:kinsoku w:val="0"/>
        <w:overflowPunct w:val="0"/>
        <w:jc w:val="both"/>
        <w:textAlignment w:val="baseline"/>
        <w:rPr>
          <w:rFonts w:ascii="Cambria" w:hAnsi="Cambria"/>
          <w:lang w:val="sr-Latn-ME" w:eastAsia="sr-Latn-CS"/>
        </w:rPr>
      </w:pPr>
    </w:p>
    <w:p w14:paraId="6823B0E6">
      <w:pPr>
        <w:widowControl w:val="0"/>
        <w:kinsoku w:val="0"/>
        <w:overflowPunct w:val="0"/>
        <w:jc w:val="both"/>
        <w:textAlignment w:val="baseline"/>
        <w:rPr>
          <w:rFonts w:ascii="Cambria" w:hAnsi="Cambria"/>
          <w:lang w:val="sr-Latn-ME" w:eastAsia="sr-Latn-CS"/>
        </w:rPr>
      </w:pPr>
      <w:r>
        <w:rPr>
          <w:rFonts w:ascii="Cambria" w:hAnsi="Cambria"/>
          <w:lang w:val="sr-Latn-ME" w:eastAsia="sr-Latn-CS"/>
        </w:rPr>
        <w:t>Zahtjev se podnosi isključivo putem ESJN-a.</w:t>
      </w:r>
    </w:p>
    <w:p w14:paraId="10F01255">
      <w:pPr>
        <w:spacing w:after="160" w:line="259" w:lineRule="auto"/>
        <w:rPr>
          <w:rFonts w:ascii="Cambria" w:hAnsi="Cambria" w:eastAsiaTheme="minorHAnsi" w:cstheme="minorBidi"/>
          <w:sz w:val="22"/>
          <w:szCs w:val="22"/>
        </w:rPr>
      </w:pPr>
    </w:p>
    <w:p w14:paraId="66068DEB">
      <w:pPr>
        <w:spacing w:after="160" w:line="259" w:lineRule="auto"/>
        <w:rPr>
          <w:rFonts w:ascii="Cambria" w:hAnsi="Cambria" w:eastAsiaTheme="minorHAnsi" w:cstheme="minorBidi"/>
          <w:sz w:val="22"/>
          <w:szCs w:val="22"/>
        </w:rPr>
      </w:pPr>
    </w:p>
    <w:p w14:paraId="2AC6E758">
      <w:pPr>
        <w:spacing w:after="160" w:line="259" w:lineRule="auto"/>
        <w:rPr>
          <w:rFonts w:ascii="Cambria" w:hAnsi="Cambria" w:eastAsiaTheme="minorHAnsi" w:cstheme="minorBidi"/>
          <w:sz w:val="22"/>
          <w:szCs w:val="22"/>
        </w:rPr>
      </w:pPr>
    </w:p>
    <w:p w14:paraId="66D87E25">
      <w:pPr>
        <w:spacing w:after="160" w:line="259" w:lineRule="auto"/>
        <w:rPr>
          <w:rFonts w:ascii="Cambria" w:hAnsi="Cambria" w:eastAsiaTheme="minorHAnsi" w:cstheme="minorBidi"/>
          <w:sz w:val="22"/>
          <w:szCs w:val="22"/>
        </w:rPr>
      </w:pPr>
    </w:p>
    <w:p w14:paraId="0FB56CEC">
      <w:pPr>
        <w:spacing w:after="160" w:line="259" w:lineRule="auto"/>
        <w:rPr>
          <w:rFonts w:ascii="Cambria" w:hAnsi="Cambria" w:eastAsiaTheme="minorHAnsi" w:cstheme="minorBidi"/>
          <w:sz w:val="22"/>
          <w:szCs w:val="22"/>
        </w:rPr>
      </w:pPr>
    </w:p>
    <w:p w14:paraId="0B6F2434">
      <w:pPr>
        <w:spacing w:after="160" w:line="259" w:lineRule="auto"/>
        <w:rPr>
          <w:rFonts w:ascii="Cambria" w:hAnsi="Cambria" w:eastAsiaTheme="minorHAnsi" w:cstheme="minorBidi"/>
          <w:sz w:val="22"/>
          <w:szCs w:val="22"/>
        </w:rPr>
      </w:pPr>
    </w:p>
    <w:p w14:paraId="3A236C99">
      <w:pPr>
        <w:spacing w:after="160" w:line="259" w:lineRule="auto"/>
        <w:rPr>
          <w:rFonts w:ascii="Cambria" w:hAnsi="Cambria" w:eastAsiaTheme="minorHAnsi" w:cstheme="minorBidi"/>
          <w:sz w:val="22"/>
          <w:szCs w:val="22"/>
        </w:rPr>
      </w:pPr>
    </w:p>
    <w:p w14:paraId="214CEB7B">
      <w:pPr>
        <w:spacing w:after="160" w:line="259" w:lineRule="auto"/>
        <w:rPr>
          <w:rFonts w:ascii="Cambria" w:hAnsi="Cambria" w:eastAsiaTheme="minorHAnsi" w:cstheme="minorBidi"/>
          <w:sz w:val="22"/>
          <w:szCs w:val="22"/>
        </w:rPr>
      </w:pPr>
    </w:p>
    <w:p w14:paraId="75174645">
      <w:pPr>
        <w:spacing w:after="160" w:line="259" w:lineRule="auto"/>
        <w:rPr>
          <w:rFonts w:ascii="Cambria" w:hAnsi="Cambria" w:eastAsiaTheme="minorHAnsi" w:cstheme="minorBidi"/>
          <w:sz w:val="22"/>
          <w:szCs w:val="22"/>
        </w:rPr>
      </w:pPr>
    </w:p>
    <w:p w14:paraId="50D48B59">
      <w:pPr>
        <w:spacing w:after="160" w:line="259" w:lineRule="auto"/>
        <w:rPr>
          <w:rFonts w:ascii="Cambria" w:hAnsi="Cambria" w:eastAsiaTheme="minorHAnsi" w:cstheme="minorBidi"/>
          <w:sz w:val="22"/>
          <w:szCs w:val="22"/>
        </w:rPr>
      </w:pPr>
    </w:p>
    <w:p w14:paraId="7D16E8BC">
      <w:pPr>
        <w:spacing w:after="160" w:line="259" w:lineRule="auto"/>
        <w:rPr>
          <w:rFonts w:ascii="Cambria" w:hAnsi="Cambria" w:eastAsiaTheme="minorHAnsi" w:cstheme="minorBidi"/>
          <w:sz w:val="22"/>
          <w:szCs w:val="22"/>
        </w:rPr>
      </w:pPr>
    </w:p>
    <w:p w14:paraId="52CC7E80">
      <w:pPr>
        <w:spacing w:after="160" w:line="259" w:lineRule="auto"/>
        <w:rPr>
          <w:rFonts w:ascii="Cambria" w:hAnsi="Cambria" w:eastAsiaTheme="minorHAnsi" w:cstheme="minorBidi"/>
          <w:sz w:val="22"/>
          <w:szCs w:val="22"/>
        </w:rPr>
      </w:pPr>
    </w:p>
    <w:p w14:paraId="30599780">
      <w:pPr>
        <w:keepNext/>
        <w:numPr>
          <w:ilvl w:val="0"/>
          <w:numId w:val="10"/>
        </w:numPr>
        <w:pBdr>
          <w:top w:val="single" w:color="auto" w:sz="4" w:space="1"/>
          <w:left w:val="single" w:color="auto" w:sz="4" w:space="4"/>
          <w:bottom w:val="single" w:color="auto" w:sz="4" w:space="1"/>
          <w:right w:val="single" w:color="auto" w:sz="4" w:space="4"/>
        </w:pBdr>
        <w:shd w:val="clear" w:color="auto" w:fill="BEBEBE" w:themeFill="background1" w:themeFillShade="BF"/>
        <w:spacing w:after="160" w:line="259" w:lineRule="auto"/>
        <w:ind w:left="0" w:firstLine="0"/>
        <w:outlineLvl w:val="0"/>
        <w:rPr>
          <w:rFonts w:ascii="Cambria" w:hAnsi="Cambria"/>
          <w:b/>
          <w:bCs/>
          <w:color w:val="000000"/>
        </w:rPr>
      </w:pPr>
      <w:r>
        <w:rPr>
          <w:rFonts w:ascii="Cambria" w:hAnsi="Cambria"/>
          <w:b/>
          <w:bCs/>
        </w:rPr>
        <w:t>IZJAVA NARUČIOCA O NEPOSTOJANJU SUKOBA INTERESA</w:t>
      </w:r>
    </w:p>
    <w:p w14:paraId="35231D8F">
      <w:pPr>
        <w:tabs>
          <w:tab w:val="left" w:pos="1701"/>
          <w:tab w:val="left" w:pos="4820"/>
        </w:tabs>
        <w:jc w:val="both"/>
        <w:rPr>
          <w:rFonts w:ascii="Arial" w:hAnsi="Arial" w:cs="Arial"/>
          <w:color w:val="000000"/>
          <w:sz w:val="20"/>
          <w:szCs w:val="20"/>
          <w:u w:val="single"/>
        </w:rPr>
      </w:pPr>
    </w:p>
    <w:p w14:paraId="77048B63">
      <w:pPr>
        <w:widowControl w:val="0"/>
        <w:kinsoku w:val="0"/>
        <w:overflowPunct w:val="0"/>
        <w:jc w:val="both"/>
        <w:textAlignment w:val="baseline"/>
        <w:rPr>
          <w:rFonts w:ascii="Cambria" w:hAnsi="Cambria"/>
          <w:lang w:eastAsia="sr-Latn-CS"/>
        </w:rPr>
      </w:pPr>
      <w:r>
        <w:rPr>
          <w:rFonts w:ascii="Cambria" w:hAnsi="Cambria"/>
          <w:lang w:eastAsia="sr-Latn-CS"/>
        </w:rPr>
        <w:t xml:space="preserve">Ministarstvo evropskih poslove                                          </w:t>
      </w:r>
      <w:r>
        <w:rPr>
          <w:rFonts w:ascii="Cambria" w:hAnsi="Cambria"/>
          <w:lang w:val="sr-Latn-ME" w:eastAsia="sr-Latn-CS"/>
        </w:rPr>
        <w:t xml:space="preserve">                2</w:t>
      </w:r>
      <w:r>
        <w:rPr>
          <w:rFonts w:hint="default" w:ascii="Cambria" w:hAnsi="Cambria"/>
          <w:lang w:val="sr-Latn-ME" w:eastAsia="sr-Latn-CS"/>
        </w:rPr>
        <w:t>4</w:t>
      </w:r>
      <w:r>
        <w:rPr>
          <w:rFonts w:ascii="Cambria" w:hAnsi="Cambria"/>
          <w:lang w:eastAsia="sr-Latn-CS"/>
        </w:rPr>
        <w:t>. decembar 2025. godine</w:t>
      </w:r>
    </w:p>
    <w:p w14:paraId="00C052A5">
      <w:pPr>
        <w:widowControl w:val="0"/>
        <w:kinsoku w:val="0"/>
        <w:overflowPunct w:val="0"/>
        <w:jc w:val="both"/>
        <w:textAlignment w:val="baseline"/>
        <w:rPr>
          <w:rFonts w:hint="default" w:ascii="Cambria" w:hAnsi="Cambria"/>
          <w:lang w:val="sr-Latn-ME" w:eastAsia="sr-Latn-CS"/>
        </w:rPr>
      </w:pPr>
      <w:r>
        <w:rPr>
          <w:rFonts w:ascii="Cambria" w:hAnsi="Cambria"/>
          <w:lang w:eastAsia="sr-Latn-CS"/>
        </w:rPr>
        <w:t xml:space="preserve">Broj: </w:t>
      </w:r>
      <w:r>
        <w:rPr>
          <w:color w:val="000000" w:themeColor="text1"/>
          <w14:textFill>
            <w14:solidFill>
              <w14:schemeClr w14:val="tx1"/>
            </w14:solidFill>
          </w14:textFill>
        </w:rPr>
        <w:t>0</w:t>
      </w:r>
      <w:r>
        <w:rPr>
          <w:color w:val="000000" w:themeColor="text1"/>
          <w:lang w:val="sr-Latn-ME"/>
          <w14:textFill>
            <w14:solidFill>
              <w14:schemeClr w14:val="tx1"/>
            </w14:solidFill>
          </w14:textFill>
        </w:rPr>
        <w:t>3/1/2</w:t>
      </w:r>
      <w:r>
        <w:rPr>
          <w:color w:val="000000" w:themeColor="text1"/>
          <w14:textFill>
            <w14:solidFill>
              <w14:schemeClr w14:val="tx1"/>
            </w14:solidFill>
          </w14:textFill>
        </w:rPr>
        <w:t>-426/2</w:t>
      </w:r>
      <w:r>
        <w:rPr>
          <w:color w:val="000000" w:themeColor="text1"/>
          <w:lang w:val="sr-Latn-ME"/>
          <w14:textFill>
            <w14:solidFill>
              <w14:schemeClr w14:val="tx1"/>
            </w14:solidFill>
          </w14:textFill>
        </w:rPr>
        <w:t>5</w:t>
      </w:r>
      <w:r>
        <w:rPr>
          <w:color w:val="000000" w:themeColor="text1"/>
          <w14:textFill>
            <w14:solidFill>
              <w14:schemeClr w14:val="tx1"/>
            </w14:solidFill>
          </w14:textFill>
        </w:rPr>
        <w:t>-</w:t>
      </w:r>
      <w:r>
        <w:rPr>
          <w:color w:val="000000" w:themeColor="text1"/>
          <w:lang w:val="sr-Latn-ME"/>
          <w14:textFill>
            <w14:solidFill>
              <w14:schemeClr w14:val="tx1"/>
            </w14:solidFill>
          </w14:textFill>
        </w:rPr>
        <w:t>4321</w:t>
      </w:r>
      <w:r>
        <w:rPr>
          <w:color w:val="000000" w:themeColor="text1"/>
          <w14:textFill>
            <w14:solidFill>
              <w14:schemeClr w14:val="tx1"/>
            </w14:solidFill>
          </w14:textFill>
        </w:rPr>
        <w:t>/</w:t>
      </w:r>
      <w:r>
        <w:rPr>
          <w:rFonts w:hint="default"/>
          <w:color w:val="000000" w:themeColor="text1"/>
          <w:lang w:val="sr-Latn-ME"/>
          <w14:textFill>
            <w14:solidFill>
              <w14:schemeClr w14:val="tx1"/>
            </w14:solidFill>
          </w14:textFill>
        </w:rPr>
        <w:t>4</w:t>
      </w:r>
    </w:p>
    <w:p w14:paraId="17F8F72A">
      <w:pPr>
        <w:widowControl w:val="0"/>
        <w:kinsoku w:val="0"/>
        <w:overflowPunct w:val="0"/>
        <w:jc w:val="both"/>
        <w:textAlignment w:val="baseline"/>
        <w:rPr>
          <w:rFonts w:ascii="Cambria" w:hAnsi="Cambria"/>
          <w:lang w:eastAsia="sr-Latn-CS"/>
        </w:rPr>
      </w:pPr>
      <w:r>
        <w:rPr>
          <w:rFonts w:ascii="Cambria" w:hAnsi="Cambria"/>
          <w:lang w:eastAsia="sr-Latn-CS"/>
        </w:rPr>
        <w:t xml:space="preserve">Podgorica, </w:t>
      </w:r>
    </w:p>
    <w:p w14:paraId="2964C324">
      <w:pPr>
        <w:widowControl w:val="0"/>
        <w:kinsoku w:val="0"/>
        <w:overflowPunct w:val="0"/>
        <w:jc w:val="both"/>
        <w:textAlignment w:val="baseline"/>
        <w:rPr>
          <w:rFonts w:ascii="Cambria" w:hAnsi="Cambria"/>
          <w:lang w:eastAsia="sr-Latn-CS"/>
        </w:rPr>
      </w:pPr>
    </w:p>
    <w:p w14:paraId="182BC730">
      <w:pPr>
        <w:widowControl w:val="0"/>
        <w:kinsoku w:val="0"/>
        <w:overflowPunct w:val="0"/>
        <w:jc w:val="both"/>
        <w:textAlignment w:val="baseline"/>
        <w:rPr>
          <w:rFonts w:ascii="Cambria" w:hAnsi="Cambria"/>
          <w:lang w:eastAsia="sr-Latn-CS"/>
        </w:rPr>
      </w:pPr>
      <w:r>
        <w:rPr>
          <w:rFonts w:ascii="Cambria" w:hAnsi="Cambria"/>
          <w:lang w:eastAsia="sr-Latn-CS"/>
        </w:rPr>
        <w:t xml:space="preserve">U skladu sa članom 43 stav 1 Zakona o javnim nabavkama („Službeni list CG”, br.74/19, 3/23 i 11/23), </w:t>
      </w:r>
    </w:p>
    <w:p w14:paraId="439C89FB">
      <w:pPr>
        <w:widowControl w:val="0"/>
        <w:kinsoku w:val="0"/>
        <w:overflowPunct w:val="0"/>
        <w:jc w:val="center"/>
        <w:textAlignment w:val="baseline"/>
        <w:rPr>
          <w:rFonts w:ascii="Cambria" w:hAnsi="Cambria"/>
          <w:b/>
          <w:bCs/>
          <w:lang w:eastAsia="sr-Latn-CS"/>
        </w:rPr>
      </w:pPr>
      <w:r>
        <w:rPr>
          <w:rFonts w:ascii="Cambria" w:hAnsi="Cambria"/>
          <w:b/>
          <w:bCs/>
          <w:lang w:eastAsia="sr-Latn-CS"/>
        </w:rPr>
        <w:t>Izjavljujem</w:t>
      </w:r>
    </w:p>
    <w:p w14:paraId="3D1223EB">
      <w:pPr>
        <w:tabs>
          <w:tab w:val="left" w:pos="3290"/>
        </w:tabs>
        <w:jc w:val="both"/>
        <w:rPr>
          <w:rFonts w:ascii="Arial" w:hAnsi="Arial" w:cs="Arial"/>
          <w:color w:val="000000"/>
        </w:rPr>
      </w:pPr>
    </w:p>
    <w:p w14:paraId="25C4FB73">
      <w:pPr>
        <w:tabs>
          <w:tab w:val="left" w:pos="3290"/>
        </w:tabs>
        <w:jc w:val="both"/>
        <w:rPr>
          <w:rFonts w:ascii="Arial" w:hAnsi="Arial" w:cs="Arial"/>
          <w:color w:val="000000"/>
        </w:rPr>
      </w:pPr>
    </w:p>
    <w:p w14:paraId="2F96682A">
      <w:pPr>
        <w:tabs>
          <w:tab w:val="left" w:pos="3290"/>
        </w:tabs>
        <w:jc w:val="both"/>
        <w:rPr>
          <w:rFonts w:ascii="Cambria" w:hAnsi="Cambria" w:cs="Cambria"/>
          <w:color w:val="000000"/>
        </w:rPr>
      </w:pPr>
      <w:r>
        <w:rPr>
          <w:rFonts w:ascii="Cambria" w:hAnsi="Cambria" w:cs="Cambria"/>
          <w:color w:val="000000"/>
        </w:rPr>
        <w:t xml:space="preserve">da u postupku javne nabavke redni broj 6 iz Plana javne nabavke - </w:t>
      </w:r>
      <w:r>
        <w:rPr>
          <w:rFonts w:ascii="Cambria" w:hAnsi="Cambria" w:cs="Cambria"/>
          <w:color w:val="000000"/>
          <w:lang w:val="sl-SI"/>
        </w:rPr>
        <w:t>izmjena 2, broj</w:t>
      </w:r>
      <w:r>
        <w:rPr>
          <w:rFonts w:ascii="Cambria" w:hAnsi="Cambria" w:cs="Cambria"/>
          <w:color w:val="000000"/>
        </w:rPr>
        <w:t xml:space="preserve"> 03/1/2-430/25-2638, od 5.8.2025. godine (ESJN br. 22032, od 16.9.2025. godine) za nabavku usluge prevođenja pravne tekovine Evropske unije</w:t>
      </w:r>
      <w:r>
        <w:rPr>
          <w:rFonts w:ascii="Cambria" w:hAnsi="Cambria" w:cs="Cambria"/>
          <w:color w:val="000000"/>
          <w:lang w:val="sr-Latn-ME"/>
        </w:rPr>
        <w:t xml:space="preserve"> (ponovljeni postupak)</w:t>
      </w:r>
      <w:r>
        <w:rPr>
          <w:rFonts w:ascii="Cambria" w:hAnsi="Cambria" w:cs="Cambria"/>
          <w:color w:val="000000"/>
        </w:rPr>
        <w:t>, nijesam u sukobu interesa u smislu člana 41 stav 1 tačka 1 Zakona o javnim nabavkama i da ne postoji ekonomski i drugi lični interes koji može uticati na moju nepristrasnost i nezavisnost u ovom postupku javne nabavke.</w:t>
      </w:r>
    </w:p>
    <w:p w14:paraId="6A7D075F">
      <w:pPr>
        <w:tabs>
          <w:tab w:val="left" w:pos="3290"/>
        </w:tabs>
        <w:ind w:firstLine="1134"/>
        <w:rPr>
          <w:rFonts w:ascii="Arial" w:hAnsi="Arial" w:cs="Arial"/>
          <w:color w:val="000000"/>
        </w:rPr>
      </w:pPr>
    </w:p>
    <w:p w14:paraId="490D7AE5">
      <w:pPr>
        <w:tabs>
          <w:tab w:val="left" w:pos="3290"/>
        </w:tabs>
        <w:ind w:firstLine="1134"/>
        <w:jc w:val="right"/>
        <w:rPr>
          <w:rFonts w:ascii="Cambria" w:hAnsi="Cambria" w:cs="Cambria"/>
          <w:color w:val="000000"/>
        </w:rPr>
      </w:pPr>
      <w:r>
        <w:rPr>
          <w:rFonts w:ascii="Cambria" w:hAnsi="Cambria" w:cs="Cambria"/>
          <w:color w:val="000000"/>
        </w:rPr>
        <w:t xml:space="preserve">Ovlašćeno lice naručioca </w:t>
      </w:r>
    </w:p>
    <w:p w14:paraId="72DC834C">
      <w:pPr>
        <w:tabs>
          <w:tab w:val="left" w:pos="3290"/>
        </w:tabs>
        <w:ind w:firstLine="1134"/>
        <w:jc w:val="right"/>
        <w:rPr>
          <w:rFonts w:ascii="Cambria" w:hAnsi="Cambria" w:cs="Cambria"/>
          <w:color w:val="000000"/>
        </w:rPr>
      </w:pPr>
      <w:r>
        <w:rPr>
          <w:rFonts w:ascii="Cambria" w:hAnsi="Cambria" w:cs="Cambria"/>
          <w:color w:val="000000"/>
        </w:rPr>
        <w:t>Maida Gorčević, ministarka</w:t>
      </w:r>
    </w:p>
    <w:p w14:paraId="38D402E1">
      <w:pPr>
        <w:tabs>
          <w:tab w:val="left" w:pos="3290"/>
        </w:tabs>
        <w:ind w:firstLine="1134"/>
        <w:jc w:val="right"/>
        <w:rPr>
          <w:rFonts w:ascii="Cambria" w:hAnsi="Cambria" w:cs="Cambria"/>
          <w:color w:val="000000"/>
        </w:rPr>
      </w:pPr>
    </w:p>
    <w:p w14:paraId="5F6A3843">
      <w:pPr>
        <w:tabs>
          <w:tab w:val="left" w:pos="3290"/>
        </w:tabs>
        <w:ind w:firstLine="1134"/>
        <w:jc w:val="right"/>
        <w:rPr>
          <w:rFonts w:ascii="Cambria" w:hAnsi="Cambria" w:cs="Cambria"/>
          <w:color w:val="000000"/>
        </w:rPr>
      </w:pPr>
      <w:r>
        <w:rPr>
          <w:rFonts w:ascii="Cambria" w:hAnsi="Cambria" w:cs="Cambria"/>
          <w:color w:val="000000"/>
        </w:rPr>
        <w:t>_______________________</w:t>
      </w:r>
    </w:p>
    <w:p w14:paraId="5CD76246">
      <w:pPr>
        <w:tabs>
          <w:tab w:val="left" w:pos="3290"/>
        </w:tabs>
        <w:ind w:left="5664" w:firstLine="708"/>
        <w:jc w:val="right"/>
        <w:rPr>
          <w:rFonts w:ascii="Cambria" w:hAnsi="Cambria" w:cs="Cambria"/>
          <w:color w:val="000000"/>
        </w:rPr>
      </w:pPr>
      <w:r>
        <w:rPr>
          <w:rFonts w:ascii="Cambria" w:hAnsi="Cambria" w:cs="Cambria"/>
          <w:i/>
          <w:iCs/>
          <w:color w:val="000000"/>
        </w:rPr>
        <w:t xml:space="preserve">               </w:t>
      </w:r>
      <w:r>
        <w:rPr>
          <w:rFonts w:ascii="Cambria" w:hAnsi="Cambria" w:cs="Cambria"/>
          <w:color w:val="000000"/>
        </w:rPr>
        <w:t xml:space="preserve">   </w:t>
      </w:r>
      <w:r>
        <w:rPr>
          <w:rFonts w:ascii="Cambria" w:hAnsi="Cambria" w:cs="Cambria"/>
          <w:color w:val="000000"/>
          <w:lang w:val="sr-Latn-ME"/>
        </w:rPr>
        <w:t>s.r.</w:t>
      </w:r>
    </w:p>
    <w:p w14:paraId="04787D77">
      <w:pPr>
        <w:tabs>
          <w:tab w:val="left" w:pos="3290"/>
        </w:tabs>
        <w:wordWrap w:val="0"/>
        <w:jc w:val="right"/>
        <w:rPr>
          <w:rFonts w:ascii="Cambria" w:hAnsi="Cambria" w:cs="Cambria"/>
          <w:i/>
          <w:iCs/>
          <w:color w:val="000000"/>
          <w:lang w:val="sr-Latn-ME"/>
        </w:rPr>
      </w:pPr>
      <w:r>
        <w:rPr>
          <w:rFonts w:ascii="Cambria" w:hAnsi="Cambria" w:cs="Cambria"/>
          <w:color w:val="000000"/>
        </w:rPr>
        <w:t>Sekretar Ministarstva Evrop</w:t>
      </w:r>
      <w:r>
        <w:rPr>
          <w:rFonts w:ascii="Cambria" w:hAnsi="Cambria" w:cs="Cambria"/>
          <w:color w:val="000000"/>
          <w:lang w:val="sr-Latn-ME"/>
        </w:rPr>
        <w:t>s</w:t>
      </w:r>
      <w:r>
        <w:rPr>
          <w:rFonts w:ascii="Cambria" w:hAnsi="Cambria" w:cs="Cambria"/>
          <w:color w:val="000000"/>
        </w:rPr>
        <w:t xml:space="preserve">kih poslova, </w:t>
      </w:r>
      <w:r>
        <w:rPr>
          <w:rFonts w:ascii="Cambria" w:hAnsi="Cambria" w:cs="Cambria"/>
          <w:color w:val="000000"/>
          <w:lang w:val="sr-Latn-ME"/>
        </w:rPr>
        <w:t>Predrag Radovanović</w:t>
      </w:r>
    </w:p>
    <w:p w14:paraId="08B6F2C9">
      <w:pPr>
        <w:tabs>
          <w:tab w:val="left" w:pos="3290"/>
        </w:tabs>
        <w:ind w:firstLine="1134"/>
        <w:jc w:val="right"/>
        <w:rPr>
          <w:rFonts w:ascii="Cambria" w:hAnsi="Cambria" w:cs="Cambria"/>
          <w:color w:val="000000"/>
        </w:rPr>
      </w:pPr>
      <w:r>
        <w:rPr>
          <w:rFonts w:ascii="Cambria" w:hAnsi="Cambria" w:cs="Cambria"/>
          <w:color w:val="000000"/>
        </w:rPr>
        <w:t>______________________</w:t>
      </w:r>
    </w:p>
    <w:p w14:paraId="54EAF72C">
      <w:pPr>
        <w:tabs>
          <w:tab w:val="left" w:pos="3290"/>
        </w:tabs>
        <w:jc w:val="right"/>
        <w:rPr>
          <w:rFonts w:ascii="Cambria" w:hAnsi="Cambria" w:cs="Cambria"/>
          <w:color w:val="000000"/>
          <w:lang w:val="sr-Latn-ME"/>
        </w:rPr>
      </w:pPr>
      <w:r>
        <w:rPr>
          <w:rFonts w:ascii="Cambria" w:hAnsi="Cambria" w:cs="Cambria"/>
          <w:color w:val="000000"/>
          <w:lang w:val="sr-Latn-ME"/>
        </w:rPr>
        <w:t xml:space="preserve">                                                                                                                                                                      s.r.</w:t>
      </w:r>
    </w:p>
    <w:p w14:paraId="675AB60C">
      <w:pPr>
        <w:tabs>
          <w:tab w:val="left" w:pos="3290"/>
        </w:tabs>
        <w:rPr>
          <w:rFonts w:ascii="Cambria" w:hAnsi="Cambria" w:cs="Cambria"/>
          <w:color w:val="000000"/>
        </w:rPr>
      </w:pPr>
      <w:r>
        <w:rPr>
          <w:rFonts w:ascii="Cambria" w:hAnsi="Cambria" w:cs="Cambria"/>
          <w:color w:val="000000"/>
        </w:rPr>
        <w:t xml:space="preserve">               </w:t>
      </w:r>
      <w:r>
        <w:rPr>
          <w:rFonts w:ascii="Cambria" w:hAnsi="Cambria" w:cs="Cambria"/>
          <w:color w:val="000000"/>
          <w:lang w:val="sr-Latn-ME"/>
        </w:rPr>
        <w:t xml:space="preserve">           </w:t>
      </w:r>
      <w:r>
        <w:rPr>
          <w:rFonts w:ascii="Cambria" w:hAnsi="Cambria" w:cs="Cambria"/>
          <w:color w:val="000000"/>
        </w:rPr>
        <w:t>Lice koje je učestvovalo u planiranju javne nabavke, Jelena Samardžić Kot</w:t>
      </w:r>
      <w:r>
        <w:rPr>
          <w:rFonts w:ascii="Cambria" w:hAnsi="Cambria" w:cs="Cambria"/>
          <w:color w:val="000000"/>
          <w:lang w:val="sr-Latn-ME"/>
        </w:rPr>
        <w:t>r</w:t>
      </w:r>
      <w:r>
        <w:rPr>
          <w:rFonts w:ascii="Cambria" w:hAnsi="Cambria" w:cs="Cambria"/>
          <w:color w:val="000000"/>
        </w:rPr>
        <w:t xml:space="preserve">i </w:t>
      </w:r>
    </w:p>
    <w:p w14:paraId="755B183D">
      <w:pPr>
        <w:tabs>
          <w:tab w:val="left" w:pos="3290"/>
        </w:tabs>
        <w:rPr>
          <w:rFonts w:ascii="Cambria" w:hAnsi="Cambria" w:cs="Cambria"/>
          <w:iCs/>
          <w:color w:val="000000"/>
        </w:rPr>
      </w:pPr>
    </w:p>
    <w:p w14:paraId="4FC05D7E">
      <w:pPr>
        <w:tabs>
          <w:tab w:val="left" w:pos="3290"/>
        </w:tabs>
        <w:ind w:firstLine="7080" w:firstLineChars="2950"/>
        <w:jc w:val="right"/>
        <w:rPr>
          <w:rFonts w:ascii="Cambria" w:hAnsi="Cambria" w:cs="Cambria"/>
          <w:iCs/>
          <w:color w:val="000000"/>
        </w:rPr>
      </w:pPr>
      <w:r>
        <w:rPr>
          <w:rFonts w:ascii="Cambria" w:hAnsi="Cambria" w:cs="Cambria"/>
          <w:iCs/>
          <w:color w:val="000000"/>
        </w:rPr>
        <w:t xml:space="preserve">______________________                 </w:t>
      </w:r>
      <w:r>
        <w:rPr>
          <w:rFonts w:ascii="Cambria" w:hAnsi="Cambria" w:cs="Cambria"/>
          <w:iCs/>
          <w:color w:val="000000"/>
          <w:lang w:val="sr-Latn-ME"/>
        </w:rPr>
        <w:t xml:space="preserve">                                                                                                                                                                      s.r.</w:t>
      </w:r>
    </w:p>
    <w:p w14:paraId="1472A070">
      <w:pPr>
        <w:tabs>
          <w:tab w:val="left" w:pos="3290"/>
        </w:tabs>
        <w:jc w:val="right"/>
        <w:rPr>
          <w:rFonts w:ascii="Cambria" w:hAnsi="Cambria" w:cs="Cambria"/>
          <w:iCs/>
          <w:color w:val="000000"/>
        </w:rPr>
      </w:pPr>
      <w:r>
        <w:rPr>
          <w:rFonts w:ascii="Cambria" w:hAnsi="Cambria" w:cs="Cambria"/>
          <w:iCs/>
          <w:color w:val="000000"/>
        </w:rPr>
        <w:t xml:space="preserve">Predsjednik komisije </w:t>
      </w:r>
      <w:r>
        <w:rPr>
          <w:rFonts w:ascii="Cambria" w:hAnsi="Cambria" w:cs="Cambria"/>
        </w:rPr>
        <w:t>za sprovođenje postupka javne nabavk</w:t>
      </w:r>
      <w:r>
        <w:rPr>
          <w:rFonts w:ascii="Cambria" w:hAnsi="Cambria" w:cs="Cambria"/>
          <w:iCs/>
          <w:color w:val="000000"/>
        </w:rPr>
        <w:t>e, Jelena Samardžić-Kot</w:t>
      </w:r>
      <w:r>
        <w:rPr>
          <w:rFonts w:ascii="Cambria" w:hAnsi="Cambria" w:cs="Cambria"/>
          <w:iCs/>
          <w:color w:val="000000"/>
          <w:lang w:val="sr-Latn-ME"/>
        </w:rPr>
        <w:t>r</w:t>
      </w:r>
      <w:r>
        <w:rPr>
          <w:rFonts w:ascii="Cambria" w:hAnsi="Cambria" w:cs="Cambria"/>
          <w:iCs/>
          <w:color w:val="000000"/>
        </w:rPr>
        <w:t>i, dipl. prof. engleskog jezika i književnosti</w:t>
      </w:r>
    </w:p>
    <w:p w14:paraId="214992B1">
      <w:pPr>
        <w:tabs>
          <w:tab w:val="left" w:pos="3290"/>
        </w:tabs>
        <w:jc w:val="right"/>
        <w:rPr>
          <w:rFonts w:ascii="Cambria" w:hAnsi="Cambria" w:cs="Cambria"/>
          <w:iCs/>
          <w:color w:val="000000"/>
        </w:rPr>
      </w:pPr>
      <w:r>
        <w:rPr>
          <w:rFonts w:ascii="Cambria" w:hAnsi="Cambria" w:cs="Cambria"/>
          <w:iCs/>
          <w:color w:val="000000"/>
        </w:rPr>
        <w:t xml:space="preserve"> </w:t>
      </w:r>
    </w:p>
    <w:p w14:paraId="1DA56D18">
      <w:pPr>
        <w:tabs>
          <w:tab w:val="left" w:pos="3290"/>
        </w:tabs>
        <w:jc w:val="right"/>
        <w:rPr>
          <w:rFonts w:ascii="Cambria" w:hAnsi="Cambria" w:cs="Cambria"/>
          <w:iCs/>
          <w:color w:val="000000"/>
        </w:rPr>
      </w:pPr>
      <w:r>
        <w:rPr>
          <w:rFonts w:ascii="Cambria" w:hAnsi="Cambria" w:cs="Cambria"/>
          <w:iCs/>
          <w:color w:val="000000"/>
        </w:rPr>
        <w:t>______________________</w:t>
      </w:r>
    </w:p>
    <w:p w14:paraId="73DCE418">
      <w:pPr>
        <w:tabs>
          <w:tab w:val="left" w:pos="3290"/>
        </w:tabs>
        <w:jc w:val="right"/>
        <w:rPr>
          <w:rFonts w:ascii="Cambria" w:hAnsi="Cambria" w:cs="Cambria"/>
          <w:iCs/>
          <w:color w:val="000000"/>
          <w:lang w:val="sr-Latn-ME"/>
        </w:rPr>
      </w:pPr>
      <w:r>
        <w:rPr>
          <w:rFonts w:ascii="Cambria" w:hAnsi="Cambria" w:cs="Cambria"/>
          <w:iCs/>
          <w:color w:val="000000"/>
          <w:lang w:val="sr-Latn-ME"/>
        </w:rPr>
        <w:t>s.r</w:t>
      </w:r>
    </w:p>
    <w:p w14:paraId="2624799E">
      <w:pPr>
        <w:tabs>
          <w:tab w:val="left" w:pos="3290"/>
        </w:tabs>
        <w:jc w:val="right"/>
        <w:rPr>
          <w:rFonts w:ascii="Cambria" w:hAnsi="Cambria" w:cs="Cambria"/>
          <w:iCs/>
          <w:color w:val="000000"/>
        </w:rPr>
      </w:pPr>
      <w:r>
        <w:rPr>
          <w:rFonts w:ascii="Cambria" w:hAnsi="Cambria" w:cs="Cambria"/>
          <w:iCs/>
          <w:color w:val="000000"/>
        </w:rPr>
        <w:t xml:space="preserve">Član komisije </w:t>
      </w:r>
      <w:r>
        <w:rPr>
          <w:rFonts w:ascii="Cambria" w:hAnsi="Cambria" w:cs="Cambria"/>
        </w:rPr>
        <w:t>za sprovođenje postupka javne nabavk</w:t>
      </w:r>
      <w:r>
        <w:rPr>
          <w:rFonts w:ascii="Cambria" w:hAnsi="Cambria" w:cs="Cambria"/>
          <w:iCs/>
          <w:color w:val="000000"/>
        </w:rPr>
        <w:t xml:space="preserve">e, Oliver Bodven, diplomirani pravnik, sa položenim ispitom za rad na poslovima javnih nabavki </w:t>
      </w:r>
    </w:p>
    <w:p w14:paraId="7073360D">
      <w:pPr>
        <w:tabs>
          <w:tab w:val="left" w:pos="3290"/>
        </w:tabs>
        <w:jc w:val="right"/>
        <w:rPr>
          <w:rFonts w:ascii="Cambria" w:hAnsi="Cambria" w:cs="Cambria"/>
          <w:color w:val="000000"/>
        </w:rPr>
      </w:pPr>
      <w:r>
        <w:rPr>
          <w:rFonts w:ascii="Cambria" w:hAnsi="Cambria" w:cs="Cambria"/>
          <w:iCs/>
          <w:color w:val="000000"/>
        </w:rPr>
        <w:t xml:space="preserve">(uvjerenje br. 01-3646 od 25.04.2016. godine) </w:t>
      </w:r>
    </w:p>
    <w:p w14:paraId="00593C88">
      <w:pPr>
        <w:tabs>
          <w:tab w:val="left" w:pos="3290"/>
        </w:tabs>
        <w:rPr>
          <w:rFonts w:ascii="Cambria" w:hAnsi="Cambria" w:cs="Cambria"/>
          <w:iCs/>
          <w:color w:val="000000"/>
        </w:rPr>
      </w:pPr>
    </w:p>
    <w:p w14:paraId="60FF1F40">
      <w:pPr>
        <w:tabs>
          <w:tab w:val="left" w:pos="3290"/>
        </w:tabs>
        <w:ind w:firstLine="1134"/>
        <w:jc w:val="right"/>
        <w:rPr>
          <w:rFonts w:ascii="Cambria" w:hAnsi="Cambria" w:cs="Cambria"/>
          <w:iCs/>
          <w:color w:val="000000"/>
        </w:rPr>
      </w:pPr>
      <w:r>
        <w:rPr>
          <w:rFonts w:ascii="Cambria" w:hAnsi="Cambria" w:cs="Cambria"/>
          <w:iCs/>
          <w:color w:val="000000"/>
        </w:rPr>
        <w:t>______________________</w:t>
      </w:r>
    </w:p>
    <w:p w14:paraId="7E398965">
      <w:pPr>
        <w:tabs>
          <w:tab w:val="left" w:pos="3290"/>
        </w:tabs>
        <w:rPr>
          <w:rFonts w:ascii="Cambria" w:hAnsi="Cambria" w:cs="Cambria"/>
          <w:iCs/>
          <w:color w:val="000000"/>
          <w:lang w:val="sr-Latn-ME"/>
        </w:rPr>
      </w:pPr>
      <w:r>
        <w:rPr>
          <w:rFonts w:ascii="Cambria" w:hAnsi="Cambria" w:cs="Cambria"/>
          <w:iCs/>
          <w:color w:val="000000"/>
          <w:lang w:val="sr-Latn-ME"/>
        </w:rPr>
        <w:t xml:space="preserve">                                                                                                                                                                     s.r.</w:t>
      </w:r>
    </w:p>
    <w:p w14:paraId="7DA88AF5">
      <w:pPr>
        <w:tabs>
          <w:tab w:val="left" w:pos="3290"/>
        </w:tabs>
        <w:rPr>
          <w:rFonts w:ascii="Cambria" w:hAnsi="Cambria" w:cs="Cambria"/>
          <w:iCs/>
          <w:color w:val="000000"/>
        </w:rPr>
      </w:pPr>
    </w:p>
    <w:p w14:paraId="1639ECAE">
      <w:pPr>
        <w:tabs>
          <w:tab w:val="left" w:pos="3290"/>
        </w:tabs>
        <w:rPr>
          <w:rFonts w:ascii="Cambria" w:hAnsi="Cambria" w:cs="Cambria"/>
          <w:iCs/>
          <w:color w:val="000000"/>
        </w:rPr>
      </w:pPr>
      <w:r>
        <w:rPr>
          <w:rFonts w:ascii="Cambria" w:hAnsi="Cambria" w:cs="Cambria"/>
          <w:iCs/>
          <w:color w:val="000000"/>
        </w:rPr>
        <w:t xml:space="preserve"> </w:t>
      </w:r>
      <w:r>
        <w:rPr>
          <w:rFonts w:ascii="Cambria" w:hAnsi="Cambria" w:cs="Cambria"/>
          <w:iCs/>
          <w:color w:val="000000"/>
          <w:lang w:val="sr-Latn-ME"/>
        </w:rPr>
        <w:t xml:space="preserve">       </w:t>
      </w:r>
      <w:r>
        <w:rPr>
          <w:rFonts w:ascii="Cambria" w:hAnsi="Cambria" w:cs="Cambria"/>
          <w:iCs/>
          <w:color w:val="000000"/>
        </w:rPr>
        <w:t xml:space="preserve">Član komisije </w:t>
      </w:r>
      <w:r>
        <w:rPr>
          <w:rFonts w:ascii="Cambria" w:hAnsi="Cambria" w:cs="Cambria"/>
        </w:rPr>
        <w:t>za sprovođenje postupka javne nabavk</w:t>
      </w:r>
      <w:r>
        <w:rPr>
          <w:rFonts w:ascii="Cambria" w:hAnsi="Cambria" w:cs="Cambria"/>
          <w:iCs/>
          <w:color w:val="000000"/>
        </w:rPr>
        <w:t>e, Dejan Mar</w:t>
      </w:r>
      <w:r>
        <w:rPr>
          <w:rFonts w:ascii="Cambria" w:hAnsi="Cambria" w:cs="Cambria"/>
          <w:iCs/>
          <w:color w:val="000000"/>
          <w:lang w:val="sr-Latn-ME"/>
        </w:rPr>
        <w:t>k</w:t>
      </w:r>
      <w:r>
        <w:rPr>
          <w:rFonts w:ascii="Cambria" w:hAnsi="Cambria" w:cs="Cambria"/>
          <w:iCs/>
          <w:color w:val="000000"/>
        </w:rPr>
        <w:t>ović, dipl. pravnik</w:t>
      </w:r>
    </w:p>
    <w:p w14:paraId="2EC87B7D">
      <w:pPr>
        <w:tabs>
          <w:tab w:val="left" w:pos="3290"/>
        </w:tabs>
        <w:rPr>
          <w:rFonts w:ascii="Cambria" w:hAnsi="Cambria" w:cs="Cambria"/>
          <w:iCs/>
          <w:color w:val="000000"/>
        </w:rPr>
      </w:pPr>
    </w:p>
    <w:p w14:paraId="0EFA0920">
      <w:pPr>
        <w:tabs>
          <w:tab w:val="left" w:pos="3290"/>
        </w:tabs>
        <w:ind w:firstLine="1134"/>
        <w:jc w:val="right"/>
        <w:rPr>
          <w:rFonts w:ascii="Cambria" w:hAnsi="Cambria" w:cs="Cambria"/>
          <w:lang w:val="sr-Latn-ME"/>
        </w:rPr>
      </w:pPr>
      <w:r>
        <w:rPr>
          <w:rFonts w:ascii="Cambria" w:hAnsi="Cambria" w:cs="Cambria"/>
          <w:iCs/>
          <w:color w:val="000000"/>
        </w:rPr>
        <w:t>__________________</w:t>
      </w:r>
      <w:r>
        <w:rPr>
          <w:rFonts w:ascii="Cambria" w:hAnsi="Cambria" w:cs="Cambria"/>
          <w:lang w:val="sr-Latn-ME"/>
        </w:rPr>
        <w:t xml:space="preserve">                                                                                                                                                                           </w:t>
      </w:r>
      <w:r>
        <w:rPr>
          <w:rFonts w:ascii="Cambria" w:hAnsi="Cambria" w:cs="Cambria"/>
          <w:iCs/>
          <w:color w:val="000000"/>
          <w:lang w:val="sr-Latn-ME"/>
        </w:rPr>
        <w:t>s.r.</w:t>
      </w:r>
    </w:p>
    <w:p w14:paraId="550C6276">
      <w:pPr>
        <w:rPr>
          <w:color w:val="000000"/>
        </w:rPr>
      </w:pPr>
    </w:p>
    <w:p w14:paraId="19A48B3A">
      <w:pPr>
        <w:ind w:firstLine="1134"/>
        <w:jc w:val="right"/>
        <w:rPr>
          <w:rFonts w:ascii="Cambria" w:hAnsi="Cambria"/>
          <w:color w:val="000000"/>
          <w:u w:val="single"/>
        </w:rPr>
      </w:pPr>
      <w:r>
        <w:rPr>
          <w:rFonts w:ascii="Arial" w:hAnsi="Arial" w:eastAsia="Calibri" w:cs="Arial"/>
          <w:color w:val="000000"/>
          <w:sz w:val="20"/>
          <w:szCs w:val="20"/>
        </w:rPr>
        <w:t xml:space="preserve">                                                                                                                        </w:t>
      </w:r>
    </w:p>
    <w:p w14:paraId="48213BDC">
      <w:pPr>
        <w:keepNext/>
        <w:keepLines/>
        <w:pBdr>
          <w:top w:val="single" w:color="auto" w:sz="4" w:space="1"/>
          <w:left w:val="single" w:color="auto" w:sz="4" w:space="4"/>
          <w:bottom w:val="single" w:color="auto" w:sz="4" w:space="1"/>
          <w:right w:val="single" w:color="auto" w:sz="4" w:space="4"/>
        </w:pBdr>
        <w:shd w:val="clear" w:color="auto" w:fill="D9D9D9"/>
        <w:spacing w:before="240"/>
        <w:outlineLvl w:val="0"/>
        <w:rPr>
          <w:rFonts w:ascii="Cambria" w:hAnsi="Cambria"/>
          <w:b/>
          <w:iCs/>
          <w:szCs w:val="28"/>
          <w:lang w:val="sr-Latn-ME"/>
        </w:rPr>
      </w:pPr>
      <w:bookmarkStart w:id="0" w:name="_Toc62730568"/>
      <w:r>
        <w:rPr>
          <w:rFonts w:ascii="Cambria" w:hAnsi="Cambria"/>
          <w:b/>
          <w:szCs w:val="28"/>
          <w:lang w:val="sr-Latn-ME"/>
        </w:rPr>
        <w:t>UPUTSTVO O PRAVNOM SREDSTVU</w:t>
      </w:r>
      <w:bookmarkEnd w:id="0"/>
    </w:p>
    <w:p w14:paraId="666401E8">
      <w:pPr>
        <w:tabs>
          <w:tab w:val="left" w:pos="5760"/>
        </w:tabs>
        <w:jc w:val="center"/>
        <w:rPr>
          <w:rFonts w:ascii="Cambria" w:hAnsi="Cambria" w:cs="Arial"/>
          <w:color w:val="000000"/>
          <w:lang w:val="sr-Latn-ME"/>
        </w:rPr>
      </w:pPr>
    </w:p>
    <w:p w14:paraId="0E6F8BB8">
      <w:pPr>
        <w:tabs>
          <w:tab w:val="left" w:pos="5760"/>
        </w:tabs>
        <w:ind w:firstLine="567"/>
        <w:jc w:val="both"/>
        <w:rPr>
          <w:rFonts w:ascii="Cambria" w:hAnsi="Cambria"/>
          <w:color w:val="000000"/>
        </w:rPr>
      </w:pPr>
    </w:p>
    <w:p w14:paraId="545AD402">
      <w:pPr>
        <w:tabs>
          <w:tab w:val="left" w:pos="5760"/>
        </w:tabs>
        <w:ind w:firstLine="567"/>
        <w:jc w:val="both"/>
        <w:rPr>
          <w:rFonts w:ascii="Cambria" w:hAnsi="Cambria"/>
          <w:color w:val="000000"/>
        </w:rPr>
      </w:pPr>
    </w:p>
    <w:p w14:paraId="7C5188BE">
      <w:pPr>
        <w:tabs>
          <w:tab w:val="left" w:pos="5760"/>
        </w:tabs>
        <w:ind w:firstLine="567"/>
        <w:jc w:val="both"/>
        <w:rPr>
          <w:rFonts w:ascii="Cambria" w:hAnsi="Cambria"/>
          <w:color w:val="000000"/>
        </w:rPr>
      </w:pPr>
      <w:r>
        <w:rPr>
          <w:rFonts w:ascii="Cambria" w:hAnsi="Cambria"/>
          <w:color w:val="000000"/>
        </w:rPr>
        <w:t xml:space="preserve">Privredni subjekat može da izjavi žalbu protiv ove tenderske dokumentacije Komisiji za zaštitu prava </w:t>
      </w:r>
      <w:r>
        <w:rPr>
          <w:rFonts w:ascii="Cambria" w:hAnsi="Cambria" w:cs="TimesNewRoman" w:eastAsiaTheme="minorHAnsi"/>
        </w:rPr>
        <w:t>u roku od deset dana od dana objavljivanja, odnosno dostavljanja tenderske dokumentacije.</w:t>
      </w:r>
    </w:p>
    <w:p w14:paraId="5B928374">
      <w:pPr>
        <w:tabs>
          <w:tab w:val="left" w:pos="5760"/>
        </w:tabs>
        <w:jc w:val="both"/>
        <w:rPr>
          <w:rFonts w:ascii="Cambria" w:hAnsi="Cambria"/>
          <w:color w:val="000000"/>
        </w:rPr>
      </w:pPr>
    </w:p>
    <w:p w14:paraId="7167DBF5">
      <w:pPr>
        <w:autoSpaceDE w:val="0"/>
        <w:autoSpaceDN w:val="0"/>
        <w:adjustRightInd w:val="0"/>
        <w:ind w:firstLine="567"/>
        <w:jc w:val="both"/>
        <w:rPr>
          <w:rFonts w:ascii="Cambria" w:hAnsi="Cambria"/>
          <w:color w:val="000000"/>
        </w:rPr>
      </w:pPr>
      <w:r>
        <w:rPr>
          <w:rFonts w:ascii="Cambria" w:hAnsi="Cambria"/>
          <w:color w:val="000000"/>
        </w:rPr>
        <w:t>Žalba se izjavljuje preko naručioca neposredno putem ESJN-a. Žalba koja nije podnesena na naprijed predviđeni način biće odbijena kao nedozvoljena.</w:t>
      </w:r>
    </w:p>
    <w:p w14:paraId="444DC6DD">
      <w:pPr>
        <w:autoSpaceDE w:val="0"/>
        <w:autoSpaceDN w:val="0"/>
        <w:adjustRightInd w:val="0"/>
        <w:ind w:firstLine="567"/>
        <w:jc w:val="both"/>
        <w:rPr>
          <w:rFonts w:ascii="Cambria" w:hAnsi="Cambria"/>
          <w:color w:val="000000"/>
        </w:rPr>
      </w:pPr>
    </w:p>
    <w:p w14:paraId="34E66C4E">
      <w:pPr>
        <w:autoSpaceDE w:val="0"/>
        <w:autoSpaceDN w:val="0"/>
        <w:adjustRightInd w:val="0"/>
        <w:ind w:firstLine="567"/>
        <w:jc w:val="both"/>
        <w:rPr>
          <w:rFonts w:ascii="Cambria" w:hAnsi="Cambria"/>
          <w:color w:val="000000"/>
        </w:rPr>
      </w:pPr>
      <w:r>
        <w:rPr>
          <w:rFonts w:ascii="Cambria" w:hAnsi="Cambria"/>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8EC03AF">
      <w:pPr>
        <w:tabs>
          <w:tab w:val="left" w:pos="5760"/>
        </w:tabs>
        <w:ind w:firstLine="567"/>
        <w:jc w:val="both"/>
        <w:rPr>
          <w:rFonts w:ascii="Cambria" w:hAnsi="Cambria"/>
          <w:color w:val="000000"/>
        </w:rPr>
      </w:pPr>
    </w:p>
    <w:p w14:paraId="1D2BA473">
      <w:pPr>
        <w:tabs>
          <w:tab w:val="left" w:pos="5760"/>
        </w:tabs>
        <w:ind w:firstLine="567"/>
        <w:jc w:val="both"/>
        <w:rPr>
          <w:rFonts w:ascii="Cambria" w:hAnsi="Cambria"/>
          <w:color w:val="000000"/>
        </w:rPr>
      </w:pPr>
      <w:r>
        <w:rPr>
          <w:rFonts w:ascii="Cambria" w:hAnsi="Cambria"/>
          <w:color w:val="000000"/>
        </w:rPr>
        <w:t>Ukoliko je predmet nabavke podijeljen po partijama, a žalba se odnosi samo na određenu/e partiju/e, naknada se plaća u iznosu 1% od procijenjene vrijednosti javne nabavke te/tih partije/a.</w:t>
      </w:r>
    </w:p>
    <w:p w14:paraId="3517F6A5">
      <w:pPr>
        <w:tabs>
          <w:tab w:val="left" w:pos="5760"/>
        </w:tabs>
        <w:ind w:firstLine="567"/>
        <w:jc w:val="both"/>
        <w:rPr>
          <w:rFonts w:ascii="Cambria" w:hAnsi="Cambria"/>
          <w:color w:val="000000"/>
        </w:rPr>
      </w:pPr>
    </w:p>
    <w:p w14:paraId="24C69E12">
      <w:pPr>
        <w:tabs>
          <w:tab w:val="left" w:pos="5760"/>
        </w:tabs>
        <w:ind w:firstLine="567"/>
        <w:jc w:val="both"/>
        <w:rPr>
          <w:rFonts w:ascii="Cambria" w:hAnsi="Cambria"/>
          <w:color w:val="000000"/>
          <w:sz w:val="22"/>
          <w:szCs w:val="22"/>
          <w:lang w:val="sr-Latn-ME"/>
        </w:rPr>
      </w:pPr>
      <w:r>
        <w:rPr>
          <w:rFonts w:ascii="Cambria" w:hAnsi="Cambria"/>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Cambria" w:hAnsi="Cambria"/>
          <w:color w:val="0000FF"/>
          <w:sz w:val="22"/>
          <w:szCs w:val="22"/>
          <w:u w:val="single"/>
          <w:lang w:val="sr-Latn-ME"/>
        </w:rPr>
        <w:t>http://www.kontrola-nabavki.me/</w:t>
      </w:r>
      <w:r>
        <w:rPr>
          <w:rFonts w:ascii="Cambria" w:hAnsi="Cambria"/>
          <w:color w:val="0000FF"/>
          <w:sz w:val="22"/>
          <w:szCs w:val="22"/>
          <w:u w:val="single"/>
          <w:lang w:val="sr-Latn-ME"/>
        </w:rPr>
        <w:fldChar w:fldCharType="end"/>
      </w:r>
      <w:r>
        <w:rPr>
          <w:rFonts w:ascii="Cambria" w:hAnsi="Cambria"/>
          <w:color w:val="000000"/>
          <w:sz w:val="22"/>
          <w:szCs w:val="22"/>
          <w:lang w:val="sr-Latn-ME"/>
        </w:rPr>
        <w:t>.“.</w:t>
      </w:r>
    </w:p>
    <w:p w14:paraId="53156499">
      <w:pPr>
        <w:tabs>
          <w:tab w:val="left" w:pos="5760"/>
        </w:tabs>
        <w:ind w:firstLine="567"/>
        <w:jc w:val="both"/>
        <w:rPr>
          <w:rFonts w:ascii="Cambria" w:hAnsi="Cambria" w:cs="Arial"/>
          <w:color w:val="000000"/>
          <w:lang w:val="sr-Latn-ME"/>
        </w:rPr>
      </w:pPr>
    </w:p>
    <w:p w14:paraId="14429D44">
      <w:pPr>
        <w:tabs>
          <w:tab w:val="left" w:pos="5760"/>
        </w:tabs>
        <w:ind w:firstLine="567"/>
        <w:jc w:val="both"/>
        <w:rPr>
          <w:rFonts w:ascii="Cambria" w:hAnsi="Cambria"/>
          <w:color w:val="000000"/>
        </w:rPr>
      </w:pPr>
    </w:p>
    <w:p w14:paraId="50AF0294">
      <w:pPr>
        <w:tabs>
          <w:tab w:val="left" w:pos="5760"/>
        </w:tabs>
        <w:ind w:firstLine="567"/>
        <w:jc w:val="both"/>
        <w:rPr>
          <w:rFonts w:ascii="Cambria" w:hAnsi="Cambria"/>
          <w:color w:val="000000"/>
        </w:rPr>
      </w:pPr>
    </w:p>
    <w:p w14:paraId="6534160C">
      <w:pPr>
        <w:spacing w:after="160" w:line="259" w:lineRule="auto"/>
        <w:rPr>
          <w:rFonts w:ascii="Cambria" w:hAnsi="Cambria" w:eastAsiaTheme="minorHAnsi" w:cstheme="minorBidi"/>
          <w:sz w:val="22"/>
          <w:szCs w:val="22"/>
        </w:rPr>
      </w:pPr>
    </w:p>
    <w:p w14:paraId="61B5A40C">
      <w:pPr>
        <w:rPr>
          <w:bCs/>
          <w:color w:val="000000"/>
          <w:shd w:val="clear" w:color="auto" w:fill="FFFFFF"/>
        </w:rPr>
      </w:pPr>
    </w:p>
    <w:p w14:paraId="3EAB9E4D">
      <w:pPr>
        <w:rPr>
          <w:bCs/>
          <w:color w:val="000000"/>
          <w:shd w:val="clear" w:color="auto" w:fill="FFFFFF"/>
        </w:rPr>
      </w:pPr>
    </w:p>
    <w:p w14:paraId="06C53FD4">
      <w:pPr>
        <w:spacing w:after="160" w:line="259" w:lineRule="auto"/>
        <w:rPr>
          <w:rFonts w:ascii="Cambria" w:hAnsi="Cambria" w:eastAsiaTheme="minorHAnsi" w:cstheme="minorBidi"/>
          <w:sz w:val="22"/>
          <w:szCs w:val="22"/>
        </w:rPr>
      </w:pPr>
    </w:p>
    <w:p w14:paraId="772B5595">
      <w:pPr>
        <w:rPr>
          <w:bCs/>
          <w:color w:val="000000"/>
          <w:shd w:val="clear" w:color="auto" w:fill="FFFFFF"/>
        </w:rPr>
      </w:pPr>
    </w:p>
    <w:p w14:paraId="4DD59952">
      <w:pPr>
        <w:rPr>
          <w:bCs/>
          <w:color w:val="000000"/>
          <w:shd w:val="clear" w:color="auto" w:fill="FFFFFF"/>
        </w:rPr>
      </w:pPr>
    </w:p>
    <w:p w14:paraId="0CE0D52D">
      <w:pPr>
        <w:rPr>
          <w:bCs/>
          <w:color w:val="000000"/>
          <w:shd w:val="clear" w:color="auto" w:fill="FFFFFF"/>
        </w:rPr>
      </w:pPr>
    </w:p>
    <w:p w14:paraId="7CC9EF43">
      <w:pPr>
        <w:rPr>
          <w:bCs/>
          <w:color w:val="000000"/>
          <w:shd w:val="clear" w:color="auto" w:fill="FFFFFF"/>
        </w:rPr>
      </w:pPr>
    </w:p>
    <w:p w14:paraId="63D2689F">
      <w:pPr>
        <w:rPr>
          <w:bCs/>
          <w:color w:val="000000"/>
          <w:shd w:val="clear" w:color="auto" w:fill="FFFFFF"/>
        </w:rPr>
      </w:pPr>
    </w:p>
    <w:p w14:paraId="608783BB">
      <w:pPr>
        <w:rPr>
          <w:bCs/>
          <w:color w:val="000000"/>
          <w:shd w:val="clear" w:color="auto" w:fill="FFFFFF"/>
        </w:rPr>
      </w:pPr>
    </w:p>
    <w:sectPr>
      <w:footerReference r:id="rId4"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roma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TimesNewRoman">
    <w:altName w:val="Times New Roman"/>
    <w:panose1 w:val="00000000000000000000"/>
    <w:charset w:val="EE"/>
    <w:family w:val="auto"/>
    <w:pitch w:val="default"/>
    <w:sig w:usb0="00000000" w:usb1="00000000" w:usb2="00000000" w:usb3="00000000" w:csb0="00000002"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0619580"/>
    </w:sdtPr>
    <w:sdtContent>
      <w:sdt>
        <w:sdtPr>
          <w:id w:val="1728636285"/>
        </w:sdtPr>
        <w:sdtContent>
          <w:p w14:paraId="75F3D557">
            <w:pPr>
              <w:pStyle w:val="6"/>
              <w:jc w:val="center"/>
            </w:pPr>
            <w:r>
              <w:t xml:space="preserve">strana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od </w:t>
            </w:r>
            <w:r>
              <w:rPr>
                <w:b/>
                <w:bCs/>
              </w:rPr>
              <w:fldChar w:fldCharType="begin"/>
            </w:r>
            <w:r>
              <w:rPr>
                <w:b/>
                <w:bCs/>
              </w:rPr>
              <w:instrText xml:space="preserve"> NUMPAGES  </w:instrText>
            </w:r>
            <w:r>
              <w:rPr>
                <w:b/>
                <w:bCs/>
              </w:rPr>
              <w:fldChar w:fldCharType="separate"/>
            </w:r>
            <w:r>
              <w:rPr>
                <w:b/>
                <w:bCs/>
              </w:rPr>
              <w:t>9</w:t>
            </w:r>
            <w:r>
              <w:rPr>
                <w:b/>
                <w:bCs/>
              </w:rPr>
              <w:fldChar w:fldCharType="end"/>
            </w:r>
          </w:p>
        </w:sdtContent>
      </w:sdt>
    </w:sdtContent>
  </w:sdt>
  <w:p w14:paraId="2D8BBED6">
    <w:pPr>
      <w:pStyle w:val="6"/>
    </w:pPr>
  </w:p>
  <w:p w14:paraId="1AF829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7EE0A8B6">
      <w:pPr>
        <w:pStyle w:val="8"/>
        <w:jc w:val="both"/>
        <w:rPr>
          <w:rFonts w:ascii="Arial" w:hAnsi="Arial" w:cs="Arial"/>
          <w:sz w:val="14"/>
          <w:szCs w:val="16"/>
          <w:lang w:val="sr-Latn-ME"/>
        </w:rPr>
      </w:pPr>
      <w:r>
        <w:rPr>
          <w:rStyle w:val="7"/>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14:paraId="50926268">
      <w:pPr>
        <w:pStyle w:val="8"/>
        <w:jc w:val="both"/>
        <w:rPr>
          <w:rFonts w:ascii="Arial" w:hAnsi="Arial" w:cs="Arial"/>
          <w:sz w:val="14"/>
          <w:szCs w:val="16"/>
          <w:lang w:val="sr-Latn-ME"/>
        </w:rPr>
      </w:pPr>
      <w:r>
        <w:rPr>
          <w:rStyle w:val="7"/>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14:paraId="1CB44528">
      <w:pPr>
        <w:pStyle w:val="8"/>
        <w:jc w:val="both"/>
        <w:rPr>
          <w:rFonts w:ascii="Arial" w:hAnsi="Arial" w:cs="Arial"/>
          <w:sz w:val="14"/>
          <w:szCs w:val="16"/>
          <w:lang w:val="sr-Latn-ME"/>
        </w:rPr>
      </w:pPr>
      <w:r>
        <w:rPr>
          <w:rStyle w:val="7"/>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90D5AEB"/>
    <w:multiLevelType w:val="multilevel"/>
    <w:tmpl w:val="390D5AEB"/>
    <w:lvl w:ilvl="0" w:tentative="0">
      <w:start w:val="4"/>
      <w:numFmt w:val="decimal"/>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B7D2D75"/>
    <w:multiLevelType w:val="multilevel"/>
    <w:tmpl w:val="4B7D2D75"/>
    <w:lvl w:ilvl="0" w:tentative="0">
      <w:start w:val="0"/>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4">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5">
    <w:nsid w:val="54CE31D7"/>
    <w:multiLevelType w:val="multilevel"/>
    <w:tmpl w:val="54CE31D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7">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7BF66047"/>
    <w:multiLevelType w:val="multilevel"/>
    <w:tmpl w:val="7BF66047"/>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 w:numId="2">
    <w:abstractNumId w:val="1"/>
  </w:num>
  <w:num w:numId="3">
    <w:abstractNumId w:val="4"/>
  </w:num>
  <w:num w:numId="4">
    <w:abstractNumId w:val="6"/>
  </w:num>
  <w:num w:numId="5">
    <w:abstractNumId w:val="7"/>
  </w:num>
  <w:num w:numId="6">
    <w:abstractNumId w:val="8"/>
  </w:num>
  <w:num w:numId="7">
    <w:abstractNumId w:val="5"/>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hyphenationZone w:val="425"/>
  <w:noPunctuationKerning w:val="1"/>
  <w:characterSpacingControl w:val="doNotCompress"/>
  <w:footnotePr>
    <w:footnote w:id="6"/>
    <w:footnote w:id="7"/>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14B5"/>
    <w:rsid w:val="00052C39"/>
    <w:rsid w:val="000573FF"/>
    <w:rsid w:val="00065E05"/>
    <w:rsid w:val="00070BD3"/>
    <w:rsid w:val="0007146B"/>
    <w:rsid w:val="00073A13"/>
    <w:rsid w:val="000B5A81"/>
    <w:rsid w:val="000C462F"/>
    <w:rsid w:val="000F77FB"/>
    <w:rsid w:val="00140792"/>
    <w:rsid w:val="00172A27"/>
    <w:rsid w:val="001A0E32"/>
    <w:rsid w:val="001D137C"/>
    <w:rsid w:val="001D40FC"/>
    <w:rsid w:val="001E49C0"/>
    <w:rsid w:val="001F6AE1"/>
    <w:rsid w:val="002329E9"/>
    <w:rsid w:val="00234F2D"/>
    <w:rsid w:val="00254AF7"/>
    <w:rsid w:val="00257C43"/>
    <w:rsid w:val="00264F5D"/>
    <w:rsid w:val="002933C0"/>
    <w:rsid w:val="002C1E43"/>
    <w:rsid w:val="003015B1"/>
    <w:rsid w:val="00314AED"/>
    <w:rsid w:val="00320292"/>
    <w:rsid w:val="00323C1D"/>
    <w:rsid w:val="00362686"/>
    <w:rsid w:val="003A2294"/>
    <w:rsid w:val="003B7010"/>
    <w:rsid w:val="003E4245"/>
    <w:rsid w:val="003F4153"/>
    <w:rsid w:val="003F4E88"/>
    <w:rsid w:val="004177BC"/>
    <w:rsid w:val="0043116F"/>
    <w:rsid w:val="0044551B"/>
    <w:rsid w:val="004506F3"/>
    <w:rsid w:val="00453D2E"/>
    <w:rsid w:val="004549EE"/>
    <w:rsid w:val="0046124E"/>
    <w:rsid w:val="004731AA"/>
    <w:rsid w:val="004D582F"/>
    <w:rsid w:val="004D70C5"/>
    <w:rsid w:val="004E60CA"/>
    <w:rsid w:val="00501003"/>
    <w:rsid w:val="0058206F"/>
    <w:rsid w:val="005A0FF0"/>
    <w:rsid w:val="005F76B8"/>
    <w:rsid w:val="00601ABD"/>
    <w:rsid w:val="0066708C"/>
    <w:rsid w:val="006A75AD"/>
    <w:rsid w:val="006D69A0"/>
    <w:rsid w:val="006F7712"/>
    <w:rsid w:val="00750950"/>
    <w:rsid w:val="00760748"/>
    <w:rsid w:val="00773706"/>
    <w:rsid w:val="007A55D0"/>
    <w:rsid w:val="007C3440"/>
    <w:rsid w:val="007C3493"/>
    <w:rsid w:val="0080655D"/>
    <w:rsid w:val="008120BF"/>
    <w:rsid w:val="0087084A"/>
    <w:rsid w:val="00873F15"/>
    <w:rsid w:val="008752F0"/>
    <w:rsid w:val="008801F5"/>
    <w:rsid w:val="008921A6"/>
    <w:rsid w:val="008A4417"/>
    <w:rsid w:val="008D7444"/>
    <w:rsid w:val="008F6FB5"/>
    <w:rsid w:val="00910573"/>
    <w:rsid w:val="00923998"/>
    <w:rsid w:val="009419B3"/>
    <w:rsid w:val="0095001C"/>
    <w:rsid w:val="00952987"/>
    <w:rsid w:val="00992E14"/>
    <w:rsid w:val="00997F15"/>
    <w:rsid w:val="009B12B6"/>
    <w:rsid w:val="009B55A9"/>
    <w:rsid w:val="009B5A2F"/>
    <w:rsid w:val="009E56D7"/>
    <w:rsid w:val="00A12C50"/>
    <w:rsid w:val="00A602D4"/>
    <w:rsid w:val="00AD6B2C"/>
    <w:rsid w:val="00AF38D1"/>
    <w:rsid w:val="00B4292C"/>
    <w:rsid w:val="00B55559"/>
    <w:rsid w:val="00B56242"/>
    <w:rsid w:val="00B60D76"/>
    <w:rsid w:val="00B911CA"/>
    <w:rsid w:val="00C2100F"/>
    <w:rsid w:val="00C2384A"/>
    <w:rsid w:val="00C66B70"/>
    <w:rsid w:val="00C8635B"/>
    <w:rsid w:val="00C9237C"/>
    <w:rsid w:val="00C957AF"/>
    <w:rsid w:val="00D0384E"/>
    <w:rsid w:val="00D163B4"/>
    <w:rsid w:val="00D16939"/>
    <w:rsid w:val="00D365CC"/>
    <w:rsid w:val="00D47EDE"/>
    <w:rsid w:val="00D912F3"/>
    <w:rsid w:val="00DA07BB"/>
    <w:rsid w:val="00DB4CCD"/>
    <w:rsid w:val="00DC2105"/>
    <w:rsid w:val="00DE08B2"/>
    <w:rsid w:val="00DE3A10"/>
    <w:rsid w:val="00EA2571"/>
    <w:rsid w:val="00EA7234"/>
    <w:rsid w:val="00EC1144"/>
    <w:rsid w:val="00EC1396"/>
    <w:rsid w:val="00EE45B5"/>
    <w:rsid w:val="00EF03A4"/>
    <w:rsid w:val="00EF3A71"/>
    <w:rsid w:val="00F051C6"/>
    <w:rsid w:val="00F40D1C"/>
    <w:rsid w:val="00F8070B"/>
    <w:rsid w:val="00FB01ED"/>
    <w:rsid w:val="00FB7056"/>
    <w:rsid w:val="00FB79F7"/>
    <w:rsid w:val="00FC3312"/>
    <w:rsid w:val="00FC7CDC"/>
    <w:rsid w:val="00FD4045"/>
    <w:rsid w:val="00FF0FC4"/>
    <w:rsid w:val="1EBA3651"/>
    <w:rsid w:val="24C01AE4"/>
    <w:rsid w:val="312341FA"/>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13"/>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8"/>
    <w:semiHidden/>
    <w:unhideWhenUsed/>
    <w:qFormat/>
    <w:uiPriority w:val="9"/>
    <w:pPr>
      <w:keepNext/>
      <w:keepLines/>
      <w:spacing w:before="40"/>
      <w:outlineLvl w:val="2"/>
    </w:pPr>
    <w:rPr>
      <w:rFonts w:asciiTheme="majorHAnsi" w:hAnsiTheme="majorHAnsi" w:eastAsiaTheme="majorEastAsia" w:cstheme="majorBidi"/>
      <w:color w:val="1F4E79" w:themeColor="accent1" w:themeShade="80"/>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7"/>
    <w:unhideWhenUsed/>
    <w:qFormat/>
    <w:uiPriority w:val="99"/>
    <w:pPr>
      <w:tabs>
        <w:tab w:val="center" w:pos="4536"/>
        <w:tab w:val="right" w:pos="9072"/>
      </w:tabs>
    </w:pPr>
  </w:style>
  <w:style w:type="character" w:styleId="7">
    <w:name w:val="footnote reference"/>
    <w:unhideWhenUsed/>
    <w:qFormat/>
    <w:uiPriority w:val="99"/>
    <w:rPr>
      <w:vertAlign w:val="superscript"/>
    </w:rPr>
  </w:style>
  <w:style w:type="paragraph" w:styleId="8">
    <w:name w:val="footnote text"/>
    <w:basedOn w:val="1"/>
    <w:link w:val="14"/>
    <w:unhideWhenUsed/>
    <w:qFormat/>
    <w:uiPriority w:val="99"/>
    <w:rPr>
      <w:rFonts w:ascii="Calibri" w:hAnsi="Calibri" w:eastAsia="Calibri"/>
      <w:sz w:val="20"/>
      <w:szCs w:val="20"/>
    </w:rPr>
  </w:style>
  <w:style w:type="paragraph" w:styleId="9">
    <w:name w:val="header"/>
    <w:basedOn w:val="1"/>
    <w:link w:val="16"/>
    <w:unhideWhenUsed/>
    <w:qFormat/>
    <w:uiPriority w:val="99"/>
    <w:pPr>
      <w:tabs>
        <w:tab w:val="center" w:pos="4536"/>
        <w:tab w:val="right" w:pos="9072"/>
      </w:tabs>
    </w:pPr>
  </w:style>
  <w:style w:type="character" w:styleId="10">
    <w:name w:val="Hyperlink"/>
    <w:qFormat/>
    <w:uiPriority w:val="99"/>
    <w:rPr>
      <w:color w:val="0000FF"/>
      <w:u w:val="single"/>
    </w:rPr>
  </w:style>
  <w:style w:type="table" w:styleId="11">
    <w:name w:val="Table Grid"/>
    <w:basedOn w:val="5"/>
    <w:qFormat/>
    <w:uiPriority w:val="59"/>
    <w:rPr>
      <w:sz w:val="24"/>
      <w:szCs w:val="24"/>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oc 1"/>
    <w:basedOn w:val="1"/>
    <w:next w:val="1"/>
    <w:autoRedefine/>
    <w:qFormat/>
    <w:uiPriority w:val="39"/>
    <w:pPr>
      <w:spacing w:after="100" w:line="276" w:lineRule="auto"/>
    </w:pPr>
    <w:rPr>
      <w:rFonts w:ascii="Calibri" w:hAnsi="Calibri" w:eastAsia="PMingLiU" w:cs="Calibri"/>
      <w:sz w:val="22"/>
      <w:szCs w:val="22"/>
      <w:lang w:eastAsia="zh-TW"/>
    </w:rPr>
  </w:style>
  <w:style w:type="character" w:customStyle="1" w:styleId="13">
    <w:name w:val="Heading 1 Char"/>
    <w:basedOn w:val="4"/>
    <w:link w:val="2"/>
    <w:qFormat/>
    <w:uiPriority w:val="9"/>
    <w:rPr>
      <w:rFonts w:asciiTheme="majorHAnsi" w:hAnsiTheme="majorHAnsi" w:eastAsiaTheme="majorEastAsia" w:cstheme="majorBidi"/>
      <w:color w:val="2E75B6" w:themeColor="accent1" w:themeShade="BF"/>
      <w:sz w:val="32"/>
      <w:szCs w:val="32"/>
      <w:lang w:val="en-US"/>
    </w:rPr>
  </w:style>
  <w:style w:type="character" w:customStyle="1" w:styleId="14">
    <w:name w:val="Footnote Text Char"/>
    <w:basedOn w:val="4"/>
    <w:link w:val="8"/>
    <w:qFormat/>
    <w:uiPriority w:val="99"/>
    <w:rPr>
      <w:rFonts w:ascii="Calibri" w:hAnsi="Calibri" w:eastAsia="Calibri" w:cs="Times New Roman"/>
      <w:sz w:val="20"/>
      <w:szCs w:val="20"/>
      <w:lang w:val="en-US"/>
    </w:rPr>
  </w:style>
  <w:style w:type="paragraph" w:styleId="15">
    <w:name w:val="No Spacing"/>
    <w:qFormat/>
    <w:uiPriority w:val="1"/>
    <w:rPr>
      <w:rFonts w:ascii="Calibri" w:hAnsi="Calibri" w:eastAsia="Calibri" w:cs="Calibri"/>
      <w:sz w:val="24"/>
      <w:szCs w:val="24"/>
      <w:lang w:val="en-US" w:eastAsia="en-US" w:bidi="ar-SA"/>
    </w:rPr>
  </w:style>
  <w:style w:type="character" w:customStyle="1" w:styleId="16">
    <w:name w:val="Header Char"/>
    <w:basedOn w:val="4"/>
    <w:link w:val="9"/>
    <w:qFormat/>
    <w:uiPriority w:val="99"/>
    <w:rPr>
      <w:rFonts w:ascii="Times New Roman" w:hAnsi="Times New Roman" w:eastAsia="Times New Roman" w:cs="Times New Roman"/>
      <w:sz w:val="24"/>
      <w:szCs w:val="24"/>
      <w:lang w:val="en-US"/>
    </w:rPr>
  </w:style>
  <w:style w:type="character" w:customStyle="1" w:styleId="17">
    <w:name w:val="Footer Char"/>
    <w:basedOn w:val="4"/>
    <w:link w:val="6"/>
    <w:qFormat/>
    <w:uiPriority w:val="99"/>
    <w:rPr>
      <w:rFonts w:ascii="Times New Roman" w:hAnsi="Times New Roman" w:eastAsia="Times New Roman" w:cs="Times New Roman"/>
      <w:sz w:val="24"/>
      <w:szCs w:val="24"/>
      <w:lang w:val="en-US"/>
    </w:rPr>
  </w:style>
  <w:style w:type="character" w:customStyle="1" w:styleId="18">
    <w:name w:val="Heading 3 Char"/>
    <w:basedOn w:val="4"/>
    <w:link w:val="3"/>
    <w:semiHidden/>
    <w:qFormat/>
    <w:uiPriority w:val="9"/>
    <w:rPr>
      <w:rFonts w:asciiTheme="majorHAnsi" w:hAnsiTheme="majorHAnsi" w:eastAsiaTheme="majorEastAsia" w:cstheme="majorBidi"/>
      <w:color w:val="1F4E79" w:themeColor="accent1" w:themeShade="80"/>
      <w:sz w:val="24"/>
      <w:szCs w:val="24"/>
      <w:lang w:val="en-US"/>
    </w:rPr>
  </w:style>
  <w:style w:type="paragraph" w:styleId="19">
    <w:name w:val="List Paragraph"/>
    <w:basedOn w:val="1"/>
    <w:link w:val="20"/>
    <w:qFormat/>
    <w:uiPriority w:val="34"/>
    <w:pPr>
      <w:spacing w:after="200" w:line="276" w:lineRule="auto"/>
      <w:ind w:left="720"/>
      <w:contextualSpacing/>
      <w:jc w:val="both"/>
    </w:pPr>
    <w:rPr>
      <w:rFonts w:ascii="Calibri" w:hAnsi="Calibri" w:eastAsia="Calibri"/>
      <w:szCs w:val="22"/>
    </w:rPr>
  </w:style>
  <w:style w:type="character" w:customStyle="1" w:styleId="20">
    <w:name w:val="List Paragraph Char"/>
    <w:link w:val="19"/>
    <w:qFormat/>
    <w:uiPriority w:val="34"/>
    <w:rPr>
      <w:rFonts w:ascii="Calibri" w:hAnsi="Calibri" w:eastAsia="Calibri" w:cs="Times New Roman"/>
      <w:sz w:val="24"/>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2076</Words>
  <Characters>11839</Characters>
  <Lines>98</Lines>
  <Paragraphs>27</Paragraphs>
  <TotalTime>0</TotalTime>
  <ScaleCrop>false</ScaleCrop>
  <LinksUpToDate>false</LinksUpToDate>
  <CharactersWithSpaces>13888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2025-12-30T08:26:00Z</dcterms:created>
  <dc:creator>Oliver Bodven</dc:creator>
  <cp:lastModifiedBy>Asus</cp:lastModifiedBy>
  <dcterms:modified xsi:type="dcterms:W3CDTF">2025-12-30T16:55:29Z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45A608CBED414530BD3A01F09A06EBB2_13</vt:lpwstr>
  </property>
</Properties>
</file>