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7D0A0D">
      <w:pPr>
        <w:tabs>
          <w:tab w:val="left" w:pos="1701"/>
          <w:tab w:val="left" w:pos="4820"/>
        </w:tabs>
        <w:jc w:val="both"/>
        <w:rPr>
          <w:rFonts w:ascii="Arial" w:hAnsi="Arial" w:cs="Arial"/>
          <w:color w:val="000000"/>
        </w:rPr>
      </w:pPr>
      <w:r>
        <w:rPr>
          <w:rFonts w:ascii="Arial" w:hAnsi="Arial" w:cs="Arial"/>
          <w:color w:val="000000"/>
        </w:rPr>
        <w:t>JPU LJUBICA V JOVANOVIĆ MAŠE BUDVA</w:t>
      </w:r>
    </w:p>
    <w:p w14:paraId="30F7657F">
      <w:pPr>
        <w:jc w:val="both"/>
        <w:rPr>
          <w:rFonts w:hint="default" w:ascii="Arial" w:hAnsi="Arial" w:cs="Arial"/>
          <w:lang w:val="sr-Latn-RS"/>
        </w:rPr>
      </w:pPr>
      <w:r>
        <w:rPr>
          <w:rFonts w:ascii="Arial" w:hAnsi="Arial" w:cs="Arial"/>
        </w:rPr>
        <w:t xml:space="preserve">Broj iz evidencije postupaka javnih nabavki: </w:t>
      </w:r>
      <w:r>
        <w:rPr>
          <w:rFonts w:ascii="Arial" w:hAnsi="Arial" w:cs="Arial"/>
          <w:color w:val="222222"/>
          <w:shd w:val="clear" w:color="auto" w:fill="FFFFFF"/>
        </w:rPr>
        <w:t xml:space="preserve"> </w:t>
      </w:r>
      <w:r>
        <w:rPr>
          <w:rFonts w:hint="default" w:ascii="Arial" w:hAnsi="Arial" w:cs="Arial"/>
          <w:color w:val="222222"/>
          <w:shd w:val="clear" w:color="auto" w:fill="FFFFFF"/>
          <w:lang w:val="sr-Latn-RS"/>
        </w:rPr>
        <w:t>01-238-3692</w:t>
      </w:r>
    </w:p>
    <w:p w14:paraId="1DFD8BA3">
      <w:pPr>
        <w:jc w:val="both"/>
        <w:rPr>
          <w:rFonts w:hint="default" w:ascii="Arial" w:hAnsi="Arial" w:cs="Arial"/>
          <w:color w:val="000000"/>
          <w:lang w:val="sr-Latn-RS"/>
        </w:rPr>
      </w:pPr>
      <w:r>
        <w:rPr>
          <w:rFonts w:ascii="Arial" w:hAnsi="Arial" w:cs="Arial"/>
          <w:color w:val="000000"/>
        </w:rPr>
        <w:t xml:space="preserve">Redni broj iz Plana javnih nabavki : </w:t>
      </w:r>
      <w:r>
        <w:rPr>
          <w:rFonts w:hint="default" w:ascii="Arial" w:hAnsi="Arial" w:cs="Arial"/>
          <w:color w:val="000000"/>
          <w:lang w:val="sr-Latn-RS"/>
        </w:rPr>
        <w:t>19</w:t>
      </w:r>
      <w:bookmarkStart w:id="18" w:name="_GoBack"/>
      <w:bookmarkEnd w:id="18"/>
    </w:p>
    <w:p w14:paraId="22E29F2B">
      <w:pPr>
        <w:jc w:val="both"/>
        <w:rPr>
          <w:rFonts w:ascii="Arial" w:hAnsi="Arial" w:cs="Arial"/>
          <w:b/>
          <w:bCs/>
          <w:color w:val="000000"/>
        </w:rPr>
      </w:pPr>
      <w:r>
        <w:rPr>
          <w:rFonts w:ascii="Arial" w:hAnsi="Arial" w:cs="Arial"/>
          <w:color w:val="000000"/>
        </w:rPr>
        <w:t>Budva, 2</w:t>
      </w:r>
      <w:r>
        <w:rPr>
          <w:rFonts w:hint="default" w:ascii="Arial" w:hAnsi="Arial" w:cs="Arial"/>
          <w:color w:val="000000"/>
          <w:lang w:val="sr-Latn-RS"/>
        </w:rPr>
        <w:t>6</w:t>
      </w:r>
      <w:r>
        <w:rPr>
          <w:rFonts w:ascii="Arial" w:hAnsi="Arial" w:cs="Arial"/>
          <w:color w:val="000000"/>
        </w:rPr>
        <w:t>.</w:t>
      </w:r>
      <w:r>
        <w:rPr>
          <w:rFonts w:hint="default" w:ascii="Arial" w:hAnsi="Arial" w:cs="Arial"/>
          <w:color w:val="000000"/>
          <w:lang w:val="sr-Latn-RS"/>
        </w:rPr>
        <w:t>12</w:t>
      </w:r>
      <w:r>
        <w:rPr>
          <w:rFonts w:ascii="Arial" w:hAnsi="Arial" w:cs="Arial"/>
          <w:color w:val="000000"/>
        </w:rPr>
        <w:t>.2025. god</w:t>
      </w:r>
    </w:p>
    <w:p w14:paraId="6B00FBE0">
      <w:pPr>
        <w:rPr>
          <w:rFonts w:ascii="Arial" w:hAnsi="Arial" w:cs="Arial"/>
        </w:rPr>
      </w:pPr>
    </w:p>
    <w:p w14:paraId="1FCBB69D">
      <w:pPr>
        <w:rPr>
          <w:rFonts w:ascii="Arial" w:hAnsi="Arial" w:cs="Arial"/>
        </w:rPr>
      </w:pPr>
    </w:p>
    <w:p w14:paraId="652970C9">
      <w:pPr>
        <w:rPr>
          <w:rFonts w:ascii="Arial" w:hAnsi="Arial" w:cs="Arial"/>
        </w:rPr>
      </w:pPr>
    </w:p>
    <w:p w14:paraId="01D8C15D">
      <w:pPr>
        <w:tabs>
          <w:tab w:val="left" w:pos="1276"/>
          <w:tab w:val="left" w:pos="3261"/>
        </w:tabs>
        <w:jc w:val="both"/>
        <w:rPr>
          <w:rFonts w:ascii="Arial" w:hAnsi="Arial" w:cs="Arial"/>
          <w:b/>
          <w:bCs/>
          <w:color w:val="000000"/>
        </w:rPr>
      </w:pPr>
      <w:r>
        <w:rPr>
          <w:rFonts w:ascii="Arial" w:hAnsi="Arial" w:cs="Arial"/>
        </w:rPr>
        <w:t xml:space="preserve">Na osnovu člana 53 stav 3 Zakona o javnim nabavkama („Službeni list CG“, br. 74/19 </w:t>
      </w:r>
      <w:r>
        <w:rPr>
          <w:rFonts w:hint="default" w:ascii="Arial" w:hAnsi="Arial" w:cs="Arial"/>
          <w:lang w:val="sr-Latn-RS"/>
        </w:rPr>
        <w:t>,</w:t>
      </w:r>
      <w:r>
        <w:rPr>
          <w:rFonts w:ascii="Arial" w:hAnsi="Arial" w:cs="Arial"/>
        </w:rPr>
        <w:t xml:space="preserve"> 3/23</w:t>
      </w:r>
      <w:r>
        <w:rPr>
          <w:rFonts w:hint="default" w:ascii="Arial" w:hAnsi="Arial" w:cs="Arial"/>
          <w:lang w:val="sr-Latn-RS"/>
        </w:rPr>
        <w:t>,84/24</w:t>
      </w:r>
      <w:r>
        <w:rPr>
          <w:rFonts w:ascii="Arial" w:hAnsi="Arial" w:cs="Arial"/>
        </w:rPr>
        <w:t>)JPU LJUBICA V JOVANOVIĆ MAŠE BUDVA  objavljuje</w:t>
      </w:r>
    </w:p>
    <w:p w14:paraId="737EC74D">
      <w:pPr>
        <w:tabs>
          <w:tab w:val="left" w:pos="1276"/>
          <w:tab w:val="left" w:pos="3261"/>
        </w:tabs>
        <w:jc w:val="both"/>
        <w:rPr>
          <w:rFonts w:ascii="Arial" w:hAnsi="Arial" w:cs="Arial"/>
          <w:b/>
          <w:bCs/>
          <w:color w:val="000000"/>
        </w:rPr>
      </w:pPr>
    </w:p>
    <w:p w14:paraId="61B0CFDB">
      <w:pPr>
        <w:tabs>
          <w:tab w:val="left" w:pos="1276"/>
          <w:tab w:val="left" w:pos="3261"/>
        </w:tabs>
        <w:jc w:val="both"/>
        <w:rPr>
          <w:rFonts w:ascii="Arial" w:hAnsi="Arial" w:cs="Arial"/>
          <w:b/>
          <w:bCs/>
          <w:color w:val="000000"/>
        </w:rPr>
      </w:pPr>
    </w:p>
    <w:p w14:paraId="5722F147">
      <w:pPr>
        <w:tabs>
          <w:tab w:val="left" w:pos="1276"/>
          <w:tab w:val="left" w:pos="3261"/>
        </w:tabs>
        <w:jc w:val="both"/>
        <w:rPr>
          <w:rFonts w:ascii="Arial" w:hAnsi="Arial" w:cs="Arial"/>
          <w:b/>
          <w:bCs/>
          <w:color w:val="000000"/>
        </w:rPr>
      </w:pPr>
    </w:p>
    <w:p w14:paraId="728F2022">
      <w:pPr>
        <w:tabs>
          <w:tab w:val="left" w:pos="1276"/>
          <w:tab w:val="left" w:pos="3261"/>
        </w:tabs>
        <w:jc w:val="both"/>
        <w:rPr>
          <w:rFonts w:ascii="Arial" w:hAnsi="Arial" w:cs="Arial"/>
          <w:b/>
          <w:bCs/>
          <w:color w:val="000000"/>
        </w:rPr>
      </w:pPr>
    </w:p>
    <w:p w14:paraId="77D0B567">
      <w:pPr>
        <w:tabs>
          <w:tab w:val="left" w:pos="1276"/>
          <w:tab w:val="left" w:pos="3261"/>
        </w:tabs>
        <w:jc w:val="both"/>
        <w:rPr>
          <w:rFonts w:ascii="Arial" w:hAnsi="Arial" w:cs="Arial"/>
          <w:b/>
          <w:bCs/>
          <w:color w:val="000000"/>
        </w:rPr>
      </w:pPr>
    </w:p>
    <w:p w14:paraId="1CCC36C4">
      <w:pPr>
        <w:tabs>
          <w:tab w:val="left" w:pos="1276"/>
          <w:tab w:val="left" w:pos="3261"/>
        </w:tabs>
        <w:jc w:val="both"/>
        <w:rPr>
          <w:rFonts w:ascii="Arial" w:hAnsi="Arial" w:cs="Arial"/>
        </w:rPr>
      </w:pPr>
      <w:r>
        <w:rPr>
          <w:rFonts w:ascii="Arial" w:hAnsi="Arial" w:cs="Arial"/>
          <w:b/>
          <w:bCs/>
          <w:color w:val="000000"/>
        </w:rPr>
        <w:tab/>
      </w:r>
    </w:p>
    <w:p w14:paraId="615DCAE7">
      <w:pPr>
        <w:keepNext/>
        <w:jc w:val="center"/>
        <w:outlineLvl w:val="0"/>
        <w:rPr>
          <w:rFonts w:ascii="Arial" w:hAnsi="Arial" w:cs="Arial"/>
          <w:b/>
          <w:bCs/>
          <w:color w:val="000000"/>
        </w:rPr>
      </w:pPr>
    </w:p>
    <w:p w14:paraId="663DE79E">
      <w:pPr>
        <w:jc w:val="center"/>
        <w:rPr>
          <w:rFonts w:ascii="Arial" w:hAnsi="Arial" w:cs="Arial"/>
          <w:b/>
          <w:bCs/>
          <w:color w:val="000000"/>
          <w:sz w:val="28"/>
          <w:szCs w:val="28"/>
        </w:rPr>
      </w:pPr>
      <w:r>
        <w:rPr>
          <w:rFonts w:ascii="Arial" w:hAnsi="Arial" w:cs="Arial"/>
          <w:b/>
          <w:bCs/>
          <w:color w:val="000000"/>
          <w:sz w:val="28"/>
          <w:szCs w:val="28"/>
        </w:rPr>
        <w:t>TENDERSKU DOKUMENTACIJU</w:t>
      </w:r>
    </w:p>
    <w:p w14:paraId="6FEB8138">
      <w:pPr>
        <w:jc w:val="center"/>
        <w:rPr>
          <w:rFonts w:ascii="Arial" w:hAnsi="Arial" w:cs="Arial"/>
          <w:b/>
          <w:bCs/>
          <w:color w:val="000000"/>
          <w:sz w:val="28"/>
          <w:szCs w:val="28"/>
        </w:rPr>
      </w:pPr>
      <w:r>
        <w:rPr>
          <w:rFonts w:ascii="Arial" w:hAnsi="Arial" w:cs="Arial"/>
          <w:b/>
          <w:bCs/>
          <w:color w:val="000000"/>
          <w:sz w:val="28"/>
          <w:szCs w:val="28"/>
        </w:rPr>
        <w:t>ZA OTVORENI POSTUPAK JAVNE NABAVKE</w:t>
      </w:r>
    </w:p>
    <w:p w14:paraId="23ABE03D">
      <w:pPr>
        <w:jc w:val="center"/>
        <w:rPr>
          <w:rFonts w:ascii="Arial" w:hAnsi="Arial" w:cs="Arial"/>
          <w:b/>
          <w:bCs/>
          <w:color w:val="000000"/>
          <w:sz w:val="28"/>
          <w:szCs w:val="28"/>
        </w:rPr>
      </w:pPr>
    </w:p>
    <w:p w14:paraId="645C0287">
      <w:pPr>
        <w:jc w:val="center"/>
        <w:rPr>
          <w:rFonts w:ascii="Arial" w:hAnsi="Arial" w:cs="Arial"/>
          <w:b/>
          <w:bCs/>
          <w:color w:val="000000"/>
          <w:sz w:val="28"/>
          <w:szCs w:val="28"/>
        </w:rPr>
      </w:pPr>
      <w:r>
        <w:rPr>
          <w:rFonts w:hint="default" w:ascii="Arial" w:hAnsi="Arial"/>
          <w:b/>
          <w:bCs/>
          <w:color w:val="000000"/>
          <w:sz w:val="28"/>
          <w:szCs w:val="28"/>
        </w:rPr>
        <w:t>Adaptacija prostorija vrtića u TQ Plaza</w:t>
      </w:r>
    </w:p>
    <w:p w14:paraId="38C945F8">
      <w:pPr>
        <w:jc w:val="center"/>
        <w:rPr>
          <w:rFonts w:ascii="Arial" w:hAnsi="Arial" w:cs="Arial"/>
          <w:b/>
          <w:bCs/>
          <w:color w:val="000000"/>
          <w:sz w:val="28"/>
          <w:szCs w:val="28"/>
        </w:rPr>
      </w:pPr>
    </w:p>
    <w:p w14:paraId="0EF18717">
      <w:pPr>
        <w:rPr>
          <w:rFonts w:ascii="Arial" w:hAnsi="Arial" w:cs="Arial"/>
        </w:rPr>
      </w:pPr>
    </w:p>
    <w:p w14:paraId="62D83314">
      <w:pPr>
        <w:jc w:val="both"/>
        <w:rPr>
          <w:rFonts w:ascii="Arial" w:hAnsi="Arial" w:cs="Arial"/>
          <w:color w:val="000000"/>
        </w:rPr>
      </w:pPr>
      <w:r>
        <w:rPr>
          <w:rFonts w:ascii="Arial" w:hAnsi="Arial" w:cs="Arial"/>
          <w:color w:val="000000"/>
        </w:rPr>
        <w:t>Predmet nabavke se nabavlja:</w:t>
      </w:r>
    </w:p>
    <w:p w14:paraId="1B2C692C">
      <w:pPr>
        <w:jc w:val="both"/>
        <w:rPr>
          <w:rFonts w:ascii="Arial" w:hAnsi="Arial" w:cs="Arial"/>
          <w:color w:val="000000"/>
        </w:rPr>
      </w:pPr>
    </w:p>
    <w:p w14:paraId="11CB8DD6">
      <w:pPr>
        <w:jc w:val="both"/>
        <w:rPr>
          <w:rFonts w:ascii="Arial" w:hAnsi="Arial" w:cs="Arial"/>
          <w:color w:val="000000"/>
        </w:rPr>
      </w:pPr>
      <m:oMath>
        <m:r>
          <w:rPr>
            <w:rFonts w:ascii="Cambria Math" w:hAnsi="Cambria Math" w:cs="Arial"/>
            <w:color w:val="000000"/>
          </w:rPr>
          <w:sym w:font="Wingdings" w:char="F078"/>
        </m:r>
      </m:oMath>
      <w:r>
        <w:rPr>
          <w:rFonts w:ascii="Arial" w:hAnsi="Arial" w:cs="Arial"/>
          <w:color w:val="000000"/>
        </w:rPr>
        <w:t xml:space="preserve">kao cjelina </w:t>
      </w:r>
    </w:p>
    <w:p w14:paraId="490CFDD8">
      <w:pPr>
        <w:jc w:val="both"/>
        <w:rPr>
          <w:rFonts w:ascii="Arial" w:hAnsi="Arial" w:cs="Arial"/>
          <w:color w:val="000000"/>
        </w:rPr>
      </w:pPr>
      <w:r>
        <w:rPr>
          <w:rFonts w:ascii="Arial" w:hAnsi="Arial" w:cs="Arial"/>
          <w:color w:val="000000"/>
        </w:rPr>
        <w:sym w:font="Wingdings" w:char="F06F"/>
      </w:r>
      <w:r>
        <w:rPr>
          <w:rFonts w:ascii="Arial" w:hAnsi="Arial" w:cs="Arial"/>
          <w:color w:val="000000"/>
        </w:rPr>
        <w:t>po partijama</w:t>
      </w:r>
    </w:p>
    <w:p w14:paraId="12731CAA">
      <w:pPr>
        <w:rPr>
          <w:rFonts w:ascii="Arial" w:hAnsi="Arial" w:cs="Arial"/>
          <w:color w:val="000000"/>
        </w:rPr>
      </w:pPr>
    </w:p>
    <w:p w14:paraId="651F6D63">
      <w:pPr>
        <w:rPr>
          <w:rFonts w:ascii="Arial" w:hAnsi="Arial" w:cs="Arial"/>
          <w:color w:val="000000"/>
        </w:rPr>
      </w:pPr>
    </w:p>
    <w:p w14:paraId="01B461AF">
      <w:pPr>
        <w:rPr>
          <w:rFonts w:ascii="Arial" w:hAnsi="Arial" w:cs="Arial"/>
          <w:color w:val="000000"/>
        </w:rPr>
      </w:pPr>
    </w:p>
    <w:p w14:paraId="00142D93">
      <w:pPr>
        <w:rPr>
          <w:rFonts w:ascii="Arial" w:hAnsi="Arial" w:cs="Arial"/>
          <w:color w:val="000000"/>
        </w:rPr>
      </w:pPr>
    </w:p>
    <w:p w14:paraId="21252052">
      <w:pPr>
        <w:rPr>
          <w:rFonts w:ascii="Arial" w:hAnsi="Arial" w:cs="Arial"/>
          <w:color w:val="000000"/>
        </w:rPr>
      </w:pPr>
    </w:p>
    <w:p w14:paraId="2855B1F1">
      <w:pPr>
        <w:rPr>
          <w:rFonts w:ascii="Arial" w:hAnsi="Arial" w:cs="Arial"/>
          <w:color w:val="000000"/>
        </w:rPr>
      </w:pPr>
    </w:p>
    <w:p w14:paraId="034ED230">
      <w:pPr>
        <w:rPr>
          <w:rFonts w:ascii="Arial" w:hAnsi="Arial" w:cs="Arial"/>
          <w:color w:val="000000"/>
          <w:lang w:val="sr-Latn-ME"/>
        </w:rPr>
      </w:pPr>
    </w:p>
    <w:p w14:paraId="2F72E1AB">
      <w:pPr>
        <w:rPr>
          <w:rFonts w:ascii="Arial" w:hAnsi="Arial" w:cs="Arial"/>
          <w:color w:val="000000"/>
          <w:lang w:val="sr-Latn-ME"/>
        </w:rPr>
      </w:pPr>
    </w:p>
    <w:p w14:paraId="2D605AB5">
      <w:pPr>
        <w:rPr>
          <w:rFonts w:ascii="Arial" w:hAnsi="Arial" w:cs="Arial"/>
          <w:color w:val="000000"/>
          <w:lang w:val="sr-Latn-ME"/>
        </w:rPr>
      </w:pPr>
    </w:p>
    <w:p w14:paraId="12546EBD">
      <w:pPr>
        <w:rPr>
          <w:rFonts w:ascii="Arial" w:hAnsi="Arial" w:cs="Arial"/>
          <w:color w:val="000000"/>
          <w:lang w:val="sr-Latn-ME"/>
        </w:rPr>
      </w:pPr>
    </w:p>
    <w:p w14:paraId="7C3BB2B1">
      <w:pPr>
        <w:rPr>
          <w:rFonts w:ascii="Arial" w:hAnsi="Arial" w:cs="Arial"/>
          <w:color w:val="000000"/>
          <w:lang w:val="sr-Latn-ME"/>
        </w:rPr>
      </w:pPr>
    </w:p>
    <w:p w14:paraId="529C2F3E">
      <w:pPr>
        <w:rPr>
          <w:rFonts w:ascii="Arial" w:hAnsi="Arial" w:cs="Arial"/>
          <w:color w:val="000000"/>
          <w:lang w:val="sr-Latn-ME"/>
        </w:rPr>
      </w:pPr>
    </w:p>
    <w:p w14:paraId="636D2AC0">
      <w:pPr>
        <w:rPr>
          <w:rFonts w:ascii="Arial" w:hAnsi="Arial" w:cs="Arial"/>
          <w:color w:val="000000"/>
          <w:lang w:val="sr-Latn-ME"/>
        </w:rPr>
      </w:pPr>
    </w:p>
    <w:p w14:paraId="071FEC46">
      <w:pPr>
        <w:rPr>
          <w:rFonts w:ascii="Arial" w:hAnsi="Arial" w:cs="Arial"/>
          <w:color w:val="000000"/>
          <w:lang w:val="sr-Latn-ME"/>
        </w:rPr>
      </w:pPr>
    </w:p>
    <w:p w14:paraId="4456B41E">
      <w:pPr>
        <w:rPr>
          <w:rFonts w:ascii="Arial" w:hAnsi="Arial" w:cs="Arial"/>
          <w:color w:val="000000"/>
          <w:lang w:val="sr-Latn-ME"/>
        </w:rPr>
      </w:pPr>
    </w:p>
    <w:p w14:paraId="4606DFD6">
      <w:pPr>
        <w:rPr>
          <w:rFonts w:ascii="Arial" w:hAnsi="Arial" w:cs="Arial"/>
          <w:color w:val="000000"/>
          <w:lang w:val="sr-Latn-ME"/>
        </w:rPr>
      </w:pPr>
    </w:p>
    <w:p w14:paraId="77FBD453">
      <w:pPr>
        <w:rPr>
          <w:rFonts w:ascii="Arial" w:hAnsi="Arial" w:cs="Arial"/>
          <w:color w:val="000000"/>
          <w:lang w:val="sr-Latn-ME"/>
        </w:rPr>
      </w:pPr>
    </w:p>
    <w:p w14:paraId="766F5B3B">
      <w:pPr>
        <w:rPr>
          <w:rFonts w:ascii="Arial" w:hAnsi="Arial" w:cs="Arial"/>
          <w:color w:val="000000"/>
          <w:lang w:val="sr-Latn-ME"/>
        </w:rPr>
      </w:pPr>
    </w:p>
    <w:p w14:paraId="6C6997F1">
      <w:pPr>
        <w:rPr>
          <w:rFonts w:ascii="Arial" w:hAnsi="Arial" w:cs="Arial"/>
          <w:color w:val="000000"/>
          <w:lang w:val="sr-Latn-ME"/>
        </w:rPr>
      </w:pPr>
    </w:p>
    <w:p w14:paraId="6E0C83C7">
      <w:pPr>
        <w:rPr>
          <w:rFonts w:ascii="Arial" w:hAnsi="Arial" w:cs="Arial"/>
          <w:color w:val="000000"/>
          <w:lang w:val="sr-Latn-ME"/>
        </w:rPr>
      </w:pPr>
    </w:p>
    <w:p w14:paraId="3C5114CB">
      <w:pPr>
        <w:rPr>
          <w:rFonts w:ascii="Arial" w:hAnsi="Arial" w:cs="Arial"/>
          <w:color w:val="000000"/>
          <w:lang w:val="sr-Latn-ME"/>
        </w:rPr>
      </w:pPr>
    </w:p>
    <w:p w14:paraId="358C8A83">
      <w:pPr>
        <w:rPr>
          <w:rFonts w:ascii="Arial" w:hAnsi="Arial" w:cs="Arial"/>
          <w:color w:val="000000"/>
          <w:lang w:val="sr-Latn-ME"/>
        </w:rPr>
      </w:pPr>
    </w:p>
    <w:p w14:paraId="5F9B9711">
      <w:pPr>
        <w:rPr>
          <w:rFonts w:ascii="Arial" w:hAnsi="Arial" w:cs="Arial"/>
          <w:color w:val="000000"/>
          <w:lang w:val="sr-Latn-ME"/>
        </w:rPr>
      </w:pPr>
    </w:p>
    <w:p w14:paraId="6119E564">
      <w:pPr>
        <w:rPr>
          <w:rFonts w:ascii="Arial" w:hAnsi="Arial" w:cs="Arial"/>
          <w:color w:val="000000"/>
          <w:lang w:val="sr-Latn-ME"/>
        </w:rPr>
      </w:pPr>
    </w:p>
    <w:p w14:paraId="1E182E47">
      <w:pPr>
        <w:rPr>
          <w:rFonts w:ascii="Arial" w:hAnsi="Arial" w:cs="Arial"/>
          <w:color w:val="000000"/>
          <w:lang w:val="sr-Latn-ME"/>
        </w:rPr>
      </w:pPr>
    </w:p>
    <w:p w14:paraId="267582BB">
      <w:pPr>
        <w:rPr>
          <w:rFonts w:ascii="Arial" w:hAnsi="Arial" w:cs="Arial"/>
          <w:color w:val="000000"/>
          <w:lang w:val="sr-Latn-ME"/>
        </w:rPr>
      </w:pPr>
    </w:p>
    <w:p w14:paraId="736E8B45">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color w:val="000000"/>
          <w:szCs w:val="32"/>
          <w:lang w:val="sr-Latn-ME"/>
        </w:rPr>
      </w:pPr>
      <w:bookmarkStart w:id="0" w:name="_Toc62730553"/>
      <w:r>
        <w:rPr>
          <w:rFonts w:ascii="Arial" w:hAnsi="Arial"/>
          <w:b/>
          <w:color w:val="000000"/>
          <w:szCs w:val="32"/>
          <w:lang w:val="sr-Latn-ME"/>
        </w:rPr>
        <w:t>POZIV ZA NADMETANJE</w:t>
      </w:r>
      <w:r>
        <w:rPr>
          <w:rFonts w:ascii="Arial" w:hAnsi="Arial"/>
          <w:b/>
          <w:color w:val="000000"/>
          <w:szCs w:val="32"/>
          <w:vertAlign w:val="superscript"/>
          <w:lang w:val="sr-Latn-ME"/>
        </w:rPr>
        <w:footnoteReference w:id="0"/>
      </w:r>
      <w:bookmarkEnd w:id="0"/>
      <w:r>
        <w:rPr>
          <w:rFonts w:ascii="Arial" w:hAnsi="Arial"/>
          <w:b/>
          <w:color w:val="000000"/>
          <w:szCs w:val="32"/>
          <w:lang w:val="sr-Latn-ME"/>
        </w:rPr>
        <w:t xml:space="preserve"> </w:t>
      </w:r>
    </w:p>
    <w:p w14:paraId="43B8A683">
      <w:pPr>
        <w:rPr>
          <w:rFonts w:ascii="Arial" w:hAnsi="Arial" w:cs="Arial"/>
          <w:b/>
          <w:bCs/>
          <w:color w:val="000000"/>
          <w:lang w:val="sr-Latn-ME"/>
        </w:rPr>
      </w:pPr>
      <w:r>
        <w:rPr>
          <w:rFonts w:ascii="Arial" w:hAnsi="Arial" w:cs="Arial"/>
          <w:b/>
          <w:bCs/>
          <w:color w:val="000000"/>
          <w:lang w:val="sr-Latn-ME"/>
        </w:rPr>
        <w:tab/>
      </w:r>
    </w:p>
    <w:p w14:paraId="4D25BAAC">
      <w:pPr>
        <w:ind w:left="360"/>
        <w:jc w:val="center"/>
        <w:rPr>
          <w:rFonts w:ascii="Arial" w:hAnsi="Arial" w:cs="Arial"/>
          <w:b/>
          <w:bCs/>
          <w:color w:val="000000"/>
          <w:lang w:val="sr-Latn-ME"/>
        </w:rPr>
      </w:pPr>
    </w:p>
    <w:p w14:paraId="0DCEE225">
      <w:pPr>
        <w:numPr>
          <w:ilvl w:val="0"/>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Podaci o naručiocu;</w:t>
      </w:r>
    </w:p>
    <w:p w14:paraId="4EA8580E">
      <w:pPr>
        <w:numPr>
          <w:ilvl w:val="0"/>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 xml:space="preserve">Podaci o postupku i predmetu javne nabavke: </w:t>
      </w:r>
    </w:p>
    <w:p w14:paraId="5E131BCD">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Vrsta postupka,</w:t>
      </w:r>
    </w:p>
    <w:p w14:paraId="6A32DE5F">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Predmet javne nabavke (vrsta predmeta, naziv i opis predmeta),</w:t>
      </w:r>
    </w:p>
    <w:p w14:paraId="648E7A77">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Procijenjena vrijednost predmeta nabavke</w:t>
      </w:r>
      <w:r>
        <w:rPr>
          <w:rFonts w:ascii="Arial" w:hAnsi="Arial" w:eastAsia="Calibri" w:cs="Arial"/>
          <w:color w:val="000000"/>
          <w:sz w:val="22"/>
          <w:szCs w:val="22"/>
          <w:vertAlign w:val="superscript"/>
          <w:lang w:val="sr-Latn-ME"/>
        </w:rPr>
        <w:footnoteReference w:id="1"/>
      </w:r>
      <w:r>
        <w:rPr>
          <w:rFonts w:ascii="Arial" w:hAnsi="Arial" w:eastAsia="Calibri" w:cs="Arial"/>
          <w:color w:val="000000"/>
          <w:sz w:val="22"/>
          <w:szCs w:val="22"/>
          <w:lang w:val="sr-Latn-ME"/>
        </w:rPr>
        <w:t>,</w:t>
      </w:r>
    </w:p>
    <w:p w14:paraId="1FA29EB6">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 xml:space="preserve">Način nabavke: </w:t>
      </w:r>
    </w:p>
    <w:p w14:paraId="6E3B5A5D">
      <w:pPr>
        <w:numPr>
          <w:ilvl w:val="0"/>
          <w:numId w:val="3"/>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Cjelina, po partijama,</w:t>
      </w:r>
    </w:p>
    <w:p w14:paraId="054D2C31">
      <w:pPr>
        <w:numPr>
          <w:ilvl w:val="0"/>
          <w:numId w:val="3"/>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Zajednička nabavka,</w:t>
      </w:r>
    </w:p>
    <w:p w14:paraId="06D69FFD">
      <w:pPr>
        <w:numPr>
          <w:ilvl w:val="0"/>
          <w:numId w:val="3"/>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Centralizovana nabavka,</w:t>
      </w:r>
    </w:p>
    <w:p w14:paraId="17EDF89C">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Posebni oblik nabavke:</w:t>
      </w:r>
    </w:p>
    <w:p w14:paraId="1BB1BC52">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Okvirni sporazum,</w:t>
      </w:r>
    </w:p>
    <w:p w14:paraId="7FD9C91C">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Dinamički sistem nabavki,</w:t>
      </w:r>
    </w:p>
    <w:p w14:paraId="0080A911">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Elektronska aukcija,</w:t>
      </w:r>
    </w:p>
    <w:p w14:paraId="44992AA1">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Elektronski katalog,</w:t>
      </w:r>
    </w:p>
    <w:p w14:paraId="1441F3DE">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Uslovi za učešće u postupku javne nabavke i posebni osnovi za isključenje,</w:t>
      </w:r>
    </w:p>
    <w:p w14:paraId="64AA054F">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Kriterijum za izbor najpovoljnije ponude,</w:t>
      </w:r>
    </w:p>
    <w:p w14:paraId="00D4F64B">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Način, mjesto i vrijeme podnošenja ponuda i otvaranja ponuda,</w:t>
      </w:r>
    </w:p>
    <w:p w14:paraId="6B278672">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Rok za donošenje odluke o izboru,</w:t>
      </w:r>
    </w:p>
    <w:p w14:paraId="7490EDD6">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Rok važenja ponude,</w:t>
      </w:r>
    </w:p>
    <w:p w14:paraId="79CB5788">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Garancija ponude</w:t>
      </w:r>
    </w:p>
    <w:p w14:paraId="6F02C058">
      <w:pPr>
        <w:rPr>
          <w:rFonts w:ascii="Calibri" w:hAnsi="Calibri" w:eastAsia="Calibri"/>
          <w:color w:val="000000"/>
          <w:sz w:val="22"/>
          <w:szCs w:val="22"/>
          <w:lang w:val="sr-Latn-ME"/>
        </w:rPr>
      </w:pPr>
    </w:p>
    <w:p w14:paraId="75EAF773">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rFonts w:ascii="Arial" w:hAnsi="Arial"/>
          <w:b/>
          <w:color w:val="000000"/>
          <w:szCs w:val="32"/>
          <w:vertAlign w:val="superscript"/>
          <w:lang w:val="sr-Latn-ME"/>
        </w:rPr>
        <w:footnoteReference w:id="2"/>
      </w:r>
      <w:bookmarkEnd w:id="1"/>
    </w:p>
    <w:p w14:paraId="031950C2">
      <w:pPr>
        <w:rPr>
          <w:rFonts w:ascii="Calibri" w:hAnsi="Calibri" w:eastAsia="Calibri"/>
          <w:color w:val="000000"/>
          <w:sz w:val="22"/>
          <w:szCs w:val="22"/>
          <w:lang w:val="sr-Latn-ME"/>
        </w:rPr>
      </w:pPr>
    </w:p>
    <w:p w14:paraId="58BCC863">
      <w:pPr>
        <w:numPr>
          <w:ilvl w:val="0"/>
          <w:numId w:val="5"/>
        </w:numPr>
        <w:spacing w:after="160" w:line="259" w:lineRule="auto"/>
        <w:contextualSpacing/>
        <w:jc w:val="both"/>
        <w:rPr>
          <w:rFonts w:ascii="Arial" w:hAnsi="Arial" w:eastAsia="Calibri" w:cs="Arial"/>
          <w:color w:val="000000"/>
          <w:sz w:val="22"/>
          <w:szCs w:val="22"/>
          <w:lang w:val="sr-Latn-ME"/>
        </w:rPr>
      </w:pPr>
      <w:r>
        <w:rPr>
          <w:rFonts w:ascii="Arial" w:hAnsi="Arial" w:eastAsia="Calibri" w:cs="Arial"/>
          <w:color w:val="000000"/>
          <w:sz w:val="22"/>
          <w:szCs w:val="22"/>
          <w:lang w:val="sr-Latn-ME"/>
        </w:rPr>
        <w:t>Naziv i opis predmeta nabavke u cjelini, po partijama i stavkama sa bitnim karakteristikama</w:t>
      </w:r>
    </w:p>
    <w:p w14:paraId="19736EAC">
      <w:pPr>
        <w:numPr>
          <w:ilvl w:val="0"/>
          <w:numId w:val="5"/>
        </w:numPr>
        <w:spacing w:after="160" w:line="259" w:lineRule="auto"/>
        <w:contextualSpacing/>
        <w:jc w:val="both"/>
        <w:rPr>
          <w:rFonts w:ascii="Arial" w:hAnsi="Arial" w:eastAsia="Calibri" w:cs="Arial"/>
          <w:color w:val="000000"/>
          <w:sz w:val="22"/>
          <w:szCs w:val="22"/>
          <w:lang w:val="sr-Latn-ME"/>
        </w:rPr>
      </w:pPr>
      <w:r>
        <w:rPr>
          <w:rFonts w:ascii="Arial" w:hAnsi="Arial" w:eastAsia="Calibri" w:cs="Arial"/>
          <w:color w:val="000000"/>
          <w:sz w:val="22"/>
          <w:szCs w:val="22"/>
          <w:lang w:val="sr-Latn-ME"/>
        </w:rPr>
        <w:t>Zahtjevi u pogledu načina izvršavanja predmeta nabavke koji su od značaja za sačinjavanje ponude i izvršenje ugovora</w:t>
      </w:r>
    </w:p>
    <w:p w14:paraId="3F77F590">
      <w:pPr>
        <w:rPr>
          <w:rFonts w:ascii="Calibri" w:hAnsi="Calibri" w:eastAsia="Calibri"/>
          <w:color w:val="000000"/>
          <w:sz w:val="22"/>
          <w:szCs w:val="22"/>
          <w:lang w:val="sr-Latn-ME"/>
        </w:rPr>
      </w:pPr>
    </w:p>
    <w:p w14:paraId="6765974D">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color w:val="000000"/>
          <w:szCs w:val="32"/>
          <w:lang w:val="sr-Latn-ME"/>
        </w:rPr>
      </w:pPr>
      <w:bookmarkStart w:id="2" w:name="_Toc62730555"/>
      <w:r>
        <w:rPr>
          <w:rFonts w:ascii="Arial" w:hAnsi="Arial"/>
          <w:b/>
          <w:color w:val="000000"/>
          <w:szCs w:val="32"/>
          <w:lang w:val="sr-Latn-ME"/>
        </w:rPr>
        <w:t>DODATNE INFORMACIJE O PREDMETU I POSTUPKU NABAVKE</w:t>
      </w:r>
      <w:r>
        <w:rPr>
          <w:rFonts w:ascii="Arial" w:hAnsi="Arial"/>
          <w:b/>
          <w:color w:val="000000"/>
          <w:szCs w:val="32"/>
          <w:vertAlign w:val="superscript"/>
          <w:lang w:val="sr-Latn-ME"/>
        </w:rPr>
        <w:footnoteReference w:id="3"/>
      </w:r>
      <w:bookmarkEnd w:id="2"/>
    </w:p>
    <w:p w14:paraId="4522AF4A">
      <w:pPr>
        <w:jc w:val="both"/>
        <w:rPr>
          <w:rFonts w:ascii="Arial" w:hAnsi="Arial" w:cs="Arial"/>
          <w:b/>
          <w:bCs/>
          <w:color w:val="000000"/>
          <w:lang w:val="sr-Latn-ME"/>
        </w:rPr>
      </w:pPr>
    </w:p>
    <w:p w14:paraId="7D6574DF">
      <w:pPr>
        <w:pBdr>
          <w:top w:val="single" w:color="auto" w:sz="4" w:space="1"/>
          <w:left w:val="single" w:color="auto" w:sz="4" w:space="4"/>
          <w:bottom w:val="single" w:color="auto" w:sz="4" w:space="1"/>
          <w:right w:val="single" w:color="auto" w:sz="4" w:space="4"/>
        </w:pBdr>
        <w:shd w:val="clear" w:color="auto" w:fill="D9D9D9"/>
        <w:spacing w:after="160" w:line="259" w:lineRule="auto"/>
        <w:rPr>
          <w:rFonts w:ascii="Arial" w:hAnsi="Arial" w:eastAsia="Calibri" w:cs="Arial"/>
          <w:b/>
          <w:bCs/>
          <w:color w:val="000000"/>
          <w:sz w:val="22"/>
          <w:szCs w:val="22"/>
          <w:lang w:val="sr-Latn-ME"/>
        </w:rPr>
      </w:pPr>
      <w:r>
        <w:rPr>
          <w:rFonts w:ascii="Arial" w:hAnsi="Arial" w:eastAsia="Calibri" w:cs="Arial"/>
          <w:b/>
          <w:bCs/>
          <w:color w:val="000000"/>
          <w:sz w:val="22"/>
          <w:szCs w:val="22"/>
          <w:lang w:val="sr-Latn-ME"/>
        </w:rPr>
        <w:t>Procijenjena vrijednost predmenta nabavke:</w:t>
      </w:r>
      <w:r>
        <w:rPr>
          <w:rFonts w:ascii="Arial" w:hAnsi="Arial" w:eastAsia="Calibri" w:cs="Arial"/>
          <w:b/>
          <w:bCs/>
          <w:color w:val="000000"/>
          <w:sz w:val="22"/>
          <w:szCs w:val="22"/>
          <w:vertAlign w:val="superscript"/>
          <w:lang w:val="sr-Latn-ME"/>
        </w:rPr>
        <w:footnoteReference w:id="4"/>
      </w:r>
    </w:p>
    <w:p w14:paraId="6C496C74">
      <w:pPr>
        <w:spacing w:after="160" w:line="259" w:lineRule="auto"/>
        <w:jc w:val="both"/>
        <w:rPr>
          <w:rFonts w:ascii="Arial" w:hAnsi="Arial" w:eastAsia="Calibri" w:cs="Arial"/>
          <w:color w:val="000000"/>
          <w:sz w:val="22"/>
          <w:szCs w:val="22"/>
          <w:lang w:val="sr-Latn-ME"/>
        </w:rPr>
      </w:pPr>
    </w:p>
    <w:p w14:paraId="7CD198EA">
      <w:pPr>
        <w:spacing w:after="160" w:line="259" w:lineRule="auto"/>
        <w:jc w:val="both"/>
        <w:rPr>
          <w:rFonts w:ascii="Arial" w:hAnsi="Arial" w:eastAsia="Calibri" w:cs="Arial"/>
          <w:b/>
          <w:bCs/>
          <w:color w:val="000000"/>
          <w:sz w:val="22"/>
          <w:szCs w:val="22"/>
          <w:lang w:val="sr-Latn-ME"/>
        </w:rPr>
      </w:pPr>
      <w:r>
        <w:rPr>
          <w:rFonts w:ascii="Arial" w:hAnsi="Arial" w:eastAsia="Calibri" w:cs="Arial"/>
          <w:color w:val="000000"/>
          <w:sz w:val="22"/>
          <w:szCs w:val="22"/>
          <w:lang w:val="sr-Latn-ME"/>
        </w:rPr>
        <w:sym w:font="Wingdings" w:char="F0A8"/>
      </w:r>
      <w:r>
        <w:rPr>
          <w:rFonts w:ascii="Arial" w:hAnsi="Arial" w:eastAsia="Calibri" w:cs="Arial"/>
          <w:color w:val="000000"/>
          <w:sz w:val="22"/>
          <w:szCs w:val="22"/>
          <w:lang w:val="sr-Latn-ME"/>
        </w:rPr>
        <w:t xml:space="preserve"> </w:t>
      </w:r>
      <w:r>
        <w:rPr>
          <w:rFonts w:ascii="Arial" w:hAnsi="Arial" w:eastAsia="Calibri" w:cs="Arial"/>
          <w:b/>
          <w:bCs/>
          <w:color w:val="000000"/>
          <w:sz w:val="22"/>
          <w:szCs w:val="22"/>
          <w:lang w:val="sr-Latn-ME"/>
        </w:rPr>
        <w:t>Procijenjena vrijednost predmeta nabavke bez zaključivanja okvirnog sporazuma</w:t>
      </w:r>
      <w:r>
        <w:rPr>
          <w:rFonts w:ascii="Arial" w:hAnsi="Arial" w:eastAsia="Calibri" w:cs="Arial"/>
          <w:color w:val="000000"/>
          <w:sz w:val="22"/>
          <w:szCs w:val="22"/>
          <w:lang w:val="sr-Latn-ME"/>
        </w:rPr>
        <w:t>:</w:t>
      </w:r>
    </w:p>
    <w:p w14:paraId="2117F58F">
      <w:pPr>
        <w:spacing w:after="160" w:line="259" w:lineRule="auto"/>
        <w:jc w:val="both"/>
        <w:rPr>
          <w:rFonts w:ascii="Arial" w:hAnsi="Arial" w:eastAsia="Calibri" w:cs="Arial"/>
          <w:color w:val="000000"/>
          <w:sz w:val="22"/>
          <w:szCs w:val="22"/>
          <w:lang w:val="sr-Latn-ME"/>
        </w:rPr>
      </w:pPr>
      <w:r>
        <w:rPr>
          <w:rFonts w:ascii="Arial" w:hAnsi="Arial" w:eastAsia="Calibri" w:cs="Arial"/>
          <w:color w:val="000000"/>
          <w:sz w:val="22"/>
          <w:szCs w:val="22"/>
          <w:lang w:val="sr-Latn-ME"/>
        </w:rPr>
        <w:sym w:font="Wingdings" w:char="F0A8"/>
      </w:r>
      <w:r>
        <w:rPr>
          <w:rFonts w:ascii="Arial" w:hAnsi="Arial" w:eastAsia="Calibri" w:cs="Arial"/>
          <w:color w:val="000000"/>
          <w:sz w:val="22"/>
          <w:szCs w:val="22"/>
          <w:lang w:val="sr-Latn-ME"/>
        </w:rPr>
        <w:t xml:space="preserve"> kao cjeline je</w:t>
      </w:r>
      <w:r>
        <w:rPr>
          <w:rFonts w:hint="default" w:ascii="Arial" w:hAnsi="Arial" w:eastAsia="Calibri" w:cs="Arial"/>
          <w:color w:val="000000"/>
          <w:sz w:val="22"/>
          <w:szCs w:val="22"/>
          <w:lang w:val="sr-Latn-RS"/>
        </w:rPr>
        <w:t xml:space="preserve">  </w:t>
      </w:r>
      <w:r>
        <w:t>315.263,88</w:t>
      </w:r>
      <w:r>
        <w:rPr>
          <w:rFonts w:ascii="Arial" w:hAnsi="Arial" w:eastAsia="Calibri" w:cs="Arial"/>
          <w:color w:val="000000"/>
          <w:sz w:val="22"/>
          <w:szCs w:val="22"/>
          <w:lang w:val="sr-Latn-ME"/>
        </w:rPr>
        <w:t xml:space="preserve"> €;</w:t>
      </w:r>
    </w:p>
    <w:p w14:paraId="25A4E20E">
      <w:pPr>
        <w:spacing w:after="160" w:line="259" w:lineRule="auto"/>
        <w:jc w:val="both"/>
        <w:rPr>
          <w:rFonts w:ascii="Arial" w:hAnsi="Arial" w:cs="Arial"/>
          <w:b/>
          <w:bCs/>
          <w:color w:val="000000"/>
          <w:lang w:val="sr-Latn-ME"/>
        </w:rPr>
      </w:pPr>
    </w:p>
    <w:p w14:paraId="4F091A9E">
      <w:pPr>
        <w:pBdr>
          <w:top w:val="single" w:color="auto" w:sz="4" w:space="1"/>
          <w:left w:val="single" w:color="auto" w:sz="4" w:space="0"/>
          <w:bottom w:val="single" w:color="auto" w:sz="4" w:space="1"/>
          <w:right w:val="single" w:color="auto" w:sz="4" w:space="4"/>
        </w:pBdr>
        <w:shd w:val="clear" w:color="auto" w:fill="D9D9D9"/>
        <w:jc w:val="both"/>
        <w:rPr>
          <w:rFonts w:hint="default" w:ascii="Arial" w:hAnsi="Arial" w:cs="Arial"/>
          <w:color w:val="000000"/>
          <w:lang w:val="sr-Latn-RS"/>
        </w:rPr>
      </w:pPr>
      <w:r>
        <w:rPr>
          <w:rFonts w:ascii="Arial" w:hAnsi="Arial" w:cs="Arial"/>
          <w:color w:val="000000"/>
          <w:lang w:val="sr-Latn-ME"/>
        </w:rPr>
        <w:t>Obrazloženje razloga zašto predmet nabavke nije podijeljen na partije:</w:t>
      </w:r>
      <w:r>
        <w:rPr>
          <w:rFonts w:ascii="Arial" w:hAnsi="Arial" w:cs="Arial"/>
          <w:color w:val="000000"/>
          <w:vertAlign w:val="superscript"/>
          <w:lang w:val="sr-Latn-ME"/>
        </w:rPr>
        <w:footnoteReference w:id="5"/>
      </w:r>
      <w:r>
        <w:rPr>
          <w:rFonts w:hint="default" w:ascii="Arial" w:hAnsi="Arial" w:cs="Arial"/>
          <w:color w:val="000000"/>
          <w:lang w:val="sr-Latn-RS"/>
        </w:rPr>
        <w:t xml:space="preserve">Radovi se izvode kao cjelina </w:t>
      </w:r>
    </w:p>
    <w:p w14:paraId="47B42331">
      <w:pPr>
        <w:jc w:val="both"/>
        <w:rPr>
          <w:rFonts w:ascii="Arial" w:hAnsi="Arial" w:cs="Arial"/>
          <w:color w:val="000000"/>
          <w:lang w:val="sr-Latn-ME"/>
        </w:rPr>
      </w:pPr>
    </w:p>
    <w:p w14:paraId="5E2157BC">
      <w:pPr>
        <w:pBdr>
          <w:top w:val="single" w:color="auto" w:sz="4" w:space="1"/>
          <w:left w:val="single" w:color="auto" w:sz="4" w:space="4"/>
          <w:bottom w:val="single" w:color="auto" w:sz="4" w:space="1"/>
          <w:right w:val="single" w:color="auto" w:sz="4" w:space="4"/>
        </w:pBdr>
        <w:shd w:val="clear" w:color="auto" w:fill="D9D9D9"/>
        <w:rPr>
          <w:rFonts w:ascii="Arial" w:hAnsi="Arial" w:cs="Arial"/>
          <w:b/>
          <w:color w:val="000000"/>
          <w:lang w:val="sr-Latn-ME"/>
        </w:rPr>
      </w:pPr>
      <w:r>
        <w:rPr>
          <w:rFonts w:ascii="Arial" w:hAnsi="Arial" w:cs="Arial"/>
          <w:b/>
          <w:color w:val="000000"/>
          <w:lang w:val="sr-Latn-ME"/>
        </w:rPr>
        <w:t>ZAKLJUČIVANJE OKVIRNOG SPORAZUMA</w:t>
      </w:r>
      <w:r>
        <w:rPr>
          <w:rFonts w:ascii="Arial" w:hAnsi="Arial" w:cs="Arial"/>
          <w:b/>
          <w:color w:val="000000"/>
          <w:vertAlign w:val="superscript"/>
          <w:lang w:val="sr-Latn-ME"/>
        </w:rPr>
        <w:footnoteReference w:id="6"/>
      </w:r>
    </w:p>
    <w:p w14:paraId="3C8EDF1D">
      <w:pPr>
        <w:jc w:val="both"/>
        <w:rPr>
          <w:rFonts w:ascii="Arial" w:hAnsi="Arial" w:cs="Arial"/>
          <w:color w:val="000000"/>
          <w:lang w:val="sr-Latn-ME"/>
        </w:rPr>
      </w:pPr>
    </w:p>
    <w:p w14:paraId="09FD594A">
      <w:pPr>
        <w:pBdr>
          <w:top w:val="single" w:color="auto" w:sz="4" w:space="1"/>
          <w:left w:val="single" w:color="auto" w:sz="4" w:space="4"/>
          <w:bottom w:val="single" w:color="auto" w:sz="4" w:space="1"/>
          <w:right w:val="single" w:color="auto" w:sz="4" w:space="4"/>
        </w:pBdr>
        <w:shd w:val="clear" w:color="auto" w:fill="F2F2F2"/>
        <w:jc w:val="both"/>
        <w:rPr>
          <w:rFonts w:ascii="Arial" w:hAnsi="Arial" w:cs="Arial"/>
          <w:color w:val="000000"/>
          <w:lang w:val="sr-Latn-ME"/>
        </w:rPr>
      </w:pPr>
      <w:r>
        <w:rPr>
          <w:rFonts w:ascii="Arial" w:hAnsi="Arial" w:cs="Arial"/>
          <w:color w:val="000000"/>
          <w:lang w:val="sr-Latn-ME"/>
        </w:rPr>
        <w:t>Zaključiće se okvirni sporazum:</w:t>
      </w:r>
    </w:p>
    <w:p w14:paraId="45DB825B">
      <w:pPr>
        <w:jc w:val="both"/>
        <w:rPr>
          <w:rFonts w:ascii="Arial" w:hAnsi="Arial" w:cs="Arial"/>
          <w:color w:val="000000"/>
          <w:lang w:val="sr-Latn-ME"/>
        </w:rPr>
      </w:pPr>
    </w:p>
    <w:p w14:paraId="60938281">
      <w:pPr>
        <w:jc w:val="both"/>
        <w:rPr>
          <w:rFonts w:ascii="Arial" w:hAnsi="Arial" w:cs="Arial"/>
          <w:color w:val="000000"/>
          <w:lang w:val="sr-Latn-ME"/>
        </w:rPr>
      </w:pPr>
      <w:r>
        <w:rPr>
          <w:rFonts w:ascii="Arial" w:hAnsi="Arial" w:cs="Arial"/>
          <w:color w:val="000000"/>
          <w:lang w:val="sr-Latn-ME"/>
        </w:rPr>
        <w:sym w:font="Wingdings" w:char="00FE"/>
      </w:r>
      <w:r>
        <w:rPr>
          <w:rFonts w:ascii="Arial" w:hAnsi="Arial" w:cs="Arial"/>
          <w:color w:val="000000"/>
          <w:lang w:val="sr-Latn-ME"/>
        </w:rPr>
        <w:t xml:space="preserve"> ne</w:t>
      </w:r>
    </w:p>
    <w:p w14:paraId="45179062">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da </w:t>
      </w:r>
    </w:p>
    <w:p w14:paraId="7BE3F60C">
      <w:pPr>
        <w:jc w:val="both"/>
        <w:rPr>
          <w:rFonts w:ascii="Arial" w:hAnsi="Arial" w:cs="Arial"/>
          <w:color w:val="000000"/>
          <w:lang w:val="sr-Latn-ME"/>
        </w:rPr>
      </w:pPr>
    </w:p>
    <w:p w14:paraId="4F3929B4">
      <w:pPr>
        <w:jc w:val="both"/>
        <w:rPr>
          <w:rFonts w:ascii="Arial" w:hAnsi="Arial" w:cs="Arial"/>
          <w:lang w:val="sr-Latn-ME"/>
        </w:rPr>
      </w:pPr>
    </w:p>
    <w:p w14:paraId="2110A81C">
      <w:pPr>
        <w:pBdr>
          <w:top w:val="single" w:color="auto" w:sz="4" w:space="1"/>
          <w:left w:val="single" w:color="auto" w:sz="4" w:space="4"/>
          <w:bottom w:val="single" w:color="auto" w:sz="4" w:space="1"/>
          <w:right w:val="single" w:color="auto" w:sz="4" w:space="4"/>
        </w:pBdr>
        <w:shd w:val="clear" w:color="auto" w:fill="D9D9D9"/>
        <w:rPr>
          <w:rFonts w:ascii="Arial" w:hAnsi="Arial" w:cs="Arial"/>
          <w:b/>
          <w:lang w:val="sr-Latn-ME"/>
        </w:rPr>
      </w:pPr>
      <w:r>
        <w:rPr>
          <w:rFonts w:ascii="Arial" w:hAnsi="Arial" w:cs="Arial"/>
          <w:b/>
          <w:lang w:val="sr-Latn-ME"/>
        </w:rPr>
        <w:t>NAČIN SPROVOĐENJA ELEKTRONSKE AUKCIJE</w:t>
      </w:r>
    </w:p>
    <w:p w14:paraId="7CB0D310">
      <w:pPr>
        <w:jc w:val="both"/>
        <w:rPr>
          <w:rFonts w:ascii="Arial" w:hAnsi="Arial" w:cs="Arial"/>
          <w:lang w:val="sr-Latn-ME"/>
        </w:rPr>
      </w:pPr>
    </w:p>
    <w:p w14:paraId="703F186C">
      <w:pPr>
        <w:jc w:val="both"/>
        <w:rPr>
          <w:rFonts w:hint="default" w:ascii="Arial" w:hAnsi="Arial" w:cs="Arial"/>
          <w:color w:val="222A35"/>
          <w:lang w:val="sr-Latn-RS"/>
        </w:rPr>
      </w:pPr>
      <w:r>
        <w:rPr>
          <w:rFonts w:ascii="Arial" w:hAnsi="Arial" w:cs="Arial"/>
          <w:color w:val="222A35"/>
          <w:lang w:val="sr-Latn-ME"/>
        </w:rPr>
        <w:t xml:space="preserve">Elektronska aukcija će se sprovesti nakon ocjene ponuda, kao elektronski proces koji se ponavlja, radi postizanja nove </w:t>
      </w:r>
      <w:r>
        <w:rPr>
          <w:rFonts w:hint="default" w:ascii="Arial" w:hAnsi="Arial" w:cs="Arial"/>
          <w:color w:val="222A35"/>
          <w:lang w:val="sr-Latn-RS"/>
        </w:rPr>
        <w:t xml:space="preserve">NE SPROVODI SE ELEKTRONSKA AUKCIJA </w:t>
      </w:r>
    </w:p>
    <w:p w14:paraId="42419C8C">
      <w:pPr>
        <w:jc w:val="both"/>
        <w:rPr>
          <w:rFonts w:ascii="Arial" w:hAnsi="Arial" w:cs="Arial"/>
          <w:lang w:val="sr-Latn-ME"/>
        </w:rPr>
      </w:pPr>
    </w:p>
    <w:p w14:paraId="1B92116F">
      <w:pPr>
        <w:pBdr>
          <w:top w:val="single" w:color="auto" w:sz="4" w:space="1"/>
          <w:left w:val="single" w:color="auto" w:sz="4" w:space="4"/>
          <w:bottom w:val="single" w:color="auto" w:sz="4" w:space="1"/>
          <w:right w:val="single" w:color="auto" w:sz="4" w:space="4"/>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14:paraId="4ED927EF">
      <w:pPr>
        <w:jc w:val="both"/>
        <w:rPr>
          <w:rFonts w:ascii="Arial" w:hAnsi="Arial" w:cs="Arial"/>
          <w:color w:val="FF0000"/>
          <w:lang w:val="sr-Latn-ME"/>
        </w:rPr>
      </w:pPr>
    </w:p>
    <w:p w14:paraId="53B38935">
      <w:pPr>
        <w:jc w:val="both"/>
        <w:rPr>
          <w:rFonts w:hint="default" w:ascii="Arial" w:hAnsi="Arial" w:cs="Arial"/>
          <w:color w:val="222A35"/>
          <w:lang w:val="sr-Latn-RS"/>
        </w:rPr>
      </w:pPr>
      <w:r>
        <w:rPr>
          <w:rFonts w:ascii="Arial" w:hAnsi="Arial" w:cs="Arial"/>
          <w:color w:val="222A35"/>
          <w:lang w:val="sr-Latn-ME"/>
        </w:rPr>
        <w:t xml:space="preserve">Elektronski katalog sastavlja ponuđač u skladu s tehničkim specifikacijama i u formi </w:t>
      </w:r>
      <w:r>
        <w:rPr>
          <w:rFonts w:hint="default" w:ascii="Arial" w:hAnsi="Arial" w:cs="Arial"/>
          <w:color w:val="222A35"/>
          <w:lang w:val="sr-Latn-RS"/>
        </w:rPr>
        <w:t>N</w:t>
      </w:r>
      <w:r>
        <w:rPr>
          <w:rFonts w:hint="default" w:ascii="Arial" w:hAnsi="Arial" w:cs="Arial"/>
          <w:color w:val="222A35"/>
          <w:shd w:val="clear" w:color="FFFFFF" w:fill="D9D9D9"/>
          <w:lang w:val="sr-Latn-RS"/>
        </w:rPr>
        <w:t xml:space="preserve">IJE PROMJENLJIVO </w:t>
      </w:r>
    </w:p>
    <w:p w14:paraId="556C6C49">
      <w:pPr>
        <w:jc w:val="both"/>
        <w:rPr>
          <w:rFonts w:ascii="Arial" w:hAnsi="Arial" w:cs="Arial"/>
          <w:color w:val="000000"/>
          <w:lang w:val="sr-Latn-ME"/>
        </w:rPr>
      </w:pPr>
    </w:p>
    <w:p w14:paraId="7902566C">
      <w:pPr>
        <w:pBdr>
          <w:top w:val="single" w:color="auto" w:sz="4" w:space="1"/>
          <w:left w:val="single" w:color="auto" w:sz="4" w:space="4"/>
          <w:bottom w:val="single" w:color="auto" w:sz="4" w:space="1"/>
          <w:right w:val="single" w:color="auto" w:sz="4" w:space="4"/>
        </w:pBdr>
        <w:shd w:val="clear" w:color="auto" w:fill="D9D9D9"/>
        <w:rPr>
          <w:rFonts w:ascii="Arial" w:hAnsi="Arial" w:cs="Arial"/>
          <w:b/>
          <w:lang w:val="sr-Latn-ME"/>
        </w:rPr>
      </w:pPr>
      <w:r>
        <w:rPr>
          <w:rFonts w:ascii="Arial" w:hAnsi="Arial" w:cs="Arial"/>
          <w:b/>
          <w:lang w:val="sr-Latn-ME"/>
        </w:rPr>
        <w:t>PONUDA SA VARIJANTAMA</w:t>
      </w:r>
    </w:p>
    <w:p w14:paraId="18F5E127">
      <w:pPr>
        <w:jc w:val="both"/>
        <w:rPr>
          <w:rFonts w:ascii="Arial" w:hAnsi="Arial" w:cs="Arial"/>
          <w:b/>
          <w:bCs/>
          <w:color w:val="000000"/>
          <w:lang w:val="sr-Latn-ME"/>
        </w:rPr>
      </w:pPr>
    </w:p>
    <w:p w14:paraId="5B441FFA">
      <w:pPr>
        <w:jc w:val="both"/>
        <w:rPr>
          <w:rFonts w:ascii="Arial" w:hAnsi="Arial" w:cs="Arial"/>
          <w:lang w:val="sr-Latn-ME"/>
        </w:rPr>
      </w:pPr>
      <w:r>
        <w:rPr>
          <w:rFonts w:ascii="Arial" w:hAnsi="Arial" w:cs="Arial"/>
          <w:lang w:val="sr-Latn-ME"/>
        </w:rPr>
        <w:t>Mogućnost podnošenja ponude sa varijantama</w:t>
      </w:r>
    </w:p>
    <w:p w14:paraId="5EEBB386">
      <w:pPr>
        <w:jc w:val="both"/>
        <w:rPr>
          <w:rFonts w:ascii="Arial" w:hAnsi="Arial" w:cs="Arial"/>
          <w:lang w:val="sr-Latn-ME"/>
        </w:rPr>
      </w:pPr>
    </w:p>
    <w:p w14:paraId="3451573D">
      <w:pPr>
        <w:jc w:val="both"/>
        <w:rPr>
          <w:rFonts w:ascii="Arial" w:hAnsi="Arial" w:cs="Arial"/>
          <w:color w:val="000000"/>
          <w:lang w:val="sr-Latn-ME"/>
        </w:rPr>
      </w:pPr>
      <w:r>
        <w:rPr>
          <w:rFonts w:hint="default" w:ascii="Arial" w:hAnsi="Arial" w:cs="Arial"/>
          <w:color w:val="000000"/>
          <w:lang w:val="sr-Latn-ME"/>
        </w:rPr>
        <w:sym w:font="Wingdings" w:char="00FD"/>
      </w:r>
      <w:r>
        <w:rPr>
          <w:rFonts w:ascii="Arial" w:hAnsi="Arial" w:cs="Arial"/>
          <w:color w:val="000000"/>
          <w:lang w:val="sr-Latn-ME"/>
        </w:rPr>
        <w:t xml:space="preserve"> </w:t>
      </w:r>
      <w:r>
        <w:rPr>
          <w:rFonts w:ascii="Arial" w:hAnsi="Arial" w:cs="Arial"/>
          <w:lang w:val="sr-Latn-ME"/>
        </w:rPr>
        <w:t>Varijante ponude nijesu dozvoljene i neće biti razmatrane.</w:t>
      </w:r>
    </w:p>
    <w:p w14:paraId="2F8980BA">
      <w:pPr>
        <w:jc w:val="both"/>
        <w:rPr>
          <w:rFonts w:ascii="Arial" w:hAnsi="Arial" w:cs="Arial"/>
          <w:b/>
          <w:bCs/>
          <w:color w:val="FF0000"/>
          <w:lang w:val="sr-Latn-ME"/>
        </w:rPr>
      </w:pPr>
    </w:p>
    <w:p w14:paraId="678BE942">
      <w:pPr>
        <w:pBdr>
          <w:top w:val="single" w:color="auto" w:sz="4" w:space="1"/>
          <w:left w:val="single" w:color="auto" w:sz="4" w:space="4"/>
          <w:bottom w:val="single" w:color="auto" w:sz="4" w:space="1"/>
          <w:right w:val="single" w:color="auto" w:sz="4" w:space="4"/>
        </w:pBdr>
        <w:shd w:val="clear" w:color="auto" w:fill="D9D9D9"/>
        <w:jc w:val="both"/>
        <w:rPr>
          <w:rFonts w:ascii="Arial" w:hAnsi="Arial" w:cs="Arial"/>
          <w:b/>
          <w:bCs/>
          <w:color w:val="FF0000"/>
          <w:lang w:val="sr-Latn-ME"/>
        </w:rPr>
      </w:pPr>
      <w:r>
        <w:rPr>
          <w:rFonts w:ascii="Arial" w:hAnsi="Arial" w:cs="Arial"/>
          <w:b/>
          <w:lang w:val="sr-Latn-ME"/>
        </w:rPr>
        <w:t>REZERVISANA NABAVKA</w:t>
      </w:r>
    </w:p>
    <w:p w14:paraId="437A44A7">
      <w:pPr>
        <w:jc w:val="both"/>
        <w:rPr>
          <w:rFonts w:ascii="Arial" w:hAnsi="Arial" w:cs="Arial"/>
          <w:b/>
          <w:bCs/>
          <w:color w:val="FF0000"/>
          <w:lang w:val="sr-Latn-ME"/>
        </w:rPr>
      </w:pPr>
    </w:p>
    <w:p w14:paraId="1677C39D">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Da</w:t>
      </w:r>
    </w:p>
    <w:p w14:paraId="4397063A">
      <w:pPr>
        <w:jc w:val="both"/>
        <w:rPr>
          <w:rFonts w:ascii="Arial" w:hAnsi="Arial" w:cs="Arial"/>
          <w:color w:val="000000"/>
          <w:lang w:val="sr-Latn-ME"/>
        </w:rPr>
      </w:pPr>
      <w:r>
        <w:rPr>
          <w:rFonts w:ascii="Arial" w:hAnsi="Arial" w:cs="Arial"/>
          <w:color w:val="000000"/>
          <w:lang w:val="sr-Latn-ME"/>
        </w:rPr>
        <w:sym w:font="Wingdings" w:char="00FE"/>
      </w:r>
      <w:r>
        <w:rPr>
          <w:rFonts w:ascii="Arial" w:hAnsi="Arial" w:cs="Arial"/>
          <w:color w:val="000000"/>
          <w:lang w:val="sr-Latn-ME"/>
        </w:rPr>
        <w:t xml:space="preserve"> Ne</w:t>
      </w:r>
    </w:p>
    <w:p w14:paraId="4841A884">
      <w:pPr>
        <w:jc w:val="both"/>
        <w:rPr>
          <w:rFonts w:ascii="Arial" w:hAnsi="Arial" w:cs="Arial"/>
          <w:b/>
          <w:bCs/>
          <w:color w:val="FF0000"/>
          <w:lang w:val="sr-Latn-ME"/>
        </w:rPr>
      </w:pPr>
    </w:p>
    <w:p w14:paraId="26EABD63">
      <w:pPr>
        <w:jc w:val="both"/>
        <w:rPr>
          <w:rFonts w:ascii="Arial" w:hAnsi="Arial" w:cs="Arial"/>
          <w:bCs/>
          <w:color w:val="000000"/>
          <w:lang w:val="sr-Latn-ME"/>
        </w:rPr>
      </w:pPr>
      <w:r>
        <w:rPr>
          <w:rFonts w:ascii="Arial" w:hAnsi="Arial" w:cs="Arial"/>
          <w:bCs/>
          <w:color w:val="000000"/>
          <w:lang w:val="sr-Latn-ME"/>
        </w:rPr>
        <w:t>Vrsta i uslovi rezervisane nabavke:__________________________ .</w:t>
      </w:r>
    </w:p>
    <w:p w14:paraId="2EC8B6E6">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jc w:val="both"/>
        <w:outlineLvl w:val="0"/>
        <w:rPr>
          <w:rFonts w:ascii="Arial" w:hAnsi="Arial"/>
          <w:b/>
          <w:szCs w:val="32"/>
          <w:lang w:val="sr-Latn-ME"/>
        </w:rPr>
      </w:pPr>
      <w:bookmarkStart w:id="3" w:name="_Toc62730556"/>
      <w:r>
        <w:rPr>
          <w:rFonts w:ascii="Arial" w:hAnsi="Arial"/>
          <w:b/>
          <w:szCs w:val="32"/>
          <w:lang w:val="sr-Latn-ME"/>
        </w:rPr>
        <w:t>NAČIN UTVRĐIVANJA EKVIVALENTNOSTI</w:t>
      </w:r>
      <w:bookmarkEnd w:id="3"/>
    </w:p>
    <w:p w14:paraId="326D98F6">
      <w:pPr>
        <w:jc w:val="both"/>
        <w:rPr>
          <w:rFonts w:ascii="Arial" w:hAnsi="Arial" w:cs="Arial"/>
          <w:bCs/>
          <w:color w:val="FF0000"/>
          <w:lang w:val="sr-Latn-ME"/>
        </w:rPr>
      </w:pPr>
    </w:p>
    <w:p w14:paraId="3874FE57">
      <w:r>
        <w:rPr>
          <w:rFonts w:ascii="Arial" w:hAnsi="Arial" w:cs="Arial"/>
          <w:bCs/>
          <w:color w:val="000000"/>
          <w:lang w:val="sr-Latn-ME"/>
        </w:rPr>
        <w:t>Način utvrđivanja ekvivalentnosti:</w:t>
      </w:r>
      <w:r>
        <w:t>Ponuđači u Finansijskom dijelu ponude, u polju Odgovor, navode naziv Opisa predmeta nabavke (prekopiraju isti iz istoimene kolone) i Bitne karakterstike predmeta nabavke (za koje im sistem sam daje mogućnost da ih prekopiraju) osim u dijelu gdje se navodi riječ „ili ekvivalen“ nakon navođenja robnog znaka, patenta, tipa ili proizvođača. Ponuđači mogu ponuditi proizvode i/ili opremu koji su ekvivalentni proizvodima i/ili opremi navedenim u specifikaciji predmeta javne nabavke, uz podnošenje dokaza o ekvivalentnosti (shodno članu 4 stav 1 tačka 7 i članu 88 Zakona o javnim nabavkama).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 “ i ponudu pripremiti u skladu sa tehničkom specifikacijom i tenderskom dokumentacijom. Ekvivalent mora ispunjavati vrijednosne kriterijume minimalno istih vrijednosti kao onih datih u tenderskoj dokumentaciji.</w:t>
      </w:r>
      <w:r>
        <w:tab/>
      </w:r>
    </w:p>
    <w:p w14:paraId="76F0DA73">
      <w:pPr>
        <w:jc w:val="both"/>
        <w:rPr>
          <w:rFonts w:ascii="Arial" w:hAnsi="Arial" w:cs="Arial"/>
          <w:bCs/>
          <w:color w:val="FF0000"/>
          <w:lang w:val="sr-Latn-ME"/>
        </w:rPr>
      </w:pPr>
    </w:p>
    <w:p w14:paraId="07F7C841">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outlineLvl w:val="0"/>
        <w:rPr>
          <w:rFonts w:ascii="Arial" w:hAnsi="Arial"/>
          <w:b/>
          <w:szCs w:val="32"/>
          <w:lang w:val="sr-Latn-ME"/>
        </w:rPr>
      </w:pPr>
      <w:bookmarkStart w:id="4" w:name="_Toc62730557"/>
      <w:r>
        <w:rPr>
          <w:rFonts w:ascii="Arial" w:hAnsi="Arial"/>
          <w:b/>
          <w:szCs w:val="32"/>
          <w:lang w:val="sr-Latn-ME"/>
        </w:rPr>
        <w:t>OSNOVI ZA OBAVEZNO ISKLJUČENJE IZ POSTUPKA JAVNE NABAVKE</w:t>
      </w:r>
      <w:bookmarkEnd w:id="4"/>
    </w:p>
    <w:p w14:paraId="37C89652">
      <w:pPr>
        <w:jc w:val="both"/>
        <w:rPr>
          <w:rFonts w:ascii="Arial" w:hAnsi="Arial" w:cs="Arial"/>
          <w:lang w:val="sr-Latn-ME"/>
        </w:rPr>
      </w:pPr>
    </w:p>
    <w:p w14:paraId="0F0EEDA4">
      <w:pPr>
        <w:rPr>
          <w:rFonts w:ascii="Arial" w:hAnsi="Arial" w:cs="Arial"/>
          <w:lang w:val="sr-Latn-ME"/>
        </w:rPr>
      </w:pPr>
      <w:r>
        <w:rPr>
          <w:rFonts w:ascii="Arial" w:hAnsi="Arial" w:cs="Arial"/>
          <w:lang w:val="sr-Latn-ME"/>
        </w:rPr>
        <w:t xml:space="preserve">Privredni subjekat će se isključiti iz postupka javne nabavke, ako: </w:t>
      </w:r>
    </w:p>
    <w:p w14:paraId="000B8AC8">
      <w:pPr>
        <w:numPr>
          <w:ilvl w:val="0"/>
          <w:numId w:val="6"/>
        </w:numPr>
        <w:rPr>
          <w:rFonts w:ascii="Arial" w:hAnsi="Arial" w:cs="Arial"/>
          <w:lang w:val="sr-Latn-ME"/>
        </w:rPr>
      </w:pPr>
      <w:bookmarkStart w:id="5" w:name="_Toc62730558"/>
      <w:r>
        <w:rPr>
          <w:rFonts w:ascii="Arial" w:hAnsi="Arial" w:cs="Arial"/>
          <w:lang w:val="sr-Latn-ME"/>
        </w:rPr>
        <w:t>je vršio neprimjeren uticaj u smislu člana 38 stav 2 tačka 1 ovog zakona;</w:t>
      </w:r>
    </w:p>
    <w:p w14:paraId="12781C54">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14:paraId="4388A51C">
      <w:pPr>
        <w:numPr>
          <w:ilvl w:val="0"/>
          <w:numId w:val="6"/>
        </w:numPr>
        <w:rPr>
          <w:rFonts w:ascii="Arial" w:hAnsi="Arial" w:cs="Arial"/>
          <w:lang w:val="sr-Latn-ME"/>
        </w:rPr>
      </w:pPr>
      <w:r>
        <w:rPr>
          <w:rFonts w:ascii="Arial" w:hAnsi="Arial" w:cs="Arial"/>
          <w:lang w:val="sr-Latn-ME"/>
        </w:rPr>
        <w:t>ne ispunjava uslov iz člana 99 ovog zakona;</w:t>
      </w:r>
    </w:p>
    <w:p w14:paraId="0B1DC4CB">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14:paraId="57AE42C5">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14:paraId="4602D7B5">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14:paraId="13991AD9">
      <w:pPr>
        <w:numPr>
          <w:ilvl w:val="0"/>
          <w:numId w:val="6"/>
        </w:numPr>
        <w:rPr>
          <w:rFonts w:ascii="Arial" w:hAnsi="Arial" w:cs="Arial"/>
          <w:lang w:val="sr-Latn-ME"/>
        </w:rPr>
      </w:pPr>
      <w:r>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D2A09C9">
      <w:pPr>
        <w:numPr>
          <w:ilvl w:val="0"/>
          <w:numId w:val="6"/>
        </w:numPr>
        <w:rPr>
          <w:rFonts w:ascii="Arial" w:hAnsi="Arial" w:cs="Arial"/>
          <w:lang w:val="sr-Latn-ME"/>
        </w:rPr>
      </w:pPr>
      <w:r>
        <w:rPr>
          <w:rFonts w:ascii="Arial" w:hAnsi="Arial" w:cs="Arial"/>
          <w:lang w:val="sr-Latn-ME"/>
        </w:rPr>
        <w:t>postoji drugi razlog propisan ovim zakonom.</w:t>
      </w:r>
    </w:p>
    <w:p w14:paraId="2B726E84">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r>
        <w:rPr>
          <w:rFonts w:ascii="Arial" w:hAnsi="Arial"/>
          <w:b/>
          <w:szCs w:val="32"/>
          <w:lang w:val="sr-Latn-ME"/>
        </w:rPr>
        <w:t>SREDSTVA FINANSIJSKOG OBEZBJEĐENJA UGOVORA O JAVNOJ NABAVCI</w:t>
      </w:r>
      <w:bookmarkEnd w:id="5"/>
    </w:p>
    <w:p w14:paraId="6C88AEA9">
      <w:pPr>
        <w:jc w:val="both"/>
        <w:rPr>
          <w:rFonts w:ascii="Arial" w:hAnsi="Arial" w:cs="Arial"/>
          <w:color w:val="000000"/>
          <w:lang w:val="sr-Latn-ME"/>
        </w:rPr>
      </w:pPr>
    </w:p>
    <w:p w14:paraId="2015B9F3">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14:paraId="63E1E7B0">
      <w:pPr>
        <w:jc w:val="both"/>
        <w:rPr>
          <w:rFonts w:ascii="Arial" w:hAnsi="Arial" w:cs="Arial"/>
          <w:lang w:val="sr-Latn-ME"/>
        </w:rPr>
      </w:pPr>
      <w:r>
        <w:rPr>
          <w:rFonts w:ascii="Arial" w:hAnsi="Arial" w:cs="Arial"/>
          <w:color w:val="000000"/>
          <w:lang w:val="sr-Latn-ME"/>
        </w:rPr>
        <w:sym w:font="Wingdings" w:char="00FE"/>
      </w:r>
      <w:r>
        <w:rPr>
          <w:rFonts w:ascii="Arial" w:hAnsi="Arial" w:cs="Arial"/>
          <w:color w:val="000000"/>
          <w:lang w:val="sr-Latn-ME"/>
        </w:rPr>
        <w:t xml:space="preserve"> </w:t>
      </w:r>
      <w:r>
        <w:rPr>
          <w:rFonts w:ascii="Arial" w:hAnsi="Arial" w:cs="Arial"/>
          <w:lang w:val="sr-Latn-ME"/>
        </w:rPr>
        <w:t>garanciju za dobro izvršenje ugovora  ako su potpisnici dužni da ga izvršavaju</w:t>
      </w:r>
      <w:r>
        <w:rPr>
          <w:rFonts w:ascii="Arial" w:hAnsi="Arial" w:cs="Arial"/>
          <w:vertAlign w:val="superscript"/>
          <w:lang w:val="sr-Latn-ME"/>
        </w:rPr>
        <w:footnoteReference w:id="7"/>
      </w:r>
      <w:r>
        <w:rPr>
          <w:rFonts w:ascii="Arial" w:hAnsi="Arial" w:cs="Arial"/>
          <w:lang w:val="sr-Latn-ME"/>
        </w:rPr>
        <w:t xml:space="preserve">, za slučaj povrede ugovorenih obaveza </w:t>
      </w:r>
      <w:r>
        <w:rPr>
          <w:rFonts w:ascii="Arial" w:hAnsi="Arial" w:cs="Arial"/>
          <w:color w:val="000000"/>
          <w:lang w:val="sr-Latn-ME"/>
        </w:rPr>
        <w:t xml:space="preserve">u iznosu od </w:t>
      </w:r>
      <w:r>
        <w:rPr>
          <w:rFonts w:hint="default" w:ascii="Arial" w:hAnsi="Arial" w:cs="Arial"/>
          <w:color w:val="000000"/>
          <w:lang w:val="sr-Latn-RS"/>
        </w:rPr>
        <w:t>5</w:t>
      </w:r>
      <w:r>
        <w:rPr>
          <w:rFonts w:ascii="Arial" w:hAnsi="Arial" w:cs="Arial"/>
          <w:color w:val="000000"/>
          <w:lang w:val="sr-Latn-ME"/>
        </w:rPr>
        <w:t>% od vrijednosti ugovora</w:t>
      </w:r>
      <w:r>
        <w:rPr>
          <w:rFonts w:ascii="Arial" w:hAnsi="Arial" w:cs="Arial"/>
          <w:vertAlign w:val="superscript"/>
          <w:lang w:val="sr-Latn-ME"/>
        </w:rPr>
        <w:t xml:space="preserve"> </w:t>
      </w:r>
      <w:r>
        <w:rPr>
          <w:rFonts w:ascii="Arial" w:hAnsi="Arial" w:cs="Arial"/>
          <w:vertAlign w:val="superscript"/>
          <w:lang w:val="sr-Latn-ME"/>
        </w:rPr>
        <w:footnoteReference w:id="8"/>
      </w:r>
      <w:r>
        <w:rPr>
          <w:rFonts w:ascii="Arial" w:hAnsi="Arial" w:cs="Arial"/>
          <w:lang w:val="sr-Latn-ME"/>
        </w:rPr>
        <w:t xml:space="preserve"> </w:t>
      </w:r>
    </w:p>
    <w:p w14:paraId="1AC4AD0F">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avansnu garanciju, </w:t>
      </w:r>
      <w:r>
        <w:rPr>
          <w:rFonts w:ascii="Arial" w:hAnsi="Arial" w:cs="Arial"/>
          <w:color w:val="000000"/>
          <w:lang w:val="sr-Latn-ME"/>
        </w:rPr>
        <w:t>za avansno plaćanje u iznosu ugovorenog avansa, sa rokom važenja za vrijeme ukupnog trajanja ugovora</w:t>
      </w:r>
    </w:p>
    <w:p w14:paraId="0E7AB2BA">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garanciju za otklanjanje nedostataka u garantnom roku, za slučaj da izabrani ponuđač u garantnom roku ne ispuni obaveze na koje se garancija odnosi </w:t>
      </w:r>
      <w:r>
        <w:rPr>
          <w:rFonts w:ascii="Arial" w:hAnsi="Arial" w:cs="Arial"/>
          <w:color w:val="000000"/>
          <w:lang w:val="sr-Latn-ME"/>
        </w:rPr>
        <w:t xml:space="preserve">u iznosu od _______% od vrijednosti ugovora </w:t>
      </w:r>
      <w:r>
        <w:rPr>
          <w:rFonts w:ascii="Arial" w:hAnsi="Arial" w:cs="Arial"/>
          <w:lang w:val="sr-Latn-ME"/>
        </w:rPr>
        <w:t xml:space="preserve">sa rokom važenja od _________. </w:t>
      </w:r>
    </w:p>
    <w:p w14:paraId="6B13CEB0">
      <w:pPr>
        <w:jc w:val="both"/>
        <w:rPr>
          <w:rFonts w:ascii="Arial" w:hAnsi="Arial" w:cs="Arial"/>
          <w:lang w:val="sr-Latn-ME"/>
        </w:rPr>
      </w:pPr>
      <w:r>
        <w:rPr>
          <w:rFonts w:ascii="Arial" w:hAnsi="Arial" w:cs="Arial"/>
          <w:color w:val="000000"/>
          <w:lang w:val="sr-Latn-ME"/>
        </w:rPr>
        <w:sym w:font="Wingdings" w:char="00FE"/>
      </w:r>
      <w:r>
        <w:rPr>
          <w:rFonts w:ascii="Arial" w:hAnsi="Arial" w:cs="Arial"/>
          <w:color w:val="000000"/>
          <w:lang w:val="sr-Latn-ME"/>
        </w:rPr>
        <w:t xml:space="preserve"> </w:t>
      </w:r>
      <w:r>
        <w:rPr>
          <w:rFonts w:ascii="Arial" w:hAnsi="Arial" w:cs="Arial"/>
          <w:lang w:val="sr-Latn-ME"/>
        </w:rPr>
        <w:t>polisu osiguranja od profesionalne odgovornosti u iznosu od</w:t>
      </w:r>
      <w:r>
        <w:rPr>
          <w:rFonts w:hint="default" w:ascii="Arial" w:hAnsi="Arial" w:cs="Arial"/>
          <w:lang w:val="sr-Latn-RS"/>
        </w:rPr>
        <w:t xml:space="preserve">  100.000,00</w:t>
      </w:r>
      <w:r>
        <w:rPr>
          <w:rFonts w:ascii="Arial" w:hAnsi="Arial" w:cs="Arial"/>
          <w:lang w:val="sr-Latn-ME"/>
        </w:rPr>
        <w:t xml:space="preserve"> eura sa rokom važenja od _________, u skladu sa zakonom; </w:t>
      </w:r>
    </w:p>
    <w:p w14:paraId="153C0DAB">
      <w:pPr>
        <w:jc w:val="both"/>
        <w:rPr>
          <w:rFonts w:ascii="Arial" w:hAnsi="Arial" w:cs="Arial"/>
          <w:b/>
          <w:bCs/>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druge vrste garancija u skladu sa zakonom:</w:t>
      </w:r>
    </w:p>
    <w:p w14:paraId="3424A9F6">
      <w:pPr>
        <w:jc w:val="both"/>
        <w:rPr>
          <w:rFonts w:ascii="Arial" w:hAnsi="Arial" w:eastAsia="Calibri" w:cs="Arial"/>
          <w:color w:val="000000"/>
          <w:lang w:val="sr-Latn-ME"/>
        </w:rPr>
      </w:pPr>
      <w:r>
        <w:rPr>
          <w:rFonts w:ascii="Arial" w:hAnsi="Arial" w:eastAsia="Calibri" w:cs="Arial"/>
          <w:color w:val="000000"/>
          <w:lang w:val="sr-Latn-ME"/>
        </w:rPr>
        <w:sym w:font="Wingdings" w:char="F0A8"/>
      </w:r>
      <w:r>
        <w:rPr>
          <w:rFonts w:ascii="Arial" w:hAnsi="Arial" w:eastAsia="Calibri" w:cs="Arial"/>
          <w:color w:val="000000"/>
          <w:lang w:val="sr-Latn-ME"/>
        </w:rPr>
        <w:t xml:space="preserve"> garanciju za _______________________ sa rokom važenja _____.</w:t>
      </w:r>
    </w:p>
    <w:p w14:paraId="4CCB41F9">
      <w:pPr>
        <w:jc w:val="both"/>
        <w:rPr>
          <w:rFonts w:ascii="Arial" w:hAnsi="Arial" w:eastAsia="Calibri" w:cs="Arial"/>
          <w:color w:val="000000"/>
          <w:lang w:val="sr-Latn-ME"/>
        </w:rPr>
      </w:pPr>
    </w:p>
    <w:p w14:paraId="501203B6">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hanging="630"/>
        <w:outlineLvl w:val="0"/>
        <w:rPr>
          <w:rFonts w:ascii="Arial" w:hAnsi="Arial"/>
          <w:b/>
          <w:color w:val="000000"/>
          <w:szCs w:val="32"/>
          <w:lang w:val="sr-Latn-ME"/>
        </w:rPr>
      </w:pPr>
      <w:bookmarkStart w:id="6" w:name="_Toc62730559"/>
      <w:r>
        <w:rPr>
          <w:rFonts w:ascii="Arial" w:hAnsi="Arial"/>
          <w:b/>
          <w:szCs w:val="32"/>
          <w:lang w:val="sr-Latn-ME"/>
        </w:rPr>
        <w:t>METODOLOGIJA VREDNOVANJA PONUDA</w:t>
      </w:r>
      <w:bookmarkEnd w:id="6"/>
    </w:p>
    <w:p w14:paraId="4D1D4C7A">
      <w:pPr>
        <w:rPr>
          <w:rFonts w:ascii="Arial" w:hAnsi="Arial" w:cs="Arial"/>
          <w:lang w:val="sr-Latn-ME"/>
        </w:rPr>
      </w:pPr>
    </w:p>
    <w:p w14:paraId="0FC78949">
      <w:pPr>
        <w:jc w:val="both"/>
        <w:rPr>
          <w:rFonts w:ascii="Arial" w:hAnsi="Arial" w:cs="Arial"/>
          <w:lang w:val="sr-Latn-ME"/>
        </w:rPr>
      </w:pPr>
      <w:r>
        <w:rPr>
          <w:rFonts w:ascii="Arial" w:hAnsi="Arial" w:cs="Arial"/>
          <w:lang w:val="sr-Latn-ME"/>
        </w:rPr>
        <w:t>Naručilac će u postupku javne nabavki izabrati ekonomski najpovoljniju ponudu, primjenom pristupa isplativosti, po osnovu kriterijuma</w:t>
      </w:r>
      <w:r>
        <w:rPr>
          <w:rFonts w:ascii="Arial" w:hAnsi="Arial" w:cs="Arial"/>
          <w:vertAlign w:val="superscript"/>
          <w:lang w:val="sr-Latn-ME"/>
        </w:rPr>
        <w:footnoteReference w:id="9"/>
      </w:r>
      <w:r>
        <w:rPr>
          <w:rFonts w:ascii="Arial" w:hAnsi="Arial" w:cs="Arial"/>
          <w:lang w:val="sr-Latn-ME"/>
        </w:rPr>
        <w:t xml:space="preserve">: </w:t>
      </w:r>
    </w:p>
    <w:p w14:paraId="4D2C281A">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cijena, </w:t>
      </w:r>
    </w:p>
    <w:p w14:paraId="10B2FE4F">
      <w:pPr>
        <w:rPr>
          <w:rFonts w:ascii="Arial" w:hAnsi="Arial" w:cs="Arial"/>
          <w:lang w:val="sr-Latn-ME"/>
        </w:rPr>
      </w:pPr>
      <w:r>
        <w:rPr>
          <w:rFonts w:ascii="Arial" w:hAnsi="Arial" w:cs="Arial"/>
          <w:color w:val="000000"/>
          <w:lang w:val="sr-Latn-ME"/>
        </w:rPr>
        <w:sym w:font="Wingdings" w:char="00FE"/>
      </w:r>
      <w:r>
        <w:rPr>
          <w:rFonts w:ascii="Arial" w:hAnsi="Arial" w:cs="Arial"/>
          <w:color w:val="000000"/>
          <w:lang w:val="sr-Latn-ME"/>
        </w:rPr>
        <w:t xml:space="preserve"> </w:t>
      </w:r>
      <w:r>
        <w:rPr>
          <w:rFonts w:ascii="Arial" w:hAnsi="Arial" w:cs="Arial"/>
          <w:lang w:val="sr-Latn-ME"/>
        </w:rPr>
        <w:t xml:space="preserve">odnos cijene i kvaliteta </w:t>
      </w:r>
    </w:p>
    <w:p w14:paraId="5F4CA75A">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trošak životnog ciklusa.</w:t>
      </w:r>
    </w:p>
    <w:p w14:paraId="37C7B868">
      <w:pPr>
        <w:rPr>
          <w:rFonts w:ascii="Arial" w:hAnsi="Arial" w:cs="Arial"/>
          <w:lang w:val="sr-Latn-ME"/>
        </w:rPr>
      </w:pPr>
    </w:p>
    <w:p w14:paraId="2F0BB59C">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 xml:space="preserve">Naručilac će u postupku javne nabavke izabrati ekonomski najpovoljniju ponudu, primjenom pristupa isplativosti, po osnovu kriterijuma : </w:t>
      </w:r>
    </w:p>
    <w:p w14:paraId="6F42F24B">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7656122A">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 xml:space="preserve">• odnos cijene i kvaliteta </w:t>
      </w:r>
    </w:p>
    <w:p w14:paraId="5F03DD40">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324BD42A">
      <w:pPr>
        <w:pBdr>
          <w:top w:val="single" w:color="auto" w:sz="4" w:space="1"/>
          <w:left w:val="single" w:color="auto" w:sz="4" w:space="4"/>
          <w:bottom w:val="single" w:color="auto" w:sz="4" w:space="1"/>
          <w:right w:val="single" w:color="auto" w:sz="4" w:space="4"/>
        </w:pBdr>
        <w:jc w:val="both"/>
        <w:rPr>
          <w:rFonts w:hint="default" w:ascii="Arial" w:hAnsi="Arial" w:cs="Arial"/>
          <w:color w:val="000000"/>
          <w:lang w:val="sr-Latn-RS"/>
        </w:rPr>
      </w:pPr>
      <w:r>
        <w:rPr>
          <w:rFonts w:ascii="Arial" w:hAnsi="Arial" w:cs="Arial"/>
          <w:color w:val="000000"/>
        </w:rPr>
        <w:t xml:space="preserve">1. Parametar: Cijena (C) ..................maksimalan broj bodova </w:t>
      </w:r>
      <w:r>
        <w:rPr>
          <w:rFonts w:hint="default" w:ascii="Arial" w:hAnsi="Arial" w:cs="Arial"/>
          <w:color w:val="000000"/>
          <w:lang w:val="sr-Latn-RS"/>
        </w:rPr>
        <w:t>70</w:t>
      </w:r>
    </w:p>
    <w:p w14:paraId="22172906">
      <w:pPr>
        <w:pBdr>
          <w:top w:val="single" w:color="auto" w:sz="4" w:space="1"/>
          <w:left w:val="single" w:color="auto" w:sz="4" w:space="4"/>
          <w:bottom w:val="single" w:color="auto" w:sz="4" w:space="1"/>
          <w:right w:val="single" w:color="auto" w:sz="4" w:space="4"/>
        </w:pBdr>
        <w:jc w:val="both"/>
        <w:rPr>
          <w:rFonts w:hint="default" w:ascii="Arial" w:hAnsi="Arial" w:cs="Arial"/>
          <w:color w:val="000000"/>
          <w:lang w:val="sr-Latn-RS"/>
        </w:rPr>
      </w:pPr>
      <w:r>
        <w:rPr>
          <w:rFonts w:ascii="Arial" w:hAnsi="Arial" w:cs="Arial"/>
          <w:color w:val="000000"/>
        </w:rPr>
        <w:t>2. Parametar: Kvalitet</w:t>
      </w:r>
      <w:r>
        <w:rPr>
          <w:rFonts w:hint="default" w:ascii="Arial" w:hAnsi="Arial" w:cs="Arial"/>
          <w:color w:val="000000"/>
          <w:lang w:val="sr-Latn-RS"/>
        </w:rPr>
        <w:t xml:space="preserve"> 1</w:t>
      </w:r>
      <w:r>
        <w:rPr>
          <w:rFonts w:ascii="Arial" w:hAnsi="Arial" w:cs="Arial"/>
          <w:color w:val="000000"/>
        </w:rPr>
        <w:t xml:space="preserve"> (K</w:t>
      </w:r>
      <w:r>
        <w:rPr>
          <w:rFonts w:hint="default" w:ascii="Arial" w:hAnsi="Arial" w:cs="Arial"/>
          <w:color w:val="000000"/>
          <w:lang w:val="sr-Latn-RS"/>
        </w:rPr>
        <w:t>1</w:t>
      </w:r>
      <w:r>
        <w:rPr>
          <w:rFonts w:ascii="Arial" w:hAnsi="Arial" w:cs="Arial"/>
          <w:color w:val="000000"/>
        </w:rPr>
        <w:t xml:space="preserve">) .................maksimalan broj bodova </w:t>
      </w:r>
      <w:r>
        <w:rPr>
          <w:rFonts w:hint="default" w:ascii="Arial" w:hAnsi="Arial" w:cs="Arial"/>
          <w:color w:val="000000"/>
          <w:lang w:val="sr-Latn-RS"/>
        </w:rPr>
        <w:t>20</w:t>
      </w:r>
    </w:p>
    <w:p w14:paraId="01ED8159">
      <w:pPr>
        <w:pBdr>
          <w:top w:val="single" w:color="auto" w:sz="4" w:space="1"/>
          <w:left w:val="single" w:color="auto" w:sz="4" w:space="4"/>
          <w:bottom w:val="single" w:color="auto" w:sz="4" w:space="1"/>
          <w:right w:val="single" w:color="auto" w:sz="4" w:space="4"/>
        </w:pBdr>
        <w:jc w:val="both"/>
        <w:rPr>
          <w:rFonts w:hint="default" w:ascii="Arial" w:hAnsi="Arial" w:cs="Arial"/>
          <w:color w:val="000000"/>
          <w:lang w:val="sr-Latn-RS"/>
        </w:rPr>
      </w:pPr>
      <w:r>
        <w:rPr>
          <w:rFonts w:hint="default" w:ascii="Arial" w:hAnsi="Arial" w:cs="Arial"/>
          <w:color w:val="000000"/>
          <w:lang w:val="sr-Latn-RS"/>
        </w:rPr>
        <w:t>3. Parametar: Kvalitet 2 (K2)</w:t>
      </w:r>
      <w:r>
        <w:rPr>
          <w:rFonts w:ascii="Arial" w:hAnsi="Arial" w:cs="Arial"/>
          <w:color w:val="000000"/>
        </w:rPr>
        <w:t>.................maksimalan broj bodova</w:t>
      </w:r>
      <w:r>
        <w:rPr>
          <w:rFonts w:hint="default" w:ascii="Arial" w:hAnsi="Arial" w:cs="Arial"/>
          <w:color w:val="000000"/>
          <w:lang w:val="sr-Latn-RS"/>
        </w:rPr>
        <w:t xml:space="preserve"> 10</w:t>
      </w:r>
    </w:p>
    <w:p w14:paraId="6D8D95E1">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6BBBDC9C">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Ukupan broj bodova = broj bodova za ponuđenu cijenu (C) + broj bodova za kvalitet (K)</w:t>
      </w:r>
    </w:p>
    <w:p w14:paraId="210B40E3">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47C513D0">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1.  Ponuđena cijena (C=</w:t>
      </w:r>
      <w:r>
        <w:rPr>
          <w:rFonts w:hint="default" w:ascii="Arial" w:hAnsi="Arial" w:cs="Arial"/>
          <w:color w:val="000000"/>
          <w:lang w:val="sr-Latn-RS"/>
        </w:rPr>
        <w:t>7</w:t>
      </w:r>
      <w:r>
        <w:rPr>
          <w:rFonts w:ascii="Arial" w:hAnsi="Arial" w:cs="Arial"/>
          <w:color w:val="000000"/>
        </w:rPr>
        <w:t>0 bodova)</w:t>
      </w:r>
    </w:p>
    <w:p w14:paraId="6E95FA1C">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0AA9056D">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kriterijum najniža ponuđena cijena iskazuje se na način što se najniže ponuđena  cijena podijeli sa ponuđenom cijenom i dobijeni količnik pomnoži sa brojem bodova (</w:t>
      </w:r>
      <w:r>
        <w:rPr>
          <w:rFonts w:hint="default" w:ascii="Arial" w:hAnsi="Arial" w:cs="Arial"/>
          <w:color w:val="000000"/>
          <w:lang w:val="sr-Latn-RS"/>
        </w:rPr>
        <w:t>7</w:t>
      </w:r>
      <w:r>
        <w:rPr>
          <w:rFonts w:ascii="Arial" w:hAnsi="Arial" w:cs="Arial"/>
          <w:color w:val="000000"/>
        </w:rPr>
        <w:t xml:space="preserve">0 bodova) i to po formuli: </w:t>
      </w:r>
    </w:p>
    <w:p w14:paraId="1141E6D0">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28408697">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 xml:space="preserve">C=(Cmin/Cp)x </w:t>
      </w:r>
      <w:r>
        <w:rPr>
          <w:rFonts w:hint="default" w:ascii="Arial" w:hAnsi="Arial" w:cs="Arial"/>
          <w:color w:val="000000"/>
          <w:lang w:val="sr-Latn-RS"/>
        </w:rPr>
        <w:t>7</w:t>
      </w:r>
      <w:r>
        <w:rPr>
          <w:rFonts w:ascii="Arial" w:hAnsi="Arial" w:cs="Arial"/>
          <w:color w:val="000000"/>
        </w:rPr>
        <w:t>0</w:t>
      </w:r>
    </w:p>
    <w:p w14:paraId="4E781E34">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Cmin-najniža ponuđena cijena (bez PDV-a)</w:t>
      </w:r>
    </w:p>
    <w:p w14:paraId="2F98880B">
      <w:pPr>
        <w:pBdr>
          <w:top w:val="single" w:color="auto" w:sz="4" w:space="1"/>
          <w:left w:val="single" w:color="auto" w:sz="4" w:space="4"/>
          <w:bottom w:val="single" w:color="auto" w:sz="4" w:space="1"/>
          <w:right w:val="single" w:color="auto" w:sz="4" w:space="4"/>
        </w:pBdr>
        <w:jc w:val="both"/>
        <w:rPr>
          <w:rFonts w:hint="default" w:ascii="Arial" w:hAnsi="Arial" w:cs="Arial"/>
          <w:color w:val="000000"/>
          <w:lang w:val="sr-Latn-RS"/>
        </w:rPr>
      </w:pPr>
      <w:r>
        <w:rPr>
          <w:rFonts w:ascii="Arial" w:hAnsi="Arial" w:cs="Arial"/>
          <w:color w:val="000000"/>
        </w:rPr>
        <w:t>Cp-ponuđena cijena (bez PDV-a)</w:t>
      </w:r>
      <w:r>
        <w:rPr>
          <w:rFonts w:hint="default" w:ascii="Arial" w:hAnsi="Arial" w:cs="Arial"/>
          <w:color w:val="000000"/>
          <w:lang w:val="sr-Latn-RS"/>
        </w:rPr>
        <w:t xml:space="preserve">   </w:t>
      </w:r>
    </w:p>
    <w:p w14:paraId="3E17B56D">
      <w:pPr>
        <w:pBdr>
          <w:top w:val="single" w:color="auto" w:sz="4" w:space="1"/>
          <w:left w:val="single" w:color="auto" w:sz="4" w:space="4"/>
          <w:bottom w:val="single" w:color="auto" w:sz="4" w:space="1"/>
          <w:right w:val="single" w:color="auto" w:sz="4" w:space="4"/>
        </w:pBdr>
        <w:jc w:val="both"/>
        <w:rPr>
          <w:rFonts w:ascii="Arial" w:hAnsi="Arial" w:cs="Arial"/>
          <w:i/>
          <w:color w:val="000000"/>
          <w:lang w:val="sr-Latn-ME"/>
        </w:rPr>
      </w:pPr>
    </w:p>
    <w:p w14:paraId="33CE15DE">
      <w:r>
        <w:t>Podkriterijum kvalitet (K1) vrednovaće se na sljedeći način: najkraći ponuđeni rok za izvođenje radova, podijeli sa ponuđenim rokom i dobijeni količnik pomnoži sa brojem bodova (10 bodova) i to po formuli: K1=(Kmin/Kp)x10 Kmin- najkraći ponuđeni rok za izvođenje radova Kp – ponuđeni rok za izvođenje radova Napomena: Ponuđeni rok izvođenja radova ne može biti manji od 80 radnih dana niti duži od 95 radnih dana.</w:t>
      </w:r>
    </w:p>
    <w:p w14:paraId="2E810592">
      <w:r>
        <w:t>Kvalitet (K2) Ponude se vrednuju po osnovu parametra kvalitet koji se odnosi na kvalifikacije i iskustvo ovlašćenog ma</w:t>
      </w:r>
      <w:r>
        <w:rPr>
          <w:lang w:val="sr-Latn-ME"/>
        </w:rPr>
        <w:t>š</w:t>
      </w:r>
      <w:r>
        <w:t>inskog inženjera koji će rukovoditi na istim ili sličnim poslovima iz oblasti predmeta nabavke. Pod istim ili sličnim poslovima iz oblasti predmeta javne nabavke podrazumijevaju se radovi na ugradnji VRV Sistema I Sistema grijanja I hladjenja minimalne ukupne snage grijanja ili hladjenja 80kW u objekte minimalne površine 550m2  kao I adaptacije kotlarnice ili centralnog grijanja (zamjena kotlova ili ugradnja novih kotlova koji kao energent koriste pelet ili loz ulje ili tečni naftni gas a snage veće od 100 kw ili adaptacija radijatorskog Sistema grijanja ili ugradnja novog radijatorskog sitema grijanja u objekte minimalne površine 900m2 ) vrijednosti pojedinačnog ugovora veće od 75.000,00 € sa PDV-om, a što se dokazuje potvrdom izdatom od strane investitora odnosno pravnih lica o izvedenim radovima, tokom prethodnih godina ali ne duže od pet godina, računajući i godinu u kojoj je započet postupak javne nabavke, koja sadrži opis i vrijednost predmeta nabavke, vrijeme realizacije ugovora i konstataciju da je ugovor blagovremeno i kvalitetno izvršen.Vrednovanje ponuda po ovom parametru vršiće se po apsolutnom metodu, a na osnovu priznatih potvrda iznad predviđenih minimalnih zahtjeva stručne i tehničke osposobljenosti (iznad zahtijevanih minimum 3 potvrde). Maksimalan broj bodova po ovom parametru dodijelit će se ponuđaču koji ponudi najveći broj dokaza koji ispunjavaju navedeni uslov. Bodovi za ostale ponuđače utvrdit će se po sledećoj formuli: K2 = (Kp/Kmax) x 20; K2 - broj bodova, Kmax – najveći broj dokaza koji ispunjavaju navedeni uslov, Kp - ponuđeni broj dokaza koji ispunjavaju navedeni uslov.</w:t>
      </w:r>
    </w:p>
    <w:p w14:paraId="176EAF16"/>
    <w:p w14:paraId="29420D4D"/>
    <w:p w14:paraId="7839FA0A">
      <w:pPr>
        <w:pBdr>
          <w:top w:val="single" w:color="auto" w:sz="4" w:space="1"/>
          <w:left w:val="single" w:color="auto" w:sz="4" w:space="4"/>
          <w:bottom w:val="single" w:color="auto" w:sz="4" w:space="1"/>
          <w:right w:val="single" w:color="auto" w:sz="4" w:space="4"/>
        </w:pBdr>
        <w:jc w:val="both"/>
        <w:rPr>
          <w:rFonts w:ascii="Arial" w:hAnsi="Arial" w:cs="Arial"/>
          <w:i/>
          <w:color w:val="000000"/>
          <w:lang w:val="sr-Latn-ME"/>
        </w:rPr>
      </w:pPr>
    </w:p>
    <w:p w14:paraId="52A239FE">
      <w:pPr>
        <w:jc w:val="both"/>
        <w:rPr>
          <w:rFonts w:ascii="Arial" w:hAnsi="Arial" w:cs="Arial"/>
          <w:color w:val="000000"/>
          <w:lang w:val="sr-Latn-ME"/>
        </w:rPr>
      </w:pPr>
    </w:p>
    <w:p w14:paraId="2F260651">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Vrednovanje</w:t>
      </w:r>
      <w:r>
        <w:rPr>
          <w:rFonts w:ascii="Arial" w:hAnsi="Arial" w:cs="Arial"/>
          <w:lang w:val="sr-Latn-ME"/>
        </w:rPr>
        <w:t xml:space="preserve"> ponuda sa varijantama: </w:t>
      </w:r>
    </w:p>
    <w:p w14:paraId="65CA0109">
      <w:pPr>
        <w:jc w:val="both"/>
        <w:rPr>
          <w:rFonts w:ascii="Arial" w:hAnsi="Arial" w:cs="Arial"/>
          <w:lang w:val="sr-Latn-ME"/>
        </w:rPr>
      </w:pPr>
    </w:p>
    <w:p w14:paraId="3E75815C">
      <w:pPr>
        <w:jc w:val="both"/>
        <w:rPr>
          <w:rFonts w:hint="default" w:ascii="Arial" w:hAnsi="Arial" w:cs="Arial"/>
          <w:color w:val="000000"/>
          <w:lang w:val="sr-Latn-RS"/>
        </w:rPr>
      </w:pPr>
      <w:r>
        <w:rPr>
          <w:rFonts w:ascii="Arial" w:hAnsi="Arial" w:cs="Arial"/>
          <w:lang w:val="sr-Latn-ME"/>
        </w:rPr>
        <w:t>Ukoliko je tenderskom dokumentacijom predvidjena mogućnost ponude sa varijantama, metodologija vrednovanja ponuda mora da obezbijedi primjenu predvidjenog kriterijuma vrednovanja na sve predviđene varijante ponude na način</w:t>
      </w:r>
      <w:r>
        <w:rPr>
          <w:rFonts w:ascii="Arial" w:hAnsi="Arial" w:cs="Arial"/>
          <w:vertAlign w:val="superscript"/>
          <w:lang w:val="sr-Latn-ME"/>
        </w:rPr>
        <w:footnoteReference w:id="10"/>
      </w:r>
      <w:r>
        <w:rPr>
          <w:rFonts w:ascii="Arial" w:hAnsi="Arial" w:cs="Arial"/>
          <w:lang w:val="sr-Latn-ME"/>
        </w:rPr>
        <w:t>:</w:t>
      </w:r>
      <w:r>
        <w:rPr>
          <w:rFonts w:hint="default" w:ascii="Arial" w:hAnsi="Arial" w:cs="Arial"/>
          <w:lang w:val="sr-Latn-RS"/>
        </w:rPr>
        <w:t xml:space="preserve"> PONUDE SA VARIJANTAMA SE NEĆE VRENDNOVATI </w:t>
      </w:r>
    </w:p>
    <w:p w14:paraId="6CF41741">
      <w:pPr>
        <w:jc w:val="both"/>
        <w:rPr>
          <w:rFonts w:ascii="Arial" w:hAnsi="Arial" w:cs="Arial"/>
          <w:color w:val="000000"/>
          <w:lang w:val="sr-Latn-ME"/>
        </w:rPr>
      </w:pPr>
    </w:p>
    <w:p w14:paraId="5EBE56AC">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bookmarkStart w:id="7" w:name="_Toc62730560"/>
      <w:r>
        <w:rPr>
          <w:rFonts w:ascii="Arial" w:hAnsi="Arial"/>
          <w:b/>
          <w:szCs w:val="32"/>
          <w:lang w:val="sr-Latn-ME"/>
        </w:rPr>
        <w:t>JEZIK PONUDE</w:t>
      </w:r>
      <w:bookmarkEnd w:id="7"/>
    </w:p>
    <w:p w14:paraId="3854B2D4">
      <w:pPr>
        <w:jc w:val="both"/>
        <w:rPr>
          <w:rFonts w:ascii="Arial" w:hAnsi="Arial" w:cs="Arial"/>
          <w:b/>
          <w:bCs/>
          <w:color w:val="000000"/>
          <w:lang w:val="sr-Latn-ME"/>
        </w:rPr>
      </w:pPr>
    </w:p>
    <w:p w14:paraId="1F245282">
      <w:pPr>
        <w:jc w:val="both"/>
        <w:rPr>
          <w:rFonts w:ascii="Arial" w:hAnsi="Arial" w:cs="Arial"/>
          <w:color w:val="000000"/>
          <w:lang w:val="sr-Latn-ME"/>
        </w:rPr>
      </w:pPr>
      <w:r>
        <w:rPr>
          <w:rFonts w:ascii="Arial" w:hAnsi="Arial" w:cs="Arial"/>
          <w:color w:val="000000"/>
          <w:lang w:val="sr-Latn-ME"/>
        </w:rPr>
        <w:t>Ponuda se sačinjava na:</w:t>
      </w:r>
    </w:p>
    <w:p w14:paraId="3B4E1CC3">
      <w:pPr>
        <w:jc w:val="both"/>
        <w:rPr>
          <w:rFonts w:ascii="Arial" w:hAnsi="Arial" w:cs="Arial"/>
          <w:b/>
          <w:bCs/>
          <w:color w:val="000000"/>
          <w:lang w:val="sr-Latn-ME"/>
        </w:rPr>
      </w:pPr>
    </w:p>
    <w:p w14:paraId="218219AB">
      <w:pPr>
        <w:jc w:val="both"/>
        <w:rPr>
          <w:rFonts w:ascii="Arial" w:hAnsi="Arial" w:cs="Arial"/>
          <w:color w:val="000000"/>
          <w:lang w:val="sr-Latn-ME"/>
        </w:rPr>
      </w:pPr>
      <w:r>
        <w:rPr>
          <w:rFonts w:ascii="Arial" w:hAnsi="Arial" w:cs="Arial"/>
          <w:color w:val="000000"/>
          <w:lang w:val="sr-Latn-ME"/>
        </w:rPr>
        <w:sym w:font="Wingdings" w:char="00FE"/>
      </w:r>
      <w:r>
        <w:rPr>
          <w:rFonts w:ascii="Arial" w:hAnsi="Arial" w:cs="Arial"/>
          <w:color w:val="000000"/>
          <w:lang w:val="sr-Latn-ME"/>
        </w:rPr>
        <w:t xml:space="preserve"> crnogorski jezik i drugi jezik koji je u službenoj upotrebi u Crnoj Gori, u skladu sa Ustavom i zakonom</w:t>
      </w:r>
    </w:p>
    <w:p w14:paraId="56E6CB91">
      <w:pPr>
        <w:jc w:val="both"/>
        <w:rPr>
          <w:rFonts w:ascii="Arial" w:hAnsi="Arial" w:cs="Arial"/>
          <w:lang w:val="sr-Latn-ME"/>
        </w:rPr>
      </w:pPr>
    </w:p>
    <w:p w14:paraId="4966C26C">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bookmarkStart w:id="8" w:name="_Toc62730561"/>
      <w:r>
        <w:rPr>
          <w:rFonts w:ascii="Arial" w:hAnsi="Arial"/>
          <w:b/>
          <w:szCs w:val="32"/>
          <w:lang w:val="sr-Latn-ME"/>
        </w:rPr>
        <w:t>NAČIN, MJESTO I VRIJEME PODNOŠENJA PONUDA I OTVARANJA PONUDA</w:t>
      </w:r>
      <w:bookmarkEnd w:id="8"/>
    </w:p>
    <w:p w14:paraId="4892FF91">
      <w:pPr>
        <w:jc w:val="both"/>
        <w:rPr>
          <w:rFonts w:ascii="Arial" w:hAnsi="Arial" w:cs="Arial"/>
          <w:b/>
          <w:bCs/>
          <w:color w:val="000000"/>
          <w:lang w:val="sr-Latn-ME"/>
        </w:rPr>
      </w:pPr>
    </w:p>
    <w:p w14:paraId="6ADB2792">
      <w:pPr>
        <w:jc w:val="both"/>
        <w:rPr>
          <w:rFonts w:ascii="Arial" w:hAnsi="Arial" w:cs="Arial"/>
          <w:color w:val="000000"/>
          <w:lang w:val="sr-Latn-ME"/>
        </w:rPr>
      </w:pPr>
      <w:r>
        <w:rPr>
          <w:rFonts w:ascii="Arial" w:hAnsi="Arial" w:cs="Arial"/>
          <w:color w:val="000000"/>
          <w:lang w:val="sr-Latn-ME"/>
        </w:rPr>
        <w:t xml:space="preserve">Ponude se podnose preko ESJN-a zaključno sa danom </w:t>
      </w:r>
      <w:r>
        <w:rPr>
          <w:rFonts w:hint="default" w:ascii="Arial" w:hAnsi="Arial" w:cs="Arial"/>
          <w:color w:val="000000"/>
          <w:lang w:val="sr-Latn-RS"/>
        </w:rPr>
        <w:t xml:space="preserve">27.01.2026. </w:t>
      </w:r>
      <w:r>
        <w:rPr>
          <w:rFonts w:ascii="Arial" w:hAnsi="Arial" w:cs="Arial"/>
          <w:color w:val="000000"/>
          <w:lang w:val="sr-Latn-ME"/>
        </w:rPr>
        <w:t xml:space="preserve">godine do </w:t>
      </w:r>
      <w:r>
        <w:rPr>
          <w:rFonts w:hint="default" w:ascii="Arial" w:hAnsi="Arial" w:cs="Arial"/>
          <w:color w:val="000000"/>
          <w:lang w:val="sr-Latn-RS"/>
        </w:rPr>
        <w:t>10</w:t>
      </w:r>
      <w:r>
        <w:rPr>
          <w:rFonts w:ascii="Arial" w:hAnsi="Arial" w:cs="Arial"/>
          <w:color w:val="000000"/>
          <w:lang w:val="sr-Latn-ME"/>
        </w:rPr>
        <w:t xml:space="preserve"> sati.</w:t>
      </w:r>
    </w:p>
    <w:p w14:paraId="5E3D52C0">
      <w:pPr>
        <w:jc w:val="both"/>
        <w:rPr>
          <w:rFonts w:ascii="Arial" w:hAnsi="Arial" w:cs="Arial"/>
          <w:b/>
          <w:bCs/>
          <w:i/>
          <w:iCs/>
          <w:color w:val="000000"/>
          <w:lang w:val="sr-Latn-ME"/>
        </w:rPr>
      </w:pPr>
    </w:p>
    <w:p w14:paraId="3B186EAA">
      <w:pPr>
        <w:jc w:val="both"/>
        <w:rPr>
          <w:rFonts w:ascii="Arial" w:hAnsi="Arial" w:cs="Arial"/>
          <w:color w:val="000000"/>
          <w:lang w:val="sr-Latn-ME"/>
        </w:rPr>
      </w:pPr>
      <w:r>
        <w:rPr>
          <w:rFonts w:ascii="Arial" w:hAnsi="Arial" w:cs="Arial"/>
          <w:color w:val="000000"/>
          <w:lang w:val="sr-Latn-ME"/>
        </w:rPr>
        <w:t xml:space="preserve">Otvaranje ponuda održaće se dana  </w:t>
      </w:r>
      <w:r>
        <w:rPr>
          <w:rFonts w:hint="default" w:ascii="Arial" w:hAnsi="Arial" w:cs="Arial"/>
          <w:color w:val="000000"/>
          <w:lang w:val="sr-Latn-RS"/>
        </w:rPr>
        <w:t>27.01.2026.</w:t>
      </w:r>
      <w:r>
        <w:rPr>
          <w:rFonts w:ascii="Arial" w:hAnsi="Arial" w:cs="Arial"/>
          <w:color w:val="000000"/>
          <w:lang w:val="sr-Latn-ME"/>
        </w:rPr>
        <w:t xml:space="preserve"> godine u </w:t>
      </w:r>
      <w:r>
        <w:rPr>
          <w:rFonts w:hint="default" w:ascii="Arial" w:hAnsi="Arial" w:cs="Arial"/>
          <w:color w:val="000000"/>
          <w:lang w:val="sr-Latn-RS"/>
        </w:rPr>
        <w:t>10</w:t>
      </w:r>
      <w:r>
        <w:rPr>
          <w:rFonts w:ascii="Arial" w:hAnsi="Arial" w:cs="Arial"/>
          <w:color w:val="000000"/>
          <w:lang w:val="sr-Latn-ME"/>
        </w:rPr>
        <w:t xml:space="preserve"> sati. </w:t>
      </w:r>
    </w:p>
    <w:p w14:paraId="510A2C8E">
      <w:pPr>
        <w:jc w:val="both"/>
        <w:rPr>
          <w:rFonts w:ascii="Arial" w:hAnsi="Arial" w:cs="Arial"/>
          <w:color w:val="000000"/>
          <w:lang w:val="sr-Latn-ME"/>
        </w:rPr>
      </w:pPr>
    </w:p>
    <w:p w14:paraId="5A56CBF5">
      <w:pPr>
        <w:pStyle w:val="7"/>
        <w:rPr>
          <w:rFonts w:ascii="Arial" w:hAnsi="Arial" w:cs="Arial"/>
          <w:sz w:val="24"/>
          <w:szCs w:val="24"/>
        </w:rPr>
      </w:pPr>
      <w:r>
        <w:rPr>
          <w:rFonts w:ascii="Arial" w:hAnsi="Arial" w:cs="Arial"/>
          <w:sz w:val="24"/>
          <w:szCs w:val="24"/>
        </w:rPr>
        <w:t>Izjava privrednog subjekta i garancija ponude podnose se u elektronskom obliku putem ESJN.</w:t>
      </w:r>
    </w:p>
    <w:p w14:paraId="3A7C7FC8">
      <w:pPr>
        <w:jc w:val="both"/>
        <w:rPr>
          <w:rFonts w:hint="default" w:ascii="Arial" w:hAnsi="Arial" w:cs="Arial"/>
          <w:shd w:val="clear" w:color="auto" w:fill="FFFFFF"/>
          <w:lang w:val="sr-Latn-RS"/>
        </w:rPr>
      </w:pPr>
      <w:r>
        <w:rPr>
          <w:rFonts w:ascii="Arial" w:hAnsi="Arial" w:cs="Arial"/>
        </w:rPr>
        <w:t xml:space="preserve">Izuzetno ako ponuđač ne može da garanciju ponude podnese u elektronskom obliku, dužan je da putem ESJN dostavi kopiju garancije ponude, a da original garancije ponude dostavi, odnosno uruči naručiocu neposredno ili putem pošte </w:t>
      </w:r>
      <w:r>
        <w:rPr>
          <w:rFonts w:ascii="Arial" w:hAnsi="Arial" w:cs="Arial"/>
          <w:shd w:val="clear" w:color="auto" w:fill="FFFFFF"/>
        </w:rPr>
        <w:t xml:space="preserve">preporučenom pošiljkom sa povratnicom na adresi JPU Ljubica V Jovanović Maše, Slovenska Obala 17. s tim što Garancija ponude mora biti uručena od strane poštanskog operatora najkasnije do roka određenog za podnošenje ponude, radnim danima od 8 do 14 sati, zaključno sa danom </w:t>
      </w:r>
      <w:r>
        <w:rPr>
          <w:rFonts w:hint="default" w:ascii="Arial" w:hAnsi="Arial" w:cs="Arial"/>
          <w:shd w:val="clear" w:color="auto" w:fill="FFFFFF"/>
          <w:lang w:val="sr-Latn-RS"/>
        </w:rPr>
        <w:t>27</w:t>
      </w:r>
      <w:r>
        <w:rPr>
          <w:rFonts w:ascii="Arial" w:hAnsi="Arial" w:cs="Arial"/>
          <w:shd w:val="clear" w:color="auto" w:fill="FFFFFF"/>
        </w:rPr>
        <w:t>.</w:t>
      </w:r>
      <w:r>
        <w:rPr>
          <w:rFonts w:hint="default" w:ascii="Arial" w:hAnsi="Arial" w:cs="Arial"/>
          <w:shd w:val="clear" w:color="auto" w:fill="FFFFFF"/>
          <w:lang w:val="sr-Latn-RS"/>
        </w:rPr>
        <w:t>01</w:t>
      </w:r>
      <w:r>
        <w:rPr>
          <w:rFonts w:ascii="Arial" w:hAnsi="Arial" w:cs="Arial"/>
          <w:shd w:val="clear" w:color="auto" w:fill="FFFFFF"/>
        </w:rPr>
        <w:t>.202</w:t>
      </w:r>
      <w:r>
        <w:rPr>
          <w:rFonts w:hint="default" w:ascii="Arial" w:hAnsi="Arial" w:cs="Arial"/>
          <w:shd w:val="clear" w:color="auto" w:fill="FFFFFF"/>
          <w:lang w:val="sr-Latn-RS"/>
        </w:rPr>
        <w:t>6</w:t>
      </w:r>
      <w:r>
        <w:rPr>
          <w:rFonts w:ascii="Arial" w:hAnsi="Arial" w:cs="Arial"/>
          <w:shd w:val="clear" w:color="auto" w:fill="FFFFFF"/>
        </w:rPr>
        <w:t xml:space="preserve">. godine do </w:t>
      </w:r>
      <w:r>
        <w:rPr>
          <w:rFonts w:hint="default" w:ascii="Arial" w:hAnsi="Arial" w:cs="Arial"/>
          <w:shd w:val="clear" w:color="auto" w:fill="FFFFFF"/>
          <w:lang w:val="sr-Latn-RS"/>
        </w:rPr>
        <w:t>10</w:t>
      </w:r>
      <w:r>
        <w:rPr>
          <w:rFonts w:ascii="Arial" w:hAnsi="Arial" w:cs="Arial"/>
          <w:shd w:val="clear" w:color="auto" w:fill="FFFFFF"/>
        </w:rPr>
        <w:t xml:space="preserve"> sati.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r>
        <w:rPr>
          <w:rFonts w:ascii="Arial" w:hAnsi="Arial" w:cs="Arial"/>
          <w:shd w:val="clear" w:color="auto" w:fill="FFFFFF"/>
        </w:rPr>
        <w:sym w:font="Symbol" w:char="F0FC"/>
      </w:r>
      <w:r>
        <w:rPr>
          <w:rFonts w:ascii="Arial" w:hAnsi="Arial" w:cs="Arial"/>
          <w:shd w:val="clear" w:color="auto" w:fill="FFFFFF"/>
        </w:rPr>
        <w:t xml:space="preserve"> neposrednom predajom na arhivi naručioca na adresi</w:t>
      </w:r>
      <w:r>
        <w:rPr>
          <w:rFonts w:hint="default" w:ascii="Arial" w:hAnsi="Arial" w:cs="Arial"/>
          <w:shd w:val="clear" w:color="auto" w:fill="FFFFFF"/>
          <w:lang w:val="sr-Latn-RS"/>
        </w:rPr>
        <w:t xml:space="preserve"> </w:t>
      </w:r>
      <w:r>
        <w:rPr>
          <w:rFonts w:ascii="Arial" w:hAnsi="Arial" w:cs="Arial"/>
          <w:shd w:val="clear" w:color="auto" w:fill="FFFFFF"/>
        </w:rPr>
        <w:t xml:space="preserve">JPU Ljubica V Jovanović Maše, Slovenska Obala </w:t>
      </w:r>
      <w:r>
        <w:rPr>
          <w:rFonts w:hint="default" w:ascii="Arial" w:hAnsi="Arial" w:cs="Arial"/>
          <w:shd w:val="clear" w:color="auto" w:fill="FFFFFF"/>
          <w:lang w:val="sr-Latn-RS"/>
        </w:rPr>
        <w:t>,</w:t>
      </w:r>
    </w:p>
    <w:p w14:paraId="4EDB61E7">
      <w:pPr>
        <w:jc w:val="both"/>
        <w:rPr>
          <w:rFonts w:ascii="Arial" w:hAnsi="Arial" w:cs="Arial"/>
          <w:shd w:val="clear" w:color="auto" w:fill="FFFFFF"/>
        </w:rPr>
      </w:pPr>
      <w:r>
        <w:rPr>
          <w:rFonts w:ascii="Arial" w:hAnsi="Arial" w:cs="Arial"/>
          <w:shd w:val="clear" w:color="auto" w:fill="FFFFFF"/>
        </w:rPr>
        <w:t>17.</w:t>
      </w:r>
    </w:p>
    <w:p w14:paraId="5147AF70">
      <w:pPr>
        <w:jc w:val="both"/>
        <w:rPr>
          <w:rFonts w:ascii="Arial" w:hAnsi="Arial" w:cs="Arial"/>
          <w:shd w:val="clear" w:color="auto" w:fill="FFFFFF"/>
        </w:rPr>
      </w:pPr>
    </w:p>
    <w:p w14:paraId="46223155">
      <w:pPr>
        <w:pStyle w:val="7"/>
        <w:rPr>
          <w:rFonts w:ascii="Arial" w:hAnsi="Arial" w:cs="Arial"/>
          <w:sz w:val="24"/>
          <w:szCs w:val="24"/>
        </w:rPr>
      </w:pPr>
      <w:r>
        <w:rPr>
          <w:rFonts w:ascii="Arial" w:hAnsi="Arial" w:cs="Arial"/>
          <w:sz w:val="24"/>
          <w:szCs w:val="24"/>
        </w:rPr>
        <w:t>Dokazi iz člana 120 stav 16 tač. 3, 4 i 5  Zakona o javnim nabavkama podnose se putem ESJN u elektronskom obliku ili kao skenirana kopija originala.</w:t>
      </w:r>
    </w:p>
    <w:p w14:paraId="76396353">
      <w:pPr>
        <w:rPr>
          <w:rFonts w:ascii="Arial" w:hAnsi="Arial" w:cs="Arial"/>
          <w:i/>
          <w:iCs/>
          <w:color w:val="000000"/>
          <w:lang w:val="sr-Latn-ME"/>
        </w:rPr>
      </w:pPr>
    </w:p>
    <w:p w14:paraId="41289D96">
      <w:pPr>
        <w:rPr>
          <w:rFonts w:ascii="Arial" w:hAnsi="Arial" w:cs="Arial"/>
          <w:i/>
          <w:iCs/>
          <w:color w:val="000000"/>
          <w:lang w:val="sr-Latn-ME"/>
        </w:rPr>
      </w:pPr>
    </w:p>
    <w:p w14:paraId="24EAEC2C">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bookmarkStart w:id="9" w:name="_Toc62730562"/>
      <w:r>
        <w:rPr>
          <w:rFonts w:ascii="Arial" w:hAnsi="Arial"/>
          <w:b/>
          <w:szCs w:val="32"/>
          <w:lang w:val="sr-Latn-ME"/>
        </w:rPr>
        <w:t>USLOVI ZA AKTIVIRANJE GARANCIJE PONUDE</w:t>
      </w:r>
      <w:r>
        <w:rPr>
          <w:rFonts w:ascii="Arial" w:hAnsi="Arial"/>
          <w:b/>
          <w:szCs w:val="32"/>
          <w:vertAlign w:val="superscript"/>
          <w:lang w:val="sr-Latn-ME"/>
        </w:rPr>
        <w:footnoteReference w:id="11"/>
      </w:r>
      <w:bookmarkEnd w:id="9"/>
    </w:p>
    <w:p w14:paraId="67B97892">
      <w:pPr>
        <w:jc w:val="both"/>
        <w:rPr>
          <w:rFonts w:ascii="Arial" w:hAnsi="Arial" w:cs="Arial"/>
          <w:b/>
          <w:bCs/>
          <w:color w:val="000000"/>
          <w:lang w:val="sr-Latn-ME"/>
        </w:rPr>
      </w:pPr>
    </w:p>
    <w:p w14:paraId="52D3634F">
      <w:pPr>
        <w:jc w:val="both"/>
        <w:rPr>
          <w:rFonts w:ascii="Arial" w:hAnsi="Arial" w:cs="Arial"/>
          <w:lang w:val="sr-Latn-ME"/>
        </w:rPr>
      </w:pPr>
      <w:r>
        <w:rPr>
          <w:rFonts w:ascii="Arial" w:hAnsi="Arial" w:cs="Arial"/>
          <w:lang w:val="sr-Latn-ME"/>
        </w:rPr>
        <w:t xml:space="preserve">Garancija ponude će se aktivirati ako ponuđač: </w:t>
      </w:r>
    </w:p>
    <w:p w14:paraId="4C15D614">
      <w:pPr>
        <w:pStyle w:val="7"/>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14:paraId="14A65FB4">
      <w:pPr>
        <w:pStyle w:val="7"/>
        <w:rPr>
          <w:rFonts w:ascii="Arial" w:hAnsi="Arial" w:cs="Arial"/>
          <w:sz w:val="24"/>
          <w:szCs w:val="24"/>
          <w:lang w:val="sr-Latn-ME"/>
        </w:rPr>
      </w:pPr>
      <w:r>
        <w:rPr>
          <w:rFonts w:ascii="Arial" w:hAnsi="Arial" w:cs="Arial"/>
          <w:sz w:val="24"/>
          <w:szCs w:val="24"/>
          <w:lang w:val="sr-Latn-ME"/>
        </w:rPr>
        <w:t xml:space="preserve"> 2) odbije da zaključi ugovor o javnoj nabavci ili okvirni sporazum.</w:t>
      </w:r>
    </w:p>
    <w:p w14:paraId="7D4A1AA4">
      <w:pPr>
        <w:jc w:val="both"/>
        <w:rPr>
          <w:rFonts w:ascii="Arial" w:hAnsi="Arial" w:cs="Arial"/>
          <w:color w:val="000000"/>
          <w:lang w:val="sr-Latn-ME"/>
        </w:rPr>
      </w:pPr>
    </w:p>
    <w:p w14:paraId="40A20DDD">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bookmarkStart w:id="10" w:name="_Toc62730563"/>
      <w:r>
        <w:rPr>
          <w:rFonts w:ascii="Arial" w:hAnsi="Arial"/>
          <w:b/>
          <w:szCs w:val="32"/>
          <w:lang w:val="sr-Latn-ME"/>
        </w:rPr>
        <w:t>TAJNOST PODATAKA</w:t>
      </w:r>
      <w:bookmarkEnd w:id="10"/>
    </w:p>
    <w:p w14:paraId="29B19134">
      <w:pPr>
        <w:jc w:val="both"/>
        <w:rPr>
          <w:rFonts w:ascii="Arial" w:hAnsi="Arial" w:cs="Arial"/>
          <w:color w:val="000000"/>
          <w:lang w:val="sr-Latn-ME"/>
        </w:rPr>
      </w:pPr>
      <w:r>
        <w:rPr>
          <w:rFonts w:ascii="Arial" w:hAnsi="Arial" w:cs="Arial"/>
          <w:color w:val="000000"/>
          <w:lang w:val="sr-Latn-ME"/>
        </w:rPr>
        <w:t xml:space="preserve"> </w:t>
      </w:r>
    </w:p>
    <w:p w14:paraId="37AF5A7E">
      <w:pPr>
        <w:jc w:val="both"/>
        <w:rPr>
          <w:rFonts w:ascii="Arial" w:hAnsi="Arial" w:cs="Arial"/>
          <w:color w:val="000000"/>
          <w:lang w:val="sr-Latn-ME"/>
        </w:rPr>
      </w:pPr>
      <w:r>
        <w:rPr>
          <w:rFonts w:ascii="Arial" w:hAnsi="Arial" w:cs="Arial"/>
          <w:color w:val="000000"/>
          <w:lang w:val="sr-Latn-ME"/>
        </w:rPr>
        <w:t>Tenderska dokumentacija sadrži tajne podatke</w:t>
      </w:r>
    </w:p>
    <w:p w14:paraId="0041CE38">
      <w:pPr>
        <w:jc w:val="both"/>
        <w:rPr>
          <w:rFonts w:ascii="Arial" w:hAnsi="Arial" w:cs="Arial"/>
          <w:color w:val="000000"/>
          <w:lang w:val="sr-Latn-ME"/>
        </w:rPr>
      </w:pPr>
    </w:p>
    <w:p w14:paraId="7E65A10F">
      <w:pPr>
        <w:jc w:val="both"/>
        <w:rPr>
          <w:rFonts w:ascii="Arial" w:hAnsi="Arial" w:cs="Arial"/>
          <w:color w:val="000000"/>
          <w:lang w:val="sr-Latn-ME"/>
        </w:rPr>
      </w:pPr>
      <w:r>
        <w:rPr>
          <w:rFonts w:ascii="Arial" w:hAnsi="Arial" w:cs="Arial"/>
          <w:color w:val="000000"/>
          <w:lang w:val="sr-Latn-ME"/>
        </w:rPr>
        <w:sym w:font="Wingdings" w:char="00FE"/>
      </w:r>
      <w:r>
        <w:rPr>
          <w:rFonts w:ascii="Arial" w:hAnsi="Arial" w:cs="Arial"/>
          <w:color w:val="000000"/>
          <w:lang w:val="sr-Latn-ME"/>
        </w:rPr>
        <w:t xml:space="preserve"> ne</w:t>
      </w:r>
    </w:p>
    <w:p w14:paraId="7C04E427">
      <w:pPr>
        <w:jc w:val="both"/>
        <w:rPr>
          <w:rFonts w:ascii="Arial" w:hAnsi="Arial" w:cs="Arial"/>
          <w:b/>
          <w:bCs/>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da</w:t>
      </w:r>
    </w:p>
    <w:p w14:paraId="3F404C3E">
      <w:pPr>
        <w:jc w:val="both"/>
        <w:rPr>
          <w:rFonts w:ascii="Arial" w:hAnsi="Arial" w:cs="Arial"/>
          <w:color w:val="000000"/>
          <w:lang w:val="sr-Latn-ME"/>
        </w:rPr>
      </w:pPr>
    </w:p>
    <w:p w14:paraId="482EECBE">
      <w:pPr>
        <w:jc w:val="both"/>
        <w:rPr>
          <w:rFonts w:ascii="Arial" w:hAnsi="Arial" w:cs="Arial"/>
          <w:lang w:val="sr-Latn-ME"/>
        </w:rPr>
      </w:pPr>
      <w:r>
        <w:rPr>
          <w:rFonts w:ascii="Arial" w:hAnsi="Arial" w:cs="Arial"/>
          <w:color w:val="000000"/>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D30FB7">
      <w:pPr>
        <w:rPr>
          <w:rFonts w:ascii="Arial" w:hAnsi="Arial" w:cs="Arial"/>
          <w:lang w:val="sr-Latn-ME"/>
        </w:rPr>
      </w:pPr>
    </w:p>
    <w:p w14:paraId="2DACD541">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bookmarkStart w:id="11" w:name="_Toc62730564"/>
      <w:r>
        <w:rPr>
          <w:rFonts w:ascii="Arial" w:hAnsi="Arial"/>
          <w:b/>
          <w:szCs w:val="32"/>
          <w:lang w:val="sr-Latn-ME"/>
        </w:rPr>
        <w:t>UPUTSTVO ZA SAČINJAVANJE PONUDE</w:t>
      </w:r>
      <w:bookmarkEnd w:id="11"/>
    </w:p>
    <w:p w14:paraId="672A5BE2">
      <w:pPr>
        <w:rPr>
          <w:rFonts w:ascii="Arial" w:hAnsi="Arial" w:cs="Arial"/>
          <w:lang w:val="sr-Latn-ME"/>
        </w:rPr>
      </w:pPr>
    </w:p>
    <w:p w14:paraId="7E1ED8A7">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14:paraId="49A7214D">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14:paraId="2FDC98E7">
      <w:pPr>
        <w:jc w:val="both"/>
        <w:rPr>
          <w:rFonts w:ascii="Arial" w:hAnsi="Arial" w:cs="Arial"/>
          <w:i/>
          <w:iCs/>
          <w:color w:val="000000"/>
          <w:lang w:val="sr-Latn-ME"/>
        </w:rPr>
      </w:pPr>
      <w:r>
        <w:rPr>
          <w:rFonts w:ascii="Arial" w:hAnsi="Arial" w:cs="Arial"/>
          <w:lang w:val="sr-Latn-ME"/>
        </w:rPr>
        <w:t xml:space="preserve">Ponuđač je dužan da tačno, potpuno, pravilno i nedvosmisleno popuni </w:t>
      </w:r>
      <w:r>
        <w:rPr>
          <w:rFonts w:ascii="Arial" w:hAnsi="Arial" w:eastAsia="Calibri" w:cs="Arial"/>
          <w:lang w:val="sr-Latn-ME"/>
        </w:rPr>
        <w:t>Izjavu privrednog subjekta u skladu sa zahtjevima iz tenderske dokumentacije.</w:t>
      </w:r>
    </w:p>
    <w:p w14:paraId="74C2B224">
      <w:pPr>
        <w:jc w:val="both"/>
        <w:rPr>
          <w:rFonts w:ascii="Arial" w:hAnsi="Arial" w:cs="Arial"/>
          <w:b/>
          <w:bCs/>
          <w:color w:val="000000"/>
          <w:lang w:val="sr-Latn-ME"/>
        </w:rPr>
      </w:pPr>
    </w:p>
    <w:p w14:paraId="6F9575C0">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szCs w:val="32"/>
          <w:lang w:val="sr-Latn-ME"/>
        </w:rPr>
      </w:pPr>
      <w:bookmarkStart w:id="12" w:name="_Toc62730565"/>
      <w:r>
        <w:rPr>
          <w:rFonts w:ascii="Arial" w:hAnsi="Arial"/>
          <w:b/>
          <w:szCs w:val="32"/>
          <w:lang w:val="sr-Latn-ME"/>
        </w:rPr>
        <w:t>NAČIN ZAKLJUČIVANJA I IZMJENE UGOVORA O JAVNOJ NABAVCI</w:t>
      </w:r>
      <w:bookmarkEnd w:id="12"/>
    </w:p>
    <w:p w14:paraId="29AEFD2B">
      <w:pPr>
        <w:jc w:val="both"/>
        <w:rPr>
          <w:rFonts w:ascii="Arial" w:hAnsi="Arial" w:cs="Arial"/>
          <w:i/>
          <w:lang w:val="sr-Latn-ME"/>
        </w:rPr>
      </w:pPr>
    </w:p>
    <w:p w14:paraId="56B91283">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08273C20">
      <w:pPr>
        <w:jc w:val="both"/>
        <w:rPr>
          <w:rFonts w:ascii="Arial" w:hAnsi="Arial" w:cs="Arial"/>
          <w:lang w:val="sr-Latn-ME"/>
        </w:rPr>
      </w:pPr>
    </w:p>
    <w:p w14:paraId="6D441C38">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14:paraId="67A27C23">
      <w:pPr>
        <w:jc w:val="both"/>
        <w:rPr>
          <w:rFonts w:ascii="Arial" w:hAnsi="Arial" w:cs="Arial"/>
          <w:lang w:val="sr-Latn-ME"/>
        </w:rPr>
      </w:pPr>
    </w:p>
    <w:p w14:paraId="222D79B8">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12"/>
      </w:r>
    </w:p>
    <w:p w14:paraId="24B23D98">
      <w:pPr>
        <w:jc w:val="both"/>
        <w:rPr>
          <w:rFonts w:ascii="Arial" w:hAnsi="Arial" w:cs="Arial"/>
          <w:color w:val="000000"/>
          <w:lang w:val="sr-Latn-ME"/>
        </w:rPr>
      </w:pPr>
    </w:p>
    <w:p w14:paraId="0DCC788D">
      <w:pPr>
        <w:jc w:val="both"/>
        <w:rPr>
          <w:rFonts w:ascii="Arial" w:hAnsi="Arial" w:cs="Arial"/>
          <w:color w:val="000000"/>
          <w:lang w:val="sr-Latn-ME"/>
        </w:rPr>
      </w:pPr>
      <w:r>
        <w:rPr>
          <w:rFonts w:ascii="Arial" w:hAnsi="Arial" w:cs="Arial"/>
          <w:color w:val="000000"/>
          <w:lang w:val="sr-Latn-ME"/>
        </w:rPr>
        <w:t>___________________________________________</w:t>
      </w:r>
    </w:p>
    <w:p w14:paraId="305AFF66">
      <w:pPr>
        <w:jc w:val="both"/>
        <w:rPr>
          <w:rFonts w:ascii="Arial" w:hAnsi="Arial" w:cs="Arial"/>
          <w:b/>
          <w:bCs/>
          <w:color w:val="000000"/>
          <w:lang w:val="sr-Latn-ME"/>
        </w:rPr>
      </w:pPr>
    </w:p>
    <w:p w14:paraId="09FC94A3">
      <w:pPr>
        <w:keepNext w:val="0"/>
        <w:keepLines w:val="0"/>
        <w:widowControl/>
        <w:suppressLineNumbers w:val="0"/>
        <w:jc w:val="left"/>
      </w:pPr>
      <w:r>
        <w:rPr>
          <w:rFonts w:ascii="Arial" w:hAnsi="Arial" w:cs="Arial"/>
          <w:color w:val="000000"/>
          <w:lang w:val="sr-Latn-ME"/>
        </w:rPr>
        <w:sym w:font="Wingdings" w:char="F0A8"/>
      </w:r>
      <w:r>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r>
        <w:rPr>
          <w:rFonts w:hint="default" w:ascii="Times New Roman" w:hAnsi="Times New Roman" w:eastAsia="SimSun" w:cs="Times New Roman"/>
          <w:color w:val="000000"/>
          <w:kern w:val="0"/>
          <w:sz w:val="22"/>
          <w:szCs w:val="22"/>
          <w:lang w:val="en-US" w:eastAsia="zh-CN" w:bidi="ar"/>
        </w:rPr>
        <w:t xml:space="preserve">1) ako su izmjene, bez obzira na njihovu vrijednost izraženu u novcu, predviđene tenderskom dokumentacijom i </w:t>
      </w:r>
    </w:p>
    <w:p w14:paraId="3E3E0155">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ugovorom o javnoj nabavci i uključuju izmjenu cijene ili varijante, sa utvrđenim obimom i prirodom </w:t>
      </w:r>
    </w:p>
    <w:p w14:paraId="05A71458">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mogućih izmjena ili varijanti, kao i uslovima u kojima se izmjene mogu vršiti, pod uslovom da se ugovorom </w:t>
      </w:r>
    </w:p>
    <w:p w14:paraId="724A235B">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ne predviđaju izmjene kojima se mijenja ukupna priroda ugovora o javnoj nabavci, a povećanje vrijednosti </w:t>
      </w:r>
    </w:p>
    <w:p w14:paraId="6199C879">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ugovora nije veće od 20% vrijednosti prvobitnog ugovora, </w:t>
      </w:r>
    </w:p>
    <w:p w14:paraId="64918813">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2) radi nabavke dodatnih roba, usluga ili radova, koji su postali neophodni, a koji nijesu bili uključeni u </w:t>
      </w:r>
    </w:p>
    <w:p w14:paraId="33BE1708">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prvobitni ugovor o javnoj nabavci, ako promjena privrednog subjekta sa kojim je zaključen ugovor nije </w:t>
      </w:r>
    </w:p>
    <w:p w14:paraId="561CD264">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moguća iz ekonomskih ili tehničkih razloga, kao što su zahtjevi kompatibilnosti sa postojećom opremom, </w:t>
      </w:r>
    </w:p>
    <w:p w14:paraId="11CE5CE3">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uslugama ili radovima nabavljenim u okviru prvobitne nabavke i može da prouzrokuje značajne poteškoće ili </w:t>
      </w:r>
    </w:p>
    <w:p w14:paraId="08EADDDB">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znatno povećavanje troškova za naručioca a povećanje vrijednosti ugovora nije veće od 20% vrijednosti </w:t>
      </w:r>
    </w:p>
    <w:p w14:paraId="4213BB6E">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prvobitnog ugovora, </w:t>
      </w:r>
    </w:p>
    <w:p w14:paraId="5F5C34FB">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3) kada je potreba za izmjenom ugovora nastala zbog okolnosti koje naručilac u vrijeme zaključivanja ugovora </w:t>
      </w:r>
    </w:p>
    <w:p w14:paraId="1BA8BB10">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nije mogao da predvidi, a izmjenom se ne mijenja priroda ugovora a povećanje vrijednosti ugovora nije veće </w:t>
      </w:r>
    </w:p>
    <w:p w14:paraId="233F768A">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od 20% vrijednosti prvobitnog ugovora, </w:t>
      </w:r>
    </w:p>
    <w:p w14:paraId="3D0BA5C5">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3a) kad je potreba za izmjenom ugovora nastala zbog okolnosti koje naručilac u vrijeme zaključivanja ugovora </w:t>
      </w:r>
    </w:p>
    <w:p w14:paraId="67310F9C">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nije mogao da predvidi, a izmjenom se ne mijenja priroda ugovora već se vrši samo smanjenje ugovorene </w:t>
      </w:r>
    </w:p>
    <w:p w14:paraId="40E467E9">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vrijednosti, </w:t>
      </w:r>
    </w:p>
    <w:p w14:paraId="3EB956B5">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3b) kad se vrši zamjena podugovarača, u skladu sa članom 128 st. 10, 11 i 12 ovog zakona, </w:t>
      </w:r>
    </w:p>
    <w:p w14:paraId="42F9A091">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4) ako privrednog subjekta nakon restrukturiranja, uključujući preuzimanje, spajanje, kupovinu ili stečaj, </w:t>
      </w:r>
    </w:p>
    <w:p w14:paraId="3AF5BDE3">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zamjenjuje u potpunosti ili djelimično novi pravni sljedbenik, odnosno privredni subjekat, koji ispunjava </w:t>
      </w:r>
    </w:p>
    <w:p w14:paraId="5FE3F971">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prvobitno određene uslove zaključenog ugovora o javnoj nabavci, a izmjene su predviđene tenderskom </w:t>
      </w:r>
    </w:p>
    <w:p w14:paraId="789D78C6">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dokumentacijom, pod uslovom da se ne vrše druge bitne izmjene ugovora iz člana 150 stav 2 ovog zakona.</w:t>
      </w:r>
    </w:p>
    <w:p w14:paraId="1D69EDF0">
      <w:pPr>
        <w:jc w:val="both"/>
        <w:rPr>
          <w:rFonts w:ascii="Arial" w:hAnsi="Arial" w:cs="Arial"/>
          <w:b/>
          <w:bCs/>
          <w:color w:val="FF0000"/>
          <w:lang w:val="sr-Latn-ME"/>
        </w:rPr>
      </w:pPr>
    </w:p>
    <w:p w14:paraId="1362224E">
      <w:pPr>
        <w:jc w:val="both"/>
        <w:rPr>
          <w:rFonts w:ascii="Arial" w:hAnsi="Arial" w:cs="Arial"/>
          <w:b/>
          <w:bCs/>
          <w:color w:val="FF0000"/>
          <w:lang w:val="sr-Latn-ME"/>
        </w:rPr>
      </w:pPr>
    </w:p>
    <w:p w14:paraId="243B4EC0">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szCs w:val="32"/>
          <w:lang w:val="sr-Latn-ME"/>
        </w:rPr>
      </w:pPr>
      <w:bookmarkStart w:id="13" w:name="_Toc62730566"/>
      <w:r>
        <w:rPr>
          <w:rFonts w:ascii="Arial" w:hAnsi="Arial"/>
          <w:b/>
          <w:szCs w:val="32"/>
          <w:lang w:val="sr-Latn-ME"/>
        </w:rPr>
        <w:t>ZAHTJEV ZA POJAŠNJENJE ILI IZMJENU I DOPUNU TENDERSKE DOKUMENTACIJE</w:t>
      </w:r>
      <w:bookmarkEnd w:id="13"/>
    </w:p>
    <w:p w14:paraId="5D37DFC4">
      <w:pPr>
        <w:jc w:val="both"/>
        <w:rPr>
          <w:rFonts w:ascii="Arial" w:hAnsi="Arial" w:cs="Arial"/>
          <w:lang w:val="sr-Latn-ME"/>
        </w:rPr>
      </w:pPr>
    </w:p>
    <w:p w14:paraId="33762952">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3275AEF">
      <w:pPr>
        <w:jc w:val="both"/>
        <w:rPr>
          <w:rFonts w:ascii="Arial" w:hAnsi="Arial" w:cs="Arial"/>
          <w:lang w:val="sr-Latn-ME"/>
        </w:rPr>
      </w:pPr>
    </w:p>
    <w:p w14:paraId="4B49BCC4">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14:paraId="3BE2F0FF">
      <w:pPr>
        <w:jc w:val="both"/>
        <w:rPr>
          <w:rFonts w:ascii="Arial" w:hAnsi="Arial" w:cs="Arial"/>
          <w:lang w:val="sr-Latn-ME"/>
        </w:rPr>
      </w:pPr>
    </w:p>
    <w:p w14:paraId="4D2E9421">
      <w:pPr>
        <w:jc w:val="both"/>
        <w:rPr>
          <w:rFonts w:ascii="Arial" w:hAnsi="Arial" w:cs="Arial"/>
          <w:color w:val="000000"/>
          <w:lang w:val="sr-Latn-ME"/>
        </w:rPr>
      </w:pPr>
      <w:r>
        <w:rPr>
          <w:rFonts w:ascii="Arial" w:hAnsi="Arial" w:cs="Arial"/>
          <w:color w:val="000000"/>
          <w:lang w:val="sr-Latn-ME"/>
        </w:rPr>
        <w:t>Zahtjev se podnosi isključivo putem ESJN-a.</w:t>
      </w:r>
    </w:p>
    <w:p w14:paraId="1E9DC66E">
      <w:pPr>
        <w:jc w:val="both"/>
        <w:rPr>
          <w:rFonts w:ascii="Arial" w:hAnsi="Arial" w:cs="Arial"/>
          <w:color w:val="000000"/>
          <w:lang w:val="sr-Latn-ME"/>
        </w:rPr>
      </w:pPr>
    </w:p>
    <w:p w14:paraId="4DBB867A">
      <w:pPr>
        <w:jc w:val="both"/>
        <w:rPr>
          <w:rFonts w:ascii="Arial" w:hAnsi="Arial" w:cs="Arial"/>
          <w:color w:val="000000"/>
          <w:lang w:val="sr-Latn-ME"/>
        </w:rPr>
      </w:pPr>
    </w:p>
    <w:p w14:paraId="2AF4E218">
      <w:pPr>
        <w:jc w:val="both"/>
        <w:rPr>
          <w:rFonts w:ascii="Arial" w:hAnsi="Arial" w:cs="Arial"/>
          <w:color w:val="000000"/>
          <w:lang w:val="sr-Latn-ME"/>
        </w:rPr>
      </w:pPr>
    </w:p>
    <w:p w14:paraId="1C9C9784">
      <w:pPr>
        <w:jc w:val="both"/>
        <w:rPr>
          <w:rFonts w:ascii="Arial" w:hAnsi="Arial" w:cs="Arial"/>
          <w:color w:val="000000"/>
          <w:lang w:val="sr-Latn-ME"/>
        </w:rPr>
      </w:pPr>
    </w:p>
    <w:p w14:paraId="4431BC49">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color w:val="000000"/>
          <w:szCs w:val="32"/>
          <w:lang w:val="sr-Latn-ME"/>
        </w:rPr>
      </w:pPr>
      <w:bookmarkStart w:id="14" w:name="_Toc508349235"/>
      <w:bookmarkStart w:id="15" w:name="_Toc62730567"/>
      <w:bookmarkStart w:id="16" w:name="_Toc416180136"/>
      <w:r>
        <w:rPr>
          <w:rFonts w:ascii="Arial" w:hAnsi="Arial"/>
          <w:b/>
          <w:szCs w:val="32"/>
          <w:lang w:val="sr-Latn-ME"/>
        </w:rPr>
        <w:t xml:space="preserve"> IZJAVA NARUČIOCA O NEPOSTOJANJU SUKOBA INTERESA</w:t>
      </w:r>
      <w:bookmarkEnd w:id="14"/>
      <w:bookmarkEnd w:id="15"/>
      <w:bookmarkEnd w:id="16"/>
    </w:p>
    <w:p w14:paraId="1C6C8FBE">
      <w:pPr>
        <w:tabs>
          <w:tab w:val="left" w:pos="1701"/>
          <w:tab w:val="left" w:pos="4820"/>
        </w:tabs>
        <w:jc w:val="both"/>
        <w:rPr>
          <w:rFonts w:ascii="Arial" w:hAnsi="Arial" w:cs="Arial"/>
          <w:color w:val="000000"/>
          <w:u w:val="single"/>
          <w:lang w:val="sr-Latn-ME"/>
        </w:rPr>
      </w:pPr>
    </w:p>
    <w:p w14:paraId="33DD2491">
      <w:pPr>
        <w:tabs>
          <w:tab w:val="left" w:pos="1701"/>
          <w:tab w:val="left" w:pos="4820"/>
        </w:tabs>
        <w:jc w:val="both"/>
        <w:rPr>
          <w:rFonts w:ascii="Arial" w:hAnsi="Arial" w:cs="Arial"/>
          <w:color w:val="000000"/>
          <w:u w:val="single"/>
          <w:lang w:val="sr-Latn-ME"/>
        </w:rPr>
      </w:pPr>
    </w:p>
    <w:p w14:paraId="15FAECEF">
      <w:pPr>
        <w:tabs>
          <w:tab w:val="left" w:pos="1701"/>
          <w:tab w:val="left" w:pos="4820"/>
        </w:tabs>
        <w:jc w:val="both"/>
        <w:rPr>
          <w:rFonts w:ascii="Arial" w:hAnsi="Arial" w:cs="Arial"/>
          <w:color w:val="000000"/>
        </w:rPr>
      </w:pPr>
      <w:r>
        <w:rPr>
          <w:rFonts w:ascii="Arial" w:hAnsi="Arial" w:cs="Arial"/>
          <w:color w:val="000000"/>
          <w:u w:val="single"/>
        </w:rPr>
        <w:t>JPU LJUBICA V JOVANOVIĆ MAŠE BUDVA</w:t>
      </w:r>
    </w:p>
    <w:p w14:paraId="56604F36">
      <w:pPr>
        <w:jc w:val="both"/>
        <w:rPr>
          <w:rFonts w:hint="default" w:ascii="Arial" w:hAnsi="Arial" w:cs="Arial"/>
          <w:color w:val="000000"/>
          <w:lang w:val="sr-Latn-RS"/>
        </w:rPr>
      </w:pPr>
      <w:r>
        <w:rPr>
          <w:rFonts w:ascii="Arial" w:hAnsi="Arial" w:cs="Arial"/>
          <w:color w:val="000000"/>
        </w:rPr>
        <w:t xml:space="preserve">Broj: </w:t>
      </w:r>
      <w:r>
        <w:rPr>
          <w:rFonts w:hint="default" w:ascii="Arial" w:hAnsi="Arial" w:cs="Arial"/>
          <w:color w:val="000000"/>
          <w:lang w:val="sr-Latn-RS"/>
        </w:rPr>
        <w:t>001-242-3688</w:t>
      </w:r>
    </w:p>
    <w:p w14:paraId="47CBA1E9">
      <w:pPr>
        <w:jc w:val="both"/>
        <w:rPr>
          <w:rFonts w:ascii="Arial" w:hAnsi="Arial" w:cs="Arial"/>
          <w:color w:val="000000"/>
        </w:rPr>
      </w:pPr>
      <w:r>
        <w:rPr>
          <w:rFonts w:ascii="Arial" w:hAnsi="Arial" w:cs="Arial"/>
          <w:color w:val="000000"/>
        </w:rPr>
        <w:t>Budva, 2</w:t>
      </w:r>
      <w:r>
        <w:rPr>
          <w:rFonts w:hint="default" w:ascii="Arial" w:hAnsi="Arial" w:cs="Arial"/>
          <w:color w:val="000000"/>
          <w:lang w:val="sr-Latn-RS"/>
        </w:rPr>
        <w:t>5</w:t>
      </w:r>
      <w:r>
        <w:rPr>
          <w:rFonts w:ascii="Arial" w:hAnsi="Arial" w:cs="Arial"/>
          <w:color w:val="000000"/>
        </w:rPr>
        <w:t>.</w:t>
      </w:r>
      <w:r>
        <w:rPr>
          <w:rFonts w:hint="default" w:ascii="Arial" w:hAnsi="Arial" w:cs="Arial"/>
          <w:color w:val="000000"/>
          <w:lang w:val="sr-Latn-RS"/>
        </w:rPr>
        <w:t>12</w:t>
      </w:r>
      <w:r>
        <w:rPr>
          <w:rFonts w:ascii="Arial" w:hAnsi="Arial" w:cs="Arial"/>
          <w:color w:val="000000"/>
        </w:rPr>
        <w:t>.2025. god</w:t>
      </w:r>
    </w:p>
    <w:p w14:paraId="6A0F3292">
      <w:pPr>
        <w:jc w:val="both"/>
        <w:rPr>
          <w:rFonts w:ascii="Arial" w:hAnsi="Arial" w:cs="Arial"/>
          <w:b/>
          <w:bCs/>
          <w:color w:val="000000"/>
        </w:rPr>
      </w:pPr>
    </w:p>
    <w:p w14:paraId="6413FD74">
      <w:pPr>
        <w:jc w:val="both"/>
        <w:rPr>
          <w:rFonts w:ascii="Arial" w:hAnsi="Arial" w:cs="Arial"/>
          <w:b/>
          <w:bCs/>
          <w:color w:val="000000"/>
        </w:rPr>
      </w:pPr>
    </w:p>
    <w:p w14:paraId="6DEF32FD">
      <w:pPr>
        <w:tabs>
          <w:tab w:val="left" w:pos="3290"/>
        </w:tabs>
        <w:ind w:firstLine="708"/>
        <w:jc w:val="both"/>
        <w:rPr>
          <w:rFonts w:ascii="Arial" w:hAnsi="Arial" w:cs="Arial"/>
          <w:color w:val="000000"/>
        </w:rPr>
      </w:pPr>
      <w:r>
        <w:rPr>
          <w:rFonts w:ascii="Arial" w:hAnsi="Arial" w:cs="Arial"/>
          <w:color w:val="000000"/>
        </w:rPr>
        <w:t xml:space="preserve">U skladu sa članom 43 stav 1 Zakona o javnim nabavkama („Službeni list CG”, br.74/19 i 3/23), </w:t>
      </w:r>
    </w:p>
    <w:p w14:paraId="0C840AAD">
      <w:pPr>
        <w:tabs>
          <w:tab w:val="left" w:pos="3290"/>
        </w:tabs>
        <w:jc w:val="both"/>
        <w:rPr>
          <w:rFonts w:ascii="Arial" w:hAnsi="Arial" w:cs="Arial"/>
          <w:color w:val="000000"/>
        </w:rPr>
      </w:pPr>
    </w:p>
    <w:p w14:paraId="409A3E94">
      <w:pPr>
        <w:tabs>
          <w:tab w:val="left" w:pos="3290"/>
        </w:tabs>
        <w:jc w:val="both"/>
        <w:rPr>
          <w:rFonts w:ascii="Arial" w:hAnsi="Arial" w:cs="Arial"/>
          <w:color w:val="000000"/>
        </w:rPr>
      </w:pPr>
    </w:p>
    <w:p w14:paraId="785F824A">
      <w:pPr>
        <w:tabs>
          <w:tab w:val="left" w:pos="3290"/>
        </w:tabs>
        <w:jc w:val="both"/>
        <w:rPr>
          <w:rFonts w:ascii="Arial" w:hAnsi="Arial" w:cs="Arial"/>
          <w:color w:val="000000"/>
        </w:rPr>
      </w:pPr>
    </w:p>
    <w:p w14:paraId="03163883">
      <w:pPr>
        <w:tabs>
          <w:tab w:val="left" w:pos="3290"/>
        </w:tabs>
        <w:jc w:val="both"/>
        <w:rPr>
          <w:rFonts w:ascii="Arial" w:hAnsi="Arial" w:cs="Arial"/>
          <w:color w:val="000000"/>
        </w:rPr>
      </w:pPr>
    </w:p>
    <w:p w14:paraId="0682B529">
      <w:pPr>
        <w:tabs>
          <w:tab w:val="left" w:pos="3290"/>
        </w:tabs>
        <w:jc w:val="center"/>
        <w:rPr>
          <w:rFonts w:ascii="Arial" w:hAnsi="Arial" w:cs="Arial"/>
          <w:b/>
          <w:bCs/>
          <w:color w:val="000000"/>
          <w:sz w:val="32"/>
          <w:szCs w:val="32"/>
        </w:rPr>
      </w:pPr>
      <w:r>
        <w:rPr>
          <w:rFonts w:ascii="Arial" w:hAnsi="Arial" w:cs="Arial"/>
          <w:b/>
          <w:bCs/>
          <w:color w:val="000000"/>
          <w:sz w:val="32"/>
          <w:szCs w:val="32"/>
        </w:rPr>
        <w:t>Izjavljujem</w:t>
      </w:r>
    </w:p>
    <w:p w14:paraId="5F6CA8E2">
      <w:pPr>
        <w:tabs>
          <w:tab w:val="left" w:pos="3290"/>
        </w:tabs>
        <w:jc w:val="both"/>
        <w:rPr>
          <w:rFonts w:ascii="Arial" w:hAnsi="Arial" w:cs="Arial"/>
          <w:color w:val="000000"/>
        </w:rPr>
      </w:pPr>
    </w:p>
    <w:p w14:paraId="6697BF68">
      <w:pPr>
        <w:tabs>
          <w:tab w:val="left" w:pos="3290"/>
        </w:tabs>
        <w:jc w:val="both"/>
        <w:rPr>
          <w:rFonts w:ascii="Arial" w:hAnsi="Arial" w:cs="Arial"/>
          <w:color w:val="000000"/>
        </w:rPr>
      </w:pPr>
      <w:r>
        <w:rPr>
          <w:rFonts w:ascii="Arial" w:hAnsi="Arial" w:cs="Arial"/>
          <w:color w:val="000000"/>
        </w:rPr>
        <w:t>da u postupku javne nabavke redni broj 1</w:t>
      </w:r>
      <w:r>
        <w:rPr>
          <w:rFonts w:hint="default" w:ascii="Arial" w:hAnsi="Arial" w:cs="Arial"/>
          <w:color w:val="000000"/>
          <w:lang w:val="sr-Latn-RS"/>
        </w:rPr>
        <w:t>9</w:t>
      </w:r>
      <w:r>
        <w:rPr>
          <w:rFonts w:ascii="Arial" w:hAnsi="Arial" w:cs="Arial"/>
          <w:color w:val="000000"/>
        </w:rPr>
        <w:t xml:space="preserve"> iz Plana javne nabavke broj </w:t>
      </w:r>
      <w:r>
        <w:rPr>
          <w:rFonts w:hint="default" w:ascii="Arial" w:hAnsi="Arial" w:cs="Arial"/>
          <w:color w:val="000000"/>
          <w:lang w:val="sr-Latn-RS"/>
        </w:rPr>
        <w:t>21898</w:t>
      </w:r>
      <w:r>
        <w:rPr>
          <w:rFonts w:ascii="Arial" w:hAnsi="Arial" w:cs="Arial"/>
          <w:color w:val="000000"/>
        </w:rPr>
        <w:t xml:space="preserve"> od 31.01.2025. god za nabavku </w:t>
      </w:r>
      <w:r>
        <w:rPr>
          <w:rFonts w:hint="default" w:ascii="Arial" w:hAnsi="Arial" w:cs="Arial"/>
          <w:color w:val="000000"/>
          <w:lang w:val="sr-Latn-RS"/>
        </w:rPr>
        <w:t>Adaptacija prostorija vrtića u TQ Plaza</w:t>
      </w:r>
      <w:r>
        <w:rPr>
          <w:rFonts w:ascii="Arial" w:hAnsi="Arial" w:cs="Arial"/>
          <w:color w:val="000000"/>
        </w:rPr>
        <w:t xml:space="preserve"> nisam u sukobu interesa u smislu člana 41 stav 1 tačka 1 Zakona o javnim nabavkama i da ne postoji ekonomski i drugi lični interes koji može uticati na moju nepristrasnost i nezavisnost u ovom postupku javne nabavke.</w:t>
      </w:r>
    </w:p>
    <w:p w14:paraId="6696D71D">
      <w:pPr>
        <w:tabs>
          <w:tab w:val="left" w:pos="3290"/>
        </w:tabs>
        <w:jc w:val="both"/>
        <w:rPr>
          <w:rFonts w:ascii="Arial" w:hAnsi="Arial" w:cs="Arial"/>
          <w:color w:val="000000"/>
        </w:rPr>
      </w:pPr>
    </w:p>
    <w:p w14:paraId="43C767AD">
      <w:pPr>
        <w:tabs>
          <w:tab w:val="left" w:pos="3290"/>
        </w:tabs>
        <w:jc w:val="both"/>
        <w:rPr>
          <w:rFonts w:ascii="Arial" w:hAnsi="Arial" w:cs="Arial"/>
          <w:color w:val="000000"/>
        </w:rPr>
      </w:pPr>
    </w:p>
    <w:p w14:paraId="53E12027">
      <w:pPr>
        <w:tabs>
          <w:tab w:val="left" w:pos="3290"/>
        </w:tabs>
        <w:wordWrap w:val="0"/>
        <w:ind w:firstLine="1134"/>
        <w:jc w:val="right"/>
        <w:rPr>
          <w:rFonts w:hint="default" w:ascii="Arial" w:hAnsi="Arial" w:cs="Arial"/>
          <w:color w:val="000000"/>
          <w:lang w:val="sr-Latn-RS"/>
        </w:rPr>
      </w:pPr>
      <w:r>
        <w:rPr>
          <w:rFonts w:ascii="Arial" w:hAnsi="Arial" w:cs="Arial"/>
          <w:color w:val="000000"/>
        </w:rPr>
        <w:t xml:space="preserve">Ovlašćeno lice naručioca </w:t>
      </w:r>
      <w:r>
        <w:rPr>
          <w:rFonts w:hint="default" w:ascii="Arial" w:hAnsi="Arial" w:cs="Arial"/>
          <w:color w:val="000000"/>
          <w:lang w:val="sr-Latn-RS"/>
        </w:rPr>
        <w:t>Andjela Vujović</w:t>
      </w:r>
    </w:p>
    <w:p w14:paraId="7E9B5CDE">
      <w:pPr>
        <w:tabs>
          <w:tab w:val="left" w:pos="3290"/>
        </w:tabs>
        <w:ind w:left="5664" w:firstLine="708"/>
        <w:jc w:val="center"/>
        <w:rPr>
          <w:rFonts w:ascii="Arial" w:hAnsi="Arial" w:cs="Arial"/>
          <w:i/>
          <w:iCs/>
          <w:color w:val="000000"/>
        </w:rPr>
      </w:pPr>
      <w:r>
        <w:rPr>
          <w:rFonts w:ascii="Arial" w:hAnsi="Arial" w:cs="Arial"/>
          <w:i/>
          <w:iCs/>
          <w:color w:val="000000"/>
        </w:rPr>
        <w:t xml:space="preserve">                  s.r.</w:t>
      </w:r>
    </w:p>
    <w:p w14:paraId="2946B5A6">
      <w:pPr>
        <w:tabs>
          <w:tab w:val="left" w:pos="3290"/>
        </w:tabs>
        <w:wordWrap w:val="0"/>
        <w:ind w:firstLine="1134"/>
        <w:jc w:val="right"/>
        <w:rPr>
          <w:rFonts w:hint="default" w:ascii="Arial" w:hAnsi="Arial" w:cs="Arial"/>
          <w:i/>
          <w:iCs/>
          <w:color w:val="000000"/>
          <w:lang w:val="sr-Latn-RS"/>
        </w:rPr>
      </w:pPr>
      <w:r>
        <w:rPr>
          <w:rFonts w:ascii="Arial" w:hAnsi="Arial" w:cs="Arial"/>
          <w:color w:val="000000"/>
        </w:rPr>
        <w:t xml:space="preserve">Službenik za javne nabavke </w:t>
      </w:r>
      <w:r>
        <w:rPr>
          <w:rFonts w:hint="default" w:ascii="Arial" w:hAnsi="Arial" w:cs="Arial"/>
          <w:color w:val="000000"/>
          <w:lang w:val="sr-Latn-RS"/>
        </w:rPr>
        <w:t>Jakov Kuč</w:t>
      </w:r>
    </w:p>
    <w:p w14:paraId="18B364AB">
      <w:pPr>
        <w:tabs>
          <w:tab w:val="left" w:pos="3290"/>
        </w:tabs>
        <w:ind w:left="5664" w:firstLine="708"/>
        <w:jc w:val="center"/>
        <w:rPr>
          <w:rFonts w:ascii="Arial" w:hAnsi="Arial" w:cs="Arial"/>
          <w:i/>
          <w:iCs/>
          <w:color w:val="000000"/>
        </w:rPr>
      </w:pPr>
      <w:r>
        <w:rPr>
          <w:rFonts w:ascii="Arial" w:hAnsi="Arial" w:cs="Arial"/>
          <w:i/>
          <w:iCs/>
          <w:color w:val="000000"/>
        </w:rPr>
        <w:t xml:space="preserve"> s.r.</w:t>
      </w:r>
    </w:p>
    <w:p w14:paraId="3529B2E9">
      <w:pPr>
        <w:rPr>
          <w:rFonts w:ascii="Arial" w:hAnsi="Arial" w:cs="Arial"/>
          <w:i/>
          <w:iCs/>
          <w:color w:val="000000"/>
        </w:rPr>
      </w:pPr>
      <w:r>
        <w:rPr>
          <w:rFonts w:ascii="Arial" w:hAnsi="Arial" w:cs="Arial"/>
          <w:i/>
          <w:iCs/>
          <w:color w:val="000000"/>
        </w:rPr>
        <w:t>.</w:t>
      </w:r>
    </w:p>
    <w:p w14:paraId="1BC176BA">
      <w:pPr>
        <w:tabs>
          <w:tab w:val="left" w:pos="3290"/>
        </w:tabs>
        <w:rPr>
          <w:rFonts w:ascii="Arial" w:hAnsi="Arial" w:cs="Arial"/>
          <w:color w:val="000000"/>
        </w:rPr>
      </w:pPr>
      <w:r>
        <w:rPr>
          <w:rFonts w:ascii="Arial" w:hAnsi="Arial" w:cs="Arial"/>
          <w:iCs/>
          <w:color w:val="000000"/>
        </w:rPr>
        <w:t xml:space="preserve">                 Član komisije </w:t>
      </w:r>
      <w:r>
        <w:rPr>
          <w:rFonts w:ascii="Arial" w:hAnsi="Arial" w:cs="Arial"/>
        </w:rPr>
        <w:t>za sprovođenje postupka javne nabavk</w:t>
      </w:r>
      <w:r>
        <w:rPr>
          <w:rFonts w:ascii="Arial" w:hAnsi="Arial" w:cs="Arial"/>
          <w:iCs/>
          <w:color w:val="000000"/>
        </w:rPr>
        <w:t>e</w:t>
      </w:r>
      <w:r>
        <w:rPr>
          <w:rFonts w:ascii="Arial" w:hAnsi="Arial" w:cs="Arial"/>
          <w:color w:val="000000"/>
        </w:rPr>
        <w:t xml:space="preserve"> Jakov Kuč</w:t>
      </w:r>
    </w:p>
    <w:p w14:paraId="67F48E7E">
      <w:pPr>
        <w:ind w:left="6372"/>
        <w:jc w:val="center"/>
        <w:rPr>
          <w:rFonts w:ascii="Arial" w:hAnsi="Arial" w:cs="Arial"/>
          <w:i/>
          <w:iCs/>
          <w:color w:val="000000"/>
        </w:rPr>
      </w:pPr>
      <w:r>
        <w:rPr>
          <w:rFonts w:ascii="Arial" w:hAnsi="Arial" w:cs="Arial"/>
          <w:i/>
          <w:iCs/>
          <w:color w:val="000000"/>
        </w:rPr>
        <w:t>s.r.</w:t>
      </w:r>
    </w:p>
    <w:p w14:paraId="2C0B5835">
      <w:pPr>
        <w:tabs>
          <w:tab w:val="left" w:pos="3290"/>
        </w:tabs>
        <w:ind w:firstLine="1134"/>
        <w:rPr>
          <w:rFonts w:hint="default" w:ascii="Arial" w:hAnsi="Arial" w:cs="Arial"/>
          <w:color w:val="000000"/>
          <w:lang w:val="sr-Latn-RS"/>
        </w:rPr>
      </w:pPr>
      <w:r>
        <w:rPr>
          <w:rFonts w:ascii="Arial" w:hAnsi="Arial" w:cs="Arial"/>
          <w:iCs/>
          <w:color w:val="000000"/>
        </w:rPr>
        <w:t xml:space="preserve">Član komisije </w:t>
      </w:r>
      <w:r>
        <w:rPr>
          <w:rFonts w:ascii="Arial" w:hAnsi="Arial" w:cs="Arial"/>
        </w:rPr>
        <w:t>za sprovođenje postupka javne nabavk</w:t>
      </w:r>
      <w:r>
        <w:rPr>
          <w:rFonts w:ascii="Arial" w:hAnsi="Arial" w:cs="Arial"/>
          <w:iCs/>
          <w:color w:val="000000"/>
        </w:rPr>
        <w:t>e</w:t>
      </w:r>
      <w:r>
        <w:rPr>
          <w:rFonts w:ascii="Arial" w:hAnsi="Arial" w:cs="Arial"/>
          <w:color w:val="000000"/>
        </w:rPr>
        <w:t xml:space="preserve"> </w:t>
      </w:r>
      <w:r>
        <w:rPr>
          <w:rFonts w:hint="default" w:ascii="Arial" w:hAnsi="Arial" w:cs="Arial"/>
          <w:color w:val="000000"/>
          <w:lang w:val="sr-Latn-RS"/>
        </w:rPr>
        <w:t>Miloš Čukić</w:t>
      </w:r>
    </w:p>
    <w:p w14:paraId="4A43BA53">
      <w:pPr>
        <w:ind w:left="6372"/>
        <w:jc w:val="center"/>
        <w:rPr>
          <w:rFonts w:ascii="Arial" w:hAnsi="Arial" w:cs="Arial"/>
          <w:i/>
          <w:iCs/>
          <w:color w:val="000000"/>
        </w:rPr>
      </w:pPr>
      <w:r>
        <w:rPr>
          <w:rFonts w:ascii="Arial" w:hAnsi="Arial" w:cs="Arial"/>
          <w:i/>
          <w:iCs/>
          <w:color w:val="000000"/>
        </w:rPr>
        <w:t>s.r.</w:t>
      </w:r>
    </w:p>
    <w:p w14:paraId="234FF086">
      <w:pPr>
        <w:tabs>
          <w:tab w:val="left" w:pos="3290"/>
        </w:tabs>
        <w:ind w:firstLine="1134"/>
        <w:rPr>
          <w:rFonts w:hint="default" w:ascii="Arial" w:hAnsi="Arial" w:cs="Arial"/>
          <w:color w:val="000000"/>
          <w:lang w:val="sr-Latn-RS"/>
        </w:rPr>
      </w:pPr>
      <w:r>
        <w:rPr>
          <w:rFonts w:ascii="Arial" w:hAnsi="Arial" w:cs="Arial"/>
          <w:iCs/>
          <w:color w:val="000000"/>
        </w:rPr>
        <w:t xml:space="preserve">Član komisije </w:t>
      </w:r>
      <w:r>
        <w:rPr>
          <w:rFonts w:ascii="Arial" w:hAnsi="Arial" w:cs="Arial"/>
        </w:rPr>
        <w:t>za sprovođenje postupka javne nabavk</w:t>
      </w:r>
      <w:r>
        <w:rPr>
          <w:rFonts w:ascii="Arial" w:hAnsi="Arial" w:cs="Arial"/>
          <w:iCs/>
          <w:color w:val="000000"/>
        </w:rPr>
        <w:t>e</w:t>
      </w:r>
      <w:r>
        <w:rPr>
          <w:rFonts w:ascii="Arial" w:hAnsi="Arial" w:cs="Arial"/>
          <w:color w:val="000000"/>
        </w:rPr>
        <w:t xml:space="preserve"> </w:t>
      </w:r>
      <w:r>
        <w:rPr>
          <w:rFonts w:hint="default" w:ascii="Arial" w:hAnsi="Arial" w:cs="Arial"/>
          <w:color w:val="000000"/>
          <w:lang w:val="sr-Latn-RS"/>
        </w:rPr>
        <w:t>Danijel Gačević</w:t>
      </w:r>
    </w:p>
    <w:p w14:paraId="4CCB0D82">
      <w:pPr>
        <w:ind w:left="6372"/>
        <w:jc w:val="center"/>
        <w:rPr>
          <w:rFonts w:ascii="Arial" w:hAnsi="Arial" w:cs="Arial"/>
          <w:i/>
          <w:iCs/>
          <w:color w:val="000000"/>
        </w:rPr>
      </w:pPr>
      <w:r>
        <w:rPr>
          <w:rFonts w:ascii="Arial" w:hAnsi="Arial" w:cs="Arial"/>
          <w:i/>
          <w:iCs/>
          <w:color w:val="000000"/>
        </w:rPr>
        <w:t>s.r.</w:t>
      </w:r>
    </w:p>
    <w:p w14:paraId="24D22359">
      <w:pPr>
        <w:jc w:val="both"/>
        <w:rPr>
          <w:rFonts w:ascii="Arial" w:hAnsi="Arial" w:cs="Arial"/>
          <w:b/>
          <w:bCs/>
          <w:color w:val="000000"/>
        </w:rPr>
      </w:pPr>
      <w:r>
        <w:rPr>
          <w:rFonts w:ascii="Arial" w:hAnsi="Arial" w:cs="Arial"/>
          <w:b/>
          <w:bCs/>
          <w:color w:val="000000"/>
        </w:rPr>
        <w:t>....</w:t>
      </w:r>
    </w:p>
    <w:p w14:paraId="54B36ADC">
      <w:pPr>
        <w:jc w:val="both"/>
        <w:rPr>
          <w:rFonts w:ascii="Arial" w:hAnsi="Arial" w:cs="Arial"/>
          <w:b/>
          <w:bCs/>
          <w:color w:val="000000"/>
          <w:lang w:val="sr-Latn-ME"/>
        </w:rPr>
      </w:pPr>
    </w:p>
    <w:p w14:paraId="0441ECBF">
      <w:pPr>
        <w:jc w:val="both"/>
        <w:rPr>
          <w:rFonts w:ascii="Arial" w:hAnsi="Arial" w:cs="Arial"/>
          <w:b/>
          <w:bCs/>
          <w:color w:val="000000"/>
          <w:lang w:val="sr-Latn-ME"/>
        </w:rPr>
      </w:pPr>
    </w:p>
    <w:p w14:paraId="66A5F75F">
      <w:pPr>
        <w:jc w:val="both"/>
        <w:rPr>
          <w:rFonts w:ascii="Arial" w:hAnsi="Arial" w:cs="Arial"/>
          <w:b/>
          <w:bCs/>
          <w:color w:val="000000"/>
          <w:lang w:val="sr-Latn-ME"/>
        </w:rPr>
      </w:pPr>
    </w:p>
    <w:p w14:paraId="7C45D43C">
      <w:pPr>
        <w:jc w:val="both"/>
        <w:rPr>
          <w:rFonts w:ascii="Arial" w:hAnsi="Arial" w:cs="Arial"/>
          <w:b/>
          <w:bCs/>
          <w:color w:val="000000"/>
          <w:lang w:val="sr-Latn-ME"/>
        </w:rPr>
      </w:pPr>
    </w:p>
    <w:p w14:paraId="483DFC65">
      <w:pPr>
        <w:jc w:val="both"/>
        <w:rPr>
          <w:rFonts w:ascii="Arial" w:hAnsi="Arial" w:cs="Arial"/>
          <w:b/>
          <w:bCs/>
          <w:color w:val="000000"/>
          <w:lang w:val="sr-Latn-ME"/>
        </w:rPr>
      </w:pPr>
    </w:p>
    <w:p w14:paraId="2849D99A">
      <w:pPr>
        <w:jc w:val="both"/>
        <w:rPr>
          <w:rFonts w:ascii="Arial" w:hAnsi="Arial" w:cs="Arial"/>
          <w:b/>
          <w:bCs/>
          <w:color w:val="000000"/>
          <w:lang w:val="sr-Latn-ME"/>
        </w:rPr>
      </w:pPr>
    </w:p>
    <w:p w14:paraId="7B10658F">
      <w:pPr>
        <w:jc w:val="both"/>
        <w:rPr>
          <w:rFonts w:ascii="Arial" w:hAnsi="Arial" w:cs="Arial"/>
          <w:b/>
          <w:bCs/>
          <w:color w:val="000000"/>
          <w:lang w:val="sr-Latn-ME"/>
        </w:rPr>
      </w:pPr>
    </w:p>
    <w:p w14:paraId="4DABE0CF">
      <w:pPr>
        <w:jc w:val="both"/>
        <w:rPr>
          <w:rFonts w:ascii="Arial" w:hAnsi="Arial" w:cs="Arial"/>
          <w:b/>
          <w:bCs/>
          <w:color w:val="000000"/>
          <w:lang w:val="sr-Latn-ME"/>
        </w:rPr>
      </w:pPr>
    </w:p>
    <w:p w14:paraId="2679F967">
      <w:pPr>
        <w:jc w:val="both"/>
        <w:rPr>
          <w:rFonts w:ascii="Arial" w:hAnsi="Arial" w:cs="Arial"/>
          <w:b/>
          <w:bCs/>
          <w:color w:val="000000"/>
          <w:lang w:val="sr-Latn-ME"/>
        </w:rPr>
      </w:pPr>
    </w:p>
    <w:p w14:paraId="5C8665EA">
      <w:pPr>
        <w:jc w:val="both"/>
        <w:rPr>
          <w:rFonts w:ascii="Arial" w:hAnsi="Arial" w:cs="Arial"/>
          <w:b/>
          <w:bCs/>
          <w:color w:val="000000"/>
          <w:lang w:val="sr-Latn-ME"/>
        </w:rPr>
      </w:pPr>
    </w:p>
    <w:p w14:paraId="3D6D188C">
      <w:pPr>
        <w:jc w:val="both"/>
        <w:rPr>
          <w:rFonts w:ascii="Arial" w:hAnsi="Arial" w:cs="Arial"/>
          <w:b/>
          <w:bCs/>
          <w:color w:val="000000"/>
          <w:lang w:val="sr-Latn-ME"/>
        </w:rPr>
      </w:pPr>
    </w:p>
    <w:p w14:paraId="2E2F8102">
      <w:pPr>
        <w:jc w:val="both"/>
        <w:rPr>
          <w:rFonts w:ascii="Arial" w:hAnsi="Arial" w:cs="Arial"/>
          <w:b/>
          <w:bCs/>
          <w:color w:val="000000"/>
          <w:lang w:val="sr-Latn-ME"/>
        </w:rPr>
      </w:pPr>
    </w:p>
    <w:p w14:paraId="6111F180">
      <w:pPr>
        <w:jc w:val="both"/>
        <w:rPr>
          <w:rFonts w:ascii="Arial" w:hAnsi="Arial" w:cs="Arial"/>
          <w:b/>
          <w:bCs/>
          <w:color w:val="000000"/>
          <w:lang w:val="sr-Latn-ME"/>
        </w:rPr>
      </w:pPr>
    </w:p>
    <w:p w14:paraId="60A8C021">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iCs/>
          <w:sz w:val="28"/>
          <w:szCs w:val="32"/>
          <w:lang w:val="sr-Latn-ME"/>
        </w:rPr>
      </w:pPr>
      <w:bookmarkStart w:id="17" w:name="_Toc62730568"/>
      <w:r>
        <w:rPr>
          <w:rFonts w:ascii="Arial" w:hAnsi="Arial"/>
          <w:b/>
          <w:sz w:val="28"/>
          <w:szCs w:val="32"/>
          <w:lang w:val="sr-Latn-ME"/>
        </w:rPr>
        <w:t>UPUTSTVO O PRAVNOM SREDSTVU</w:t>
      </w:r>
      <w:bookmarkEnd w:id="17"/>
    </w:p>
    <w:p w14:paraId="1538B42C">
      <w:pPr>
        <w:tabs>
          <w:tab w:val="left" w:pos="5760"/>
        </w:tabs>
        <w:jc w:val="center"/>
        <w:rPr>
          <w:rFonts w:ascii="Arial" w:hAnsi="Arial" w:cs="Arial"/>
          <w:color w:val="000000"/>
          <w:lang w:val="sr-Latn-ME"/>
        </w:rPr>
      </w:pPr>
    </w:p>
    <w:p w14:paraId="2A889422">
      <w:pPr>
        <w:tabs>
          <w:tab w:val="left" w:pos="5760"/>
        </w:tabs>
        <w:ind w:firstLine="567"/>
        <w:jc w:val="both"/>
        <w:rPr>
          <w:rFonts w:ascii="Arial" w:hAnsi="Arial" w:cs="Arial"/>
          <w:color w:val="000000"/>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rPr>
        <w:t>:</w:t>
      </w:r>
    </w:p>
    <w:p w14:paraId="67825290">
      <w:pPr>
        <w:pStyle w:val="7"/>
        <w:ind w:left="567" w:hanging="283"/>
        <w:rPr>
          <w:rFonts w:ascii="Arial" w:hAnsi="Arial" w:cs="Arial"/>
          <w:sz w:val="24"/>
          <w:szCs w:val="24"/>
        </w:rPr>
      </w:pPr>
      <w:r>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A46A6EE">
      <w:pPr>
        <w:pStyle w:val="7"/>
        <w:ind w:left="567" w:hanging="283"/>
        <w:rPr>
          <w:rFonts w:ascii="Arial" w:hAnsi="Arial" w:cs="Arial"/>
          <w:sz w:val="24"/>
          <w:szCs w:val="24"/>
        </w:rPr>
      </w:pPr>
      <w:r>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712F8165">
      <w:pPr>
        <w:pStyle w:val="7"/>
        <w:ind w:left="567" w:hanging="283"/>
        <w:rPr>
          <w:rFonts w:ascii="Arial" w:hAnsi="Arial" w:cs="Arial"/>
          <w:sz w:val="24"/>
          <w:szCs w:val="24"/>
        </w:rPr>
      </w:pPr>
      <w:r>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93CA8EB">
      <w:pPr>
        <w:tabs>
          <w:tab w:val="left" w:pos="5760"/>
        </w:tabs>
        <w:jc w:val="both"/>
        <w:rPr>
          <w:rFonts w:ascii="Arial" w:hAnsi="Arial" w:cs="Arial"/>
          <w:color w:val="000000"/>
          <w:lang w:val="sr-Latn-ME"/>
        </w:rPr>
      </w:pPr>
    </w:p>
    <w:p w14:paraId="549AC888">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14:paraId="29AE50C6">
      <w:pPr>
        <w:autoSpaceDE w:val="0"/>
        <w:autoSpaceDN w:val="0"/>
        <w:adjustRightInd w:val="0"/>
        <w:ind w:firstLine="567"/>
        <w:jc w:val="both"/>
        <w:rPr>
          <w:rFonts w:ascii="Arial" w:hAnsi="Arial" w:cs="Arial"/>
          <w:color w:val="000000"/>
          <w:lang w:val="sr-Latn-ME"/>
        </w:rPr>
      </w:pPr>
    </w:p>
    <w:p w14:paraId="474A5F03">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BBB8757">
      <w:pPr>
        <w:tabs>
          <w:tab w:val="left" w:pos="5760"/>
        </w:tabs>
        <w:ind w:firstLine="567"/>
        <w:jc w:val="both"/>
        <w:rPr>
          <w:rFonts w:ascii="Arial" w:hAnsi="Arial" w:cs="Arial"/>
          <w:color w:val="000000"/>
          <w:lang w:val="sr-Latn-ME"/>
        </w:rPr>
      </w:pPr>
    </w:p>
    <w:p w14:paraId="7F51B864">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0C65D503">
      <w:pPr>
        <w:tabs>
          <w:tab w:val="left" w:pos="5760"/>
        </w:tabs>
        <w:ind w:firstLine="567"/>
        <w:jc w:val="both"/>
        <w:rPr>
          <w:rFonts w:ascii="Arial" w:hAnsi="Arial" w:cs="Arial"/>
          <w:color w:val="000000"/>
          <w:lang w:val="sr-Latn-ME"/>
        </w:rPr>
      </w:pPr>
    </w:p>
    <w:p w14:paraId="247C3C11">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r>
        <w:fldChar w:fldCharType="begin"/>
      </w:r>
      <w:r>
        <w:instrText xml:space="preserve"> HYPERLINK "http://www.kontrola-nabavki.me/" </w:instrText>
      </w:r>
      <w:r>
        <w:fldChar w:fldCharType="separate"/>
      </w:r>
      <w:r>
        <w:rPr>
          <w:rStyle w:val="6"/>
          <w:rFonts w:ascii="Arial" w:hAnsi="Arial" w:cs="Arial"/>
          <w:lang w:val="sr-Latn-ME"/>
        </w:rPr>
        <w:t>http://www.kontrola-nabavki.me/</w:t>
      </w:r>
      <w:r>
        <w:rPr>
          <w:rStyle w:val="6"/>
          <w:rFonts w:ascii="Arial" w:hAnsi="Arial" w:cs="Arial"/>
          <w:lang w:val="sr-Latn-ME"/>
        </w:rPr>
        <w:fldChar w:fldCharType="end"/>
      </w:r>
      <w:r>
        <w:rPr>
          <w:rFonts w:ascii="Arial" w:hAnsi="Arial" w:cs="Arial"/>
          <w:color w:val="000000"/>
          <w:lang w:val="sr-Latn-ME"/>
        </w:rPr>
        <w:t>.“.</w:t>
      </w:r>
    </w:p>
    <w:p w14:paraId="3DB16BDE">
      <w:pPr>
        <w:tabs>
          <w:tab w:val="left" w:pos="5760"/>
        </w:tabs>
        <w:ind w:firstLine="567"/>
        <w:jc w:val="both"/>
        <w:rPr>
          <w:rFonts w:ascii="Arial" w:hAnsi="Arial" w:cs="Arial"/>
          <w:color w:val="000000"/>
          <w:lang w:val="sr-Latn-ME"/>
        </w:rPr>
      </w:pPr>
    </w:p>
    <w:p w14:paraId="49177C3A">
      <w:pPr>
        <w:tabs>
          <w:tab w:val="left" w:pos="5760"/>
        </w:tabs>
        <w:ind w:firstLine="567"/>
        <w:jc w:val="both"/>
        <w:rPr>
          <w:rFonts w:ascii="Arial" w:hAnsi="Arial" w:cs="Arial"/>
          <w:color w:val="000000"/>
          <w:lang w:val="sr-Latn-ME"/>
        </w:rPr>
      </w:pPr>
    </w:p>
    <w:p w14:paraId="1DF5EC55">
      <w:pPr>
        <w:tabs>
          <w:tab w:val="left" w:pos="5760"/>
        </w:tabs>
        <w:ind w:firstLine="567"/>
        <w:jc w:val="both"/>
        <w:rPr>
          <w:rFonts w:ascii="Arial" w:hAnsi="Arial" w:cs="Arial"/>
          <w:color w:val="000000"/>
          <w:lang w:val="sr-Latn-ME"/>
        </w:rPr>
      </w:pPr>
    </w:p>
    <w:p w14:paraId="04691F1E">
      <w:pPr>
        <w:tabs>
          <w:tab w:val="left" w:pos="5760"/>
        </w:tabs>
        <w:ind w:firstLine="567"/>
        <w:jc w:val="both"/>
        <w:rPr>
          <w:rFonts w:ascii="Arial" w:hAnsi="Arial" w:cs="Arial"/>
          <w:color w:val="000000"/>
          <w:lang w:val="sr-Latn-ME"/>
        </w:rPr>
      </w:pPr>
    </w:p>
    <w:p w14:paraId="34B54CC3">
      <w:pPr>
        <w:tabs>
          <w:tab w:val="left" w:pos="5760"/>
        </w:tabs>
        <w:ind w:firstLine="567"/>
        <w:jc w:val="both"/>
        <w:rPr>
          <w:rFonts w:ascii="Arial" w:hAnsi="Arial" w:cs="Arial"/>
          <w:color w:val="000000"/>
          <w:lang w:val="sr-Latn-ME"/>
        </w:rPr>
      </w:pPr>
    </w:p>
    <w:p w14:paraId="772EF576">
      <w:pPr>
        <w:tabs>
          <w:tab w:val="left" w:pos="5760"/>
        </w:tabs>
        <w:ind w:firstLine="567"/>
        <w:jc w:val="both"/>
        <w:rPr>
          <w:rFonts w:ascii="Arial" w:hAnsi="Arial" w:cs="Arial"/>
          <w:color w:val="000000"/>
          <w:lang w:val="sr-Latn-ME"/>
        </w:rPr>
      </w:pPr>
    </w:p>
    <w:p w14:paraId="447A7129">
      <w:pPr>
        <w:tabs>
          <w:tab w:val="left" w:pos="5760"/>
        </w:tabs>
        <w:ind w:firstLine="567"/>
        <w:jc w:val="both"/>
        <w:rPr>
          <w:rFonts w:ascii="Arial" w:hAnsi="Arial" w:cs="Arial"/>
          <w:color w:val="000000"/>
          <w:lang w:val="sr-Latn-ME"/>
        </w:rPr>
      </w:pPr>
    </w:p>
    <w:p w14:paraId="0176BCB6">
      <w:pPr>
        <w:tabs>
          <w:tab w:val="left" w:pos="5760"/>
        </w:tabs>
        <w:ind w:firstLine="567"/>
        <w:jc w:val="both"/>
        <w:rPr>
          <w:rFonts w:ascii="Arial" w:hAnsi="Arial" w:cs="Arial"/>
          <w:color w:val="000000"/>
          <w:lang w:val="sr-Latn-ME"/>
        </w:rPr>
      </w:pPr>
    </w:p>
    <w:p w14:paraId="471D614C">
      <w:pPr>
        <w:tabs>
          <w:tab w:val="left" w:pos="5760"/>
        </w:tabs>
        <w:ind w:firstLine="567"/>
        <w:jc w:val="both"/>
        <w:rPr>
          <w:rFonts w:ascii="Arial" w:hAnsi="Arial" w:cs="Arial"/>
          <w:color w:val="000000"/>
          <w:lang w:val="sr-Latn-ME"/>
        </w:rPr>
      </w:pPr>
    </w:p>
    <w:p w14:paraId="3CC93C71">
      <w:pPr>
        <w:tabs>
          <w:tab w:val="left" w:pos="5760"/>
        </w:tabs>
        <w:ind w:firstLine="567"/>
        <w:jc w:val="both"/>
        <w:rPr>
          <w:rFonts w:ascii="Arial" w:hAnsi="Arial" w:cs="Arial"/>
          <w:color w:val="000000"/>
          <w:lang w:val="sr-Latn-ME"/>
        </w:rPr>
      </w:pPr>
    </w:p>
    <w:p w14:paraId="5338B9CB">
      <w:pPr>
        <w:tabs>
          <w:tab w:val="left" w:pos="5760"/>
        </w:tabs>
        <w:ind w:firstLine="567"/>
        <w:jc w:val="both"/>
        <w:rPr>
          <w:rFonts w:ascii="Arial" w:hAnsi="Arial" w:cs="Arial"/>
          <w:color w:val="000000"/>
          <w:lang w:val="sr-Latn-ME"/>
        </w:rPr>
      </w:pPr>
    </w:p>
    <w:p w14:paraId="549E4549">
      <w:pPr>
        <w:tabs>
          <w:tab w:val="left" w:pos="5760"/>
        </w:tabs>
        <w:ind w:firstLine="567"/>
        <w:jc w:val="both"/>
        <w:rPr>
          <w:rFonts w:ascii="Arial" w:hAnsi="Arial" w:cs="Arial"/>
          <w:color w:val="000000"/>
          <w:lang w:val="sr-Latn-ME"/>
        </w:rPr>
      </w:pPr>
    </w:p>
    <w:p w14:paraId="0FE85228">
      <w:pPr>
        <w:tabs>
          <w:tab w:val="left" w:pos="5760"/>
        </w:tabs>
        <w:ind w:firstLine="567"/>
        <w:jc w:val="both"/>
        <w:rPr>
          <w:rFonts w:ascii="Arial" w:hAnsi="Arial" w:cs="Arial"/>
          <w:color w:val="000000"/>
          <w:lang w:val="sr-Latn-ME"/>
        </w:rPr>
      </w:pPr>
    </w:p>
    <w:p w14:paraId="6E431257">
      <w:pPr>
        <w:tabs>
          <w:tab w:val="left" w:pos="5760"/>
        </w:tabs>
        <w:jc w:val="both"/>
        <w:rPr>
          <w:rFonts w:ascii="Arial" w:hAnsi="Arial" w:cs="Arial"/>
          <w:color w:val="000000"/>
          <w:lang w:val="sr-Latn-ME"/>
        </w:rPr>
      </w:pPr>
    </w:p>
    <w:p w14:paraId="01ACE609">
      <w:pPr>
        <w:jc w:val="right"/>
        <w:rPr>
          <w:rFonts w:ascii="Arial" w:hAnsi="Arial" w:cs="Arial"/>
          <w:b/>
          <w:lang w:val="sr-Latn-ME"/>
        </w:rPr>
      </w:pPr>
    </w:p>
    <w:p w14:paraId="34EE322F"/>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 w:name="Cambria Math">
    <w:panose1 w:val="02040503050406030204"/>
    <w:charset w:val="00"/>
    <w:family w:val="roman"/>
    <w:pitch w:val="default"/>
    <w:sig w:usb0="E00006FF" w:usb1="420024FF" w:usb2="02000000" w:usb3="00000000" w:csb0="2000019F" w:csb1="00000000"/>
  </w:font>
  <w:font w:name="sans-serif">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 w:name="Wingdings">
    <w:panose1 w:val="05000000000000000000"/>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6">
    <w:p>
      <w:pPr>
        <w:spacing w:before="0" w:after="0" w:line="240" w:lineRule="auto"/>
      </w:pPr>
      <w:r>
        <w:separator/>
      </w:r>
    </w:p>
  </w:footnote>
  <w:footnote w:type="continuationSeparator" w:id="27">
    <w:p>
      <w:pPr>
        <w:spacing w:before="0" w:after="0" w:line="240" w:lineRule="auto"/>
      </w:pPr>
      <w:r>
        <w:continuationSeparator/>
      </w:r>
    </w:p>
  </w:footnote>
  <w:footnote w:id="0">
    <w:p w14:paraId="6AC8724A">
      <w:pPr>
        <w:pStyle w:val="5"/>
        <w:jc w:val="both"/>
        <w:rPr>
          <w:rFonts w:ascii="Arial" w:hAnsi="Arial" w:cs="Arial"/>
          <w:sz w:val="14"/>
          <w:szCs w:val="16"/>
          <w:lang w:val="sr-Latn-ME"/>
        </w:rPr>
      </w:pPr>
      <w:r>
        <w:rPr>
          <w:rStyle w:val="4"/>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1">
    <w:p w14:paraId="79F79E66">
      <w:pPr>
        <w:pStyle w:val="5"/>
        <w:jc w:val="both"/>
        <w:rPr>
          <w:rFonts w:ascii="Arial" w:hAnsi="Arial" w:cs="Arial"/>
          <w:sz w:val="14"/>
          <w:szCs w:val="16"/>
          <w:lang w:val="sr-Latn-ME"/>
        </w:rPr>
      </w:pPr>
      <w:r>
        <w:rPr>
          <w:rStyle w:val="4"/>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2">
    <w:p w14:paraId="0EE35CD6">
      <w:pPr>
        <w:pStyle w:val="5"/>
        <w:jc w:val="both"/>
        <w:rPr>
          <w:rFonts w:ascii="Arial" w:hAnsi="Arial" w:cs="Arial"/>
          <w:sz w:val="14"/>
          <w:szCs w:val="16"/>
          <w:lang w:val="sr-Latn-ME"/>
        </w:rPr>
      </w:pPr>
      <w:r>
        <w:rPr>
          <w:rStyle w:val="4"/>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3">
    <w:p w14:paraId="512B01A5">
      <w:pPr>
        <w:pStyle w:val="5"/>
        <w:jc w:val="both"/>
        <w:rPr>
          <w:rFonts w:ascii="Arial" w:hAnsi="Arial" w:cs="Arial"/>
          <w:sz w:val="14"/>
          <w:szCs w:val="16"/>
          <w:lang w:val="sr-Latn-ME"/>
        </w:rPr>
      </w:pPr>
      <w:r>
        <w:rPr>
          <w:rStyle w:val="4"/>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4">
    <w:p w14:paraId="709D1670">
      <w:pPr>
        <w:pStyle w:val="5"/>
        <w:jc w:val="both"/>
        <w:rPr>
          <w:rFonts w:ascii="Arial" w:hAnsi="Arial" w:cs="Arial"/>
          <w:sz w:val="16"/>
          <w:szCs w:val="16"/>
          <w:lang w:val="sr-Latn-ME"/>
        </w:rPr>
      </w:pPr>
      <w:r>
        <w:rPr>
          <w:rStyle w:val="4"/>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5">
    <w:p w14:paraId="38BD156F">
      <w:pPr>
        <w:pStyle w:val="5"/>
        <w:jc w:val="both"/>
        <w:rPr>
          <w:rFonts w:ascii="Arial" w:hAnsi="Arial" w:cs="Arial"/>
          <w:sz w:val="14"/>
          <w:szCs w:val="16"/>
          <w:lang w:val="sr-Latn-ME"/>
        </w:rPr>
      </w:pPr>
      <w:r>
        <w:rPr>
          <w:rStyle w:val="4"/>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6">
    <w:p w14:paraId="01161135">
      <w:pPr>
        <w:pStyle w:val="5"/>
        <w:jc w:val="both"/>
        <w:rPr>
          <w:rFonts w:ascii="Arial" w:hAnsi="Arial" w:cs="Arial"/>
          <w:sz w:val="16"/>
          <w:szCs w:val="16"/>
          <w:lang w:val="sr-Latn-ME"/>
        </w:rPr>
      </w:pPr>
      <w:r>
        <w:rPr>
          <w:rStyle w:val="4"/>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7">
    <w:p w14:paraId="56699746">
      <w:pPr>
        <w:autoSpaceDE w:val="0"/>
        <w:autoSpaceDN w:val="0"/>
        <w:adjustRightInd w:val="0"/>
        <w:contextualSpacing/>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8">
    <w:p w14:paraId="1BDE102F">
      <w:pPr>
        <w:pStyle w:val="5"/>
        <w:contextualSpacing/>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9">
    <w:p w14:paraId="6E1DEC60">
      <w:pPr>
        <w:pStyle w:val="5"/>
        <w:contextualSpacing/>
        <w:rPr>
          <w:rFonts w:ascii="Arial" w:hAnsi="Arial" w:cs="Arial"/>
          <w:sz w:val="14"/>
          <w:szCs w:val="16"/>
          <w:lang w:val="sr-Latn-ME"/>
        </w:rPr>
      </w:pPr>
      <w:r>
        <w:rPr>
          <w:rStyle w:val="4"/>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10">
    <w:p w14:paraId="45C83B5B">
      <w:pPr>
        <w:pStyle w:val="5"/>
        <w:contextualSpacing/>
        <w:rPr>
          <w:rFonts w:ascii="Arial" w:hAnsi="Arial" w:cs="Arial"/>
          <w:sz w:val="16"/>
          <w:szCs w:val="16"/>
          <w:lang w:val="sr-Latn-ME"/>
        </w:rPr>
      </w:pPr>
      <w:r>
        <w:rPr>
          <w:rStyle w:val="4"/>
          <w:rFonts w:ascii="Arial" w:hAnsi="Arial" w:cs="Arial"/>
          <w:sz w:val="14"/>
          <w:szCs w:val="16"/>
        </w:rPr>
        <w:footnoteRef/>
      </w:r>
      <w:r>
        <w:rPr>
          <w:rFonts w:ascii="Arial" w:hAnsi="Arial" w:cs="Arial"/>
          <w:sz w:val="14"/>
          <w:szCs w:val="16"/>
        </w:rPr>
        <w:t xml:space="preserve"> Ukoliko je predvi</w:t>
      </w:r>
      <w:r>
        <w:rPr>
          <w:rFonts w:ascii="Arial" w:hAnsi="Arial" w:cs="Arial"/>
          <w:sz w:val="14"/>
          <w:szCs w:val="16"/>
          <w:lang w:val="sr-Latn-ME"/>
        </w:rPr>
        <w:t>đeno podnošenje ponude sa varijanama opisati metodologiju vrednovanja ponuda, ukoliko nije brisati dio</w:t>
      </w:r>
    </w:p>
  </w:footnote>
  <w:footnote w:id="11">
    <w:p w14:paraId="11530306">
      <w:pPr>
        <w:pStyle w:val="5"/>
        <w:jc w:val="both"/>
        <w:rPr>
          <w:rFonts w:ascii="Arial" w:hAnsi="Arial" w:cs="Arial"/>
          <w:sz w:val="14"/>
          <w:szCs w:val="14"/>
          <w:lang w:val="sr-Latn-ME"/>
        </w:rPr>
      </w:pPr>
      <w:r>
        <w:rPr>
          <w:rStyle w:val="4"/>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2">
    <w:p w14:paraId="4FBF49DB">
      <w:pPr>
        <w:jc w:val="both"/>
        <w:rPr>
          <w:rFonts w:ascii="Arial" w:hAnsi="Arial" w:cs="Arial"/>
          <w:color w:val="000000"/>
          <w:sz w:val="16"/>
          <w:szCs w:val="16"/>
        </w:rPr>
      </w:pPr>
      <w:r>
        <w:rPr>
          <w:rStyle w:val="4"/>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F2749D"/>
    <w:multiLevelType w:val="multilevel"/>
    <w:tmpl w:val="00F2749D"/>
    <w:lvl w:ilvl="0" w:tentative="0">
      <w:start w:val="1"/>
      <w:numFmt w:val="decimal"/>
      <w:lvlText w:val="%1."/>
      <w:lvlJc w:val="left"/>
      <w:pPr>
        <w:ind w:left="720" w:hanging="360"/>
      </w:pPr>
      <w:rPr>
        <w:rFonts w:hint="default"/>
        <w:i/>
      </w:rPr>
    </w:lvl>
    <w:lvl w:ilvl="1" w:tentative="0">
      <w:start w:val="1"/>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440" w:hanging="108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800" w:hanging="144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2160" w:hanging="1800"/>
      </w:pPr>
      <w:rPr>
        <w:rFonts w:hint="default"/>
      </w:rPr>
    </w:lvl>
    <w:lvl w:ilvl="8" w:tentative="0">
      <w:start w:val="1"/>
      <w:numFmt w:val="decimal"/>
      <w:isLgl/>
      <w:lvlText w:val="%1.%2.%3.%4.%5.%6.%7.%8.%9."/>
      <w:lvlJc w:val="left"/>
      <w:pPr>
        <w:ind w:left="2160" w:hanging="1800"/>
      </w:pPr>
      <w:rPr>
        <w:rFonts w:hint="default"/>
      </w:rPr>
    </w:lvl>
  </w:abstractNum>
  <w:abstractNum w:abstractNumId="1">
    <w:nsid w:val="0F2B21DB"/>
    <w:multiLevelType w:val="multilevel"/>
    <w:tmpl w:val="0F2B21DB"/>
    <w:lvl w:ilvl="0" w:tentative="0">
      <w:start w:val="1"/>
      <w:numFmt w:val="decimal"/>
      <w:lvlText w:val="%1."/>
      <w:lvlJc w:val="left"/>
      <w:pPr>
        <w:ind w:left="720" w:hanging="360"/>
      </w:pPr>
      <w:rPr>
        <w:rFonts w:hint="default"/>
        <w:b/>
        <w:i/>
      </w:rPr>
    </w:lvl>
    <w:lvl w:ilvl="1" w:tentative="0">
      <w:start w:val="1"/>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440" w:hanging="108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800" w:hanging="144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2160" w:hanging="1800"/>
      </w:pPr>
      <w:rPr>
        <w:rFonts w:hint="default"/>
      </w:rPr>
    </w:lvl>
    <w:lvl w:ilvl="8" w:tentative="0">
      <w:start w:val="1"/>
      <w:numFmt w:val="decimal"/>
      <w:isLgl/>
      <w:lvlText w:val="%1.%2.%3.%4.%5.%6.%7.%8.%9."/>
      <w:lvlJc w:val="left"/>
      <w:pPr>
        <w:ind w:left="2160" w:hanging="1800"/>
      </w:pPr>
      <w:rPr>
        <w:rFonts w:hint="default"/>
      </w:rPr>
    </w:lvl>
  </w:abstractNum>
  <w:abstractNum w:abstractNumId="2">
    <w:nsid w:val="5363574F"/>
    <w:multiLevelType w:val="multilevel"/>
    <w:tmpl w:val="5363574F"/>
    <w:lvl w:ilvl="0" w:tentative="0">
      <w:start w:val="18"/>
      <w:numFmt w:val="bullet"/>
      <w:lvlText w:val="-"/>
      <w:lvlJc w:val="left"/>
      <w:pPr>
        <w:ind w:left="1800" w:hanging="360"/>
      </w:pPr>
      <w:rPr>
        <w:rFonts w:hint="default" w:ascii="Times New Roman" w:hAnsi="Times New Roman" w:eastAsia="Times New Roman" w:cs="Times New Roman"/>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3">
    <w:nsid w:val="61234FFF"/>
    <w:multiLevelType w:val="multilevel"/>
    <w:tmpl w:val="61234FFF"/>
    <w:lvl w:ilvl="0" w:tentative="0">
      <w:start w:val="18"/>
      <w:numFmt w:val="bullet"/>
      <w:lvlText w:val="-"/>
      <w:lvlJc w:val="left"/>
      <w:pPr>
        <w:ind w:left="1778" w:hanging="360"/>
      </w:pPr>
      <w:rPr>
        <w:rFonts w:hint="default" w:ascii="Times New Roman" w:hAnsi="Times New Roman" w:eastAsia="Times New Roman" w:cs="Times New Roman"/>
      </w:rPr>
    </w:lvl>
    <w:lvl w:ilvl="1" w:tentative="0">
      <w:start w:val="1"/>
      <w:numFmt w:val="bullet"/>
      <w:lvlText w:val="o"/>
      <w:lvlJc w:val="left"/>
      <w:pPr>
        <w:ind w:left="2498" w:hanging="360"/>
      </w:pPr>
      <w:rPr>
        <w:rFonts w:hint="default" w:ascii="Courier New" w:hAnsi="Courier New" w:cs="Courier New"/>
      </w:rPr>
    </w:lvl>
    <w:lvl w:ilvl="2" w:tentative="0">
      <w:start w:val="1"/>
      <w:numFmt w:val="bullet"/>
      <w:lvlText w:val=""/>
      <w:lvlJc w:val="left"/>
      <w:pPr>
        <w:ind w:left="3218" w:hanging="360"/>
      </w:pPr>
      <w:rPr>
        <w:rFonts w:hint="default" w:ascii="Wingdings" w:hAnsi="Wingdings"/>
      </w:rPr>
    </w:lvl>
    <w:lvl w:ilvl="3" w:tentative="0">
      <w:start w:val="1"/>
      <w:numFmt w:val="bullet"/>
      <w:lvlText w:val=""/>
      <w:lvlJc w:val="left"/>
      <w:pPr>
        <w:ind w:left="3938" w:hanging="360"/>
      </w:pPr>
      <w:rPr>
        <w:rFonts w:hint="default" w:ascii="Symbol" w:hAnsi="Symbol"/>
      </w:rPr>
    </w:lvl>
    <w:lvl w:ilvl="4" w:tentative="0">
      <w:start w:val="1"/>
      <w:numFmt w:val="bullet"/>
      <w:lvlText w:val="o"/>
      <w:lvlJc w:val="left"/>
      <w:pPr>
        <w:ind w:left="4658" w:hanging="360"/>
      </w:pPr>
      <w:rPr>
        <w:rFonts w:hint="default" w:ascii="Courier New" w:hAnsi="Courier New" w:cs="Courier New"/>
      </w:rPr>
    </w:lvl>
    <w:lvl w:ilvl="5" w:tentative="0">
      <w:start w:val="1"/>
      <w:numFmt w:val="bullet"/>
      <w:lvlText w:val=""/>
      <w:lvlJc w:val="left"/>
      <w:pPr>
        <w:ind w:left="5378" w:hanging="360"/>
      </w:pPr>
      <w:rPr>
        <w:rFonts w:hint="default" w:ascii="Wingdings" w:hAnsi="Wingdings"/>
      </w:rPr>
    </w:lvl>
    <w:lvl w:ilvl="6" w:tentative="0">
      <w:start w:val="1"/>
      <w:numFmt w:val="bullet"/>
      <w:lvlText w:val=""/>
      <w:lvlJc w:val="left"/>
      <w:pPr>
        <w:ind w:left="6098" w:hanging="360"/>
      </w:pPr>
      <w:rPr>
        <w:rFonts w:hint="default" w:ascii="Symbol" w:hAnsi="Symbol"/>
      </w:rPr>
    </w:lvl>
    <w:lvl w:ilvl="7" w:tentative="0">
      <w:start w:val="1"/>
      <w:numFmt w:val="bullet"/>
      <w:lvlText w:val="o"/>
      <w:lvlJc w:val="left"/>
      <w:pPr>
        <w:ind w:left="6818" w:hanging="360"/>
      </w:pPr>
      <w:rPr>
        <w:rFonts w:hint="default" w:ascii="Courier New" w:hAnsi="Courier New" w:cs="Courier New"/>
      </w:rPr>
    </w:lvl>
    <w:lvl w:ilvl="8" w:tentative="0">
      <w:start w:val="1"/>
      <w:numFmt w:val="bullet"/>
      <w:lvlText w:val=""/>
      <w:lvlJc w:val="left"/>
      <w:pPr>
        <w:ind w:left="7538" w:hanging="360"/>
      </w:pPr>
      <w:rPr>
        <w:rFonts w:hint="default" w:ascii="Wingdings" w:hAnsi="Wingdings"/>
      </w:rPr>
    </w:lvl>
  </w:abstractNum>
  <w:abstractNum w:abstractNumId="4">
    <w:nsid w:val="6764291E"/>
    <w:multiLevelType w:val="multilevel"/>
    <w:tmpl w:val="6764291E"/>
    <w:lvl w:ilvl="0" w:tentative="0">
      <w:start w:val="1"/>
      <w:numFmt w:val="decimal"/>
      <w:lvlText w:val="%1."/>
      <w:lvlJc w:val="left"/>
      <w:pPr>
        <w:ind w:left="108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6EAE6A37"/>
    <w:multiLevelType w:val="multilevel"/>
    <w:tmpl w:val="6EAE6A37"/>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26"/>
    <w:footnote w:id="27"/>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A72"/>
    <w:rsid w:val="001F7DCD"/>
    <w:rsid w:val="00575B48"/>
    <w:rsid w:val="008B4799"/>
    <w:rsid w:val="00A31A72"/>
    <w:rsid w:val="1C415194"/>
    <w:rsid w:val="70DE30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unhideWhenUsed/>
    <w:qFormat/>
    <w:uiPriority w:val="99"/>
    <w:rPr>
      <w:vertAlign w:val="superscript"/>
    </w:rPr>
  </w:style>
  <w:style w:type="paragraph" w:styleId="5">
    <w:name w:val="footnote text"/>
    <w:basedOn w:val="1"/>
    <w:link w:val="8"/>
    <w:unhideWhenUsed/>
    <w:qFormat/>
    <w:uiPriority w:val="99"/>
    <w:rPr>
      <w:rFonts w:ascii="Calibri" w:hAnsi="Calibri" w:eastAsia="Calibri"/>
      <w:sz w:val="20"/>
      <w:szCs w:val="20"/>
    </w:rPr>
  </w:style>
  <w:style w:type="character" w:styleId="6">
    <w:name w:val="Hyperlink"/>
    <w:qFormat/>
    <w:uiPriority w:val="99"/>
    <w:rPr>
      <w:color w:val="0000FF"/>
      <w:u w:val="single"/>
    </w:rPr>
  </w:style>
  <w:style w:type="paragraph" w:customStyle="1" w:styleId="7">
    <w:name w:val="T30X"/>
    <w:basedOn w:val="1"/>
    <w:uiPriority w:val="99"/>
    <w:pPr>
      <w:autoSpaceDE w:val="0"/>
      <w:autoSpaceDN w:val="0"/>
      <w:adjustRightInd w:val="0"/>
      <w:spacing w:before="60" w:after="60"/>
      <w:ind w:firstLine="283"/>
      <w:jc w:val="both"/>
    </w:pPr>
    <w:rPr>
      <w:color w:val="000000"/>
      <w:sz w:val="22"/>
      <w:szCs w:val="22"/>
    </w:rPr>
  </w:style>
  <w:style w:type="character" w:customStyle="1" w:styleId="8">
    <w:name w:val="Footnote Text Char"/>
    <w:basedOn w:val="2"/>
    <w:link w:val="5"/>
    <w:qFormat/>
    <w:uiPriority w:val="99"/>
    <w:rPr>
      <w:rFonts w:ascii="Calibri" w:hAnsi="Calibri" w:eastAsia="Calibri"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2253</Words>
  <Characters>12845</Characters>
  <Lines>107</Lines>
  <Paragraphs>30</Paragraphs>
  <TotalTime>16</TotalTime>
  <ScaleCrop>false</ScaleCrop>
  <LinksUpToDate>false</LinksUpToDate>
  <CharactersWithSpaces>15068</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2024-04-22T10:57:00Z</dcterms:created>
  <dc:creator>Javne Nabavke</dc:creator>
  <cp:lastModifiedBy>PC</cp:lastModifiedBy>
  <dcterms:modified xsi:type="dcterms:W3CDTF">2025-12-26T13:32:53Z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24EFD029DA8C4EB98F345D23410A66ED_13</vt:lpwstr>
  </property>
</Properties>
</file>