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450" w:right="-810" w:firstLine="450"/>
        <w:jc w:val="both"/>
        <w:rPr>
          <w:rFonts w:hint="default" w:ascii="Times New Roman" w:hAnsi="Times New Roman" w:cs="Times New Roman"/>
          <w:b/>
          <w:sz w:val="24"/>
          <w:szCs w:val="24"/>
          <w:lang w:val="sr-Latn-ME"/>
        </w:rPr>
      </w:pPr>
      <w:r>
        <w:rPr>
          <w:rFonts w:hint="default" w:ascii="Times New Roman" w:hAnsi="Times New Roman" w:cs="Times New Roman"/>
          <w:b/>
          <w:sz w:val="24"/>
          <w:szCs w:val="24"/>
          <w:lang w:val="sr-Latn-ME"/>
        </w:rPr>
        <w:t xml:space="preserve">                                                                                                                              </w:t>
      </w:r>
    </w:p>
    <w:p>
      <w:pPr>
        <w:spacing w:before="120" w:after="80" w:line="192" w:lineRule="auto"/>
        <w:ind w:left="1134" w:firstLine="100" w:firstLineChars="50"/>
        <w:jc w:val="left"/>
        <w:rPr>
          <w:rFonts w:hint="default" w:ascii="Arial" w:hAnsi="Arial" w:eastAsia="Times New Roman" w:cs="Arial"/>
          <w:spacing w:val="-10"/>
          <w:kern w:val="28"/>
          <w:sz w:val="22"/>
          <w:szCs w:val="22"/>
          <w:lang w:val="en-US" w:eastAsia="en-US" w:bidi="ar-SA"/>
        </w:rPr>
      </w:pPr>
      <w:r>
        <w:rPr>
          <w:rFonts w:hint="default" w:ascii="Arial" w:hAnsi="Arial" w:eastAsia="Times New Roman" w:cs="Arial"/>
          <w:spacing w:val="-10"/>
          <w:kern w:val="28"/>
          <w:sz w:val="22"/>
          <w:szCs w:val="22"/>
          <w:lang w:val="sr-Latn-ME" w:eastAsia="sr-Latn-ME" w:bidi="ar-SA"/>
        </w:rPr>
        <mc:AlternateContent>
          <mc:Choice Requires="wps">
            <w:drawing>
              <wp:anchor distT="45720" distB="45720" distL="114300" distR="114300" simplePos="0" relativeHeight="251661312" behindDoc="0" locked="0" layoutInCell="1" allowOverlap="1">
                <wp:simplePos x="0" y="0"/>
                <wp:positionH relativeFrom="column">
                  <wp:posOffset>3909695</wp:posOffset>
                </wp:positionH>
                <wp:positionV relativeFrom="paragraph">
                  <wp:posOffset>183515</wp:posOffset>
                </wp:positionV>
                <wp:extent cx="2298065" cy="1074420"/>
                <wp:effectExtent l="0" t="0" r="3175" b="7620"/>
                <wp:wrapNone/>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2298065" cy="1074420"/>
                        </a:xfrm>
                        <a:prstGeom prst="rect">
                          <a:avLst/>
                        </a:prstGeom>
                        <a:solidFill>
                          <a:srgbClr val="FFFFFF"/>
                        </a:solidFill>
                        <a:ln w="9525">
                          <a:noFill/>
                          <a:miter lim="800000"/>
                        </a:ln>
                      </wps:spPr>
                      <wps:txbx>
                        <w:txbxContent>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 xml:space="preserve">Adresa: ul. Stanka Dragojevića 2, </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81000 Podgorica, Crna Gora</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 xml:space="preserve">tel: +382 20 242 835 </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fax: +382 20 224 450</w:t>
                            </w:r>
                          </w:p>
                          <w:p>
                            <w:pPr>
                              <w:spacing w:before="0" w:after="0" w:line="240" w:lineRule="auto"/>
                              <w:jc w:val="right"/>
                              <w:rPr>
                                <w:rFonts w:hint="default" w:ascii="Arial" w:hAnsi="Arial" w:eastAsia="Calibri" w:cs="Arial"/>
                                <w:color w:val="0070C0"/>
                                <w:sz w:val="20"/>
                                <w:lang w:val="sr-Latn-CS"/>
                              </w:rPr>
                            </w:pPr>
                            <w:r>
                              <w:rPr>
                                <w:rFonts w:hint="default" w:ascii="Arial" w:hAnsi="Arial" w:eastAsia="Calibri" w:cs="Arial"/>
                                <w:color w:val="0070C0"/>
                                <w:sz w:val="20"/>
                                <w:lang w:val="sr-Latn-CS"/>
                              </w:rPr>
                              <w:t>www.mif.gov.me</w:t>
                            </w:r>
                          </w:p>
                          <w:p>
                            <w:pPr>
                              <w:spacing w:before="120" w:after="120" w:line="240" w:lineRule="auto"/>
                              <w:jc w:val="both"/>
                              <w:rPr>
                                <w:rFonts w:hint="default" w:ascii="Arial" w:hAnsi="Arial" w:eastAsia="Calibri" w:cs="Arial"/>
                                <w:sz w:val="20"/>
                                <w:lang w:val="sr-Latn-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page">
                  <wp14:pctHeight>0</wp14:pctHeight>
                </wp14:sizeRelV>
              </wp:anchor>
            </w:drawing>
          </mc:Choice>
          <mc:Fallback>
            <w:pict>
              <v:shape id="Text Box 2" o:spid="_x0000_s1026" o:spt="202" type="#_x0000_t202" style="position:absolute;left:0pt;margin-left:307.85pt;margin-top:14.45pt;height:84.6pt;width:180.95pt;z-index:251661312;mso-width-relative:margin;mso-height-relative:page;mso-width-percent:400;" fillcolor="#FFFFFF" filled="t" stroked="f" coordsize="21600,21600" o:gfxdata="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B8isW1wAAAAoBAAAPAAAAAAAAAAEAIAAAACIAAABkcnMvZG93bnJldi54bWxQSwECFAAU&#10;AAAACACHTuJA8F8z4SsCAABUBAAADgAAAAAAAAABACAAAAAmAQAAZHJzL2Uyb0RvYy54bWxQSwUG&#10;AAAAAAYABgBZAQAAwwUAAAAA&#10;">
                <v:fill on="t" focussize="0,0"/>
                <v:stroke on="f" miterlimit="8" joinstyle="miter"/>
                <v:imagedata o:title=""/>
                <o:lock v:ext="edit" aspectratio="f"/>
                <v:textbox>
                  <w:txbxContent>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 xml:space="preserve">Adresa: ul. Stanka Dragojevića 2, </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81000 Podgorica, Crna Gora</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 xml:space="preserve">tel: +382 20 242 835 </w:t>
                      </w:r>
                    </w:p>
                    <w:p>
                      <w:pPr>
                        <w:spacing w:before="0" w:after="0" w:line="240" w:lineRule="auto"/>
                        <w:jc w:val="right"/>
                        <w:rPr>
                          <w:rFonts w:hint="default" w:ascii="Arial" w:hAnsi="Arial" w:eastAsia="Calibri" w:cs="Arial"/>
                          <w:sz w:val="20"/>
                          <w:lang w:val="sr-Latn-CS"/>
                        </w:rPr>
                      </w:pPr>
                      <w:r>
                        <w:rPr>
                          <w:rFonts w:hint="default" w:ascii="Arial" w:hAnsi="Arial" w:eastAsia="Calibri" w:cs="Arial"/>
                          <w:sz w:val="20"/>
                          <w:lang w:val="sr-Latn-CS"/>
                        </w:rPr>
                        <w:t>fax: +382 20 224 450</w:t>
                      </w:r>
                    </w:p>
                    <w:p>
                      <w:pPr>
                        <w:spacing w:before="0" w:after="0" w:line="240" w:lineRule="auto"/>
                        <w:jc w:val="right"/>
                        <w:rPr>
                          <w:rFonts w:hint="default" w:ascii="Arial" w:hAnsi="Arial" w:eastAsia="Calibri" w:cs="Arial"/>
                          <w:color w:val="0070C0"/>
                          <w:sz w:val="20"/>
                          <w:lang w:val="sr-Latn-CS"/>
                        </w:rPr>
                      </w:pPr>
                      <w:r>
                        <w:rPr>
                          <w:rFonts w:hint="default" w:ascii="Arial" w:hAnsi="Arial" w:eastAsia="Calibri" w:cs="Arial"/>
                          <w:color w:val="0070C0"/>
                          <w:sz w:val="20"/>
                          <w:lang w:val="sr-Latn-CS"/>
                        </w:rPr>
                        <w:t>www.mif.gov.me</w:t>
                      </w:r>
                    </w:p>
                    <w:p>
                      <w:pPr>
                        <w:spacing w:before="120" w:after="120" w:line="240" w:lineRule="auto"/>
                        <w:jc w:val="both"/>
                        <w:rPr>
                          <w:rFonts w:hint="default" w:ascii="Arial" w:hAnsi="Arial" w:eastAsia="Calibri" w:cs="Arial"/>
                          <w:sz w:val="20"/>
                          <w:lang w:val="sr-Latn-CS"/>
                        </w:rPr>
                      </w:pPr>
                    </w:p>
                  </w:txbxContent>
                </v:textbox>
              </v:shape>
            </w:pict>
          </mc:Fallback>
        </mc:AlternateContent>
      </w:r>
    </w:p>
    <w:p>
      <w:pPr>
        <w:spacing w:before="120" w:after="80" w:line="192" w:lineRule="auto"/>
        <w:ind w:firstLine="1000" w:firstLineChars="500"/>
        <w:jc w:val="left"/>
        <w:rPr>
          <w:rFonts w:hint="default" w:ascii="Arial" w:hAnsi="Arial" w:eastAsia="SimSun" w:cs="Arial"/>
          <w:spacing w:val="-10"/>
          <w:kern w:val="28"/>
          <w:sz w:val="22"/>
          <w:szCs w:val="22"/>
          <w:lang w:val="en-US" w:eastAsia="en-US" w:bidi="ar-SA"/>
        </w:rPr>
      </w:pPr>
      <w:r>
        <w:rPr>
          <w:rFonts w:hint="default" w:ascii="Arial" w:hAnsi="Arial" w:eastAsia="Times New Roman" w:cs="Arial"/>
          <w:spacing w:val="-10"/>
          <w:kern w:val="28"/>
          <w:sz w:val="22"/>
          <w:szCs w:val="22"/>
          <w:lang w:val="sr-Latn-ME" w:eastAsia="sr-Latn-ME" w:bidi="ar-SA"/>
        </w:rPr>
        <mc:AlternateContent>
          <mc:Choice Requires="wps">
            <w:drawing>
              <wp:anchor distT="0" distB="0" distL="113665" distR="113665" simplePos="0" relativeHeight="251659264" behindDoc="0" locked="0" layoutInCell="1" allowOverlap="1">
                <wp:simplePos x="0" y="0"/>
                <wp:positionH relativeFrom="column">
                  <wp:posOffset>621665</wp:posOffset>
                </wp:positionH>
                <wp:positionV relativeFrom="paragraph">
                  <wp:posOffset>52705</wp:posOffset>
                </wp:positionV>
                <wp:extent cx="0" cy="635000"/>
                <wp:effectExtent l="9525" t="0" r="20955" b="508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95pt;margin-top:4.15pt;height:50pt;width:0pt;z-index:251659264;mso-width-relative:page;mso-height-relative:page;" filled="f" stroked="t" coordsize="21600,21600" o:gfxdata="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KxZmrQAAAABwEAAA8AAAAAAAAAAQAg&#10;AAAAIgAAAGRycy9kb3ducmV2LnhtbFBLAQIUABQAAAAIAIdO4kDUgloZ3QEAAMQDAAAOAAAAAAAA&#10;AAEAIAAAAB8BAABkcnMvZTJvRG9jLnhtbFBLBQYAAAAABgAGAFkBAABuBQAAAAA=&#10;">
                <v:fill on="f" focussize="0,0"/>
                <v:stroke weight="1.5pt" color="#D5B03D [3204]" miterlimit="8" joinstyle="miter"/>
                <v:imagedata o:title=""/>
                <o:lock v:ext="edit" aspectratio="f"/>
              </v:line>
            </w:pict>
          </mc:Fallback>
        </mc:AlternateContent>
      </w:r>
      <w:r>
        <w:rPr>
          <w:rFonts w:hint="default" w:ascii="Arial" w:hAnsi="Arial" w:eastAsia="Times New Roman" w:cs="Arial"/>
          <w:spacing w:val="-10"/>
          <w:kern w:val="28"/>
          <w:sz w:val="22"/>
          <w:szCs w:val="22"/>
          <w:lang w:val="sr-Latn-ME" w:eastAsia="sr-Latn-ME" w:bidi="ar-SA"/>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9525" b="317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rFonts w:hint="default" w:ascii="Arial" w:hAnsi="Arial" w:eastAsia="Times New Roman" w:cs="Arial"/>
          <w:spacing w:val="-10"/>
          <w:kern w:val="28"/>
          <w:sz w:val="22"/>
          <w:szCs w:val="22"/>
          <w:lang w:val="en-US" w:eastAsia="en-US" w:bidi="ar-SA"/>
        </w:rPr>
        <w:t>Crna Gora</w:t>
      </w:r>
    </w:p>
    <w:p>
      <w:pPr>
        <w:spacing w:before="0" w:after="0" w:line="240" w:lineRule="auto"/>
        <w:ind w:firstLine="1100" w:firstLineChars="550"/>
        <w:jc w:val="both"/>
        <w:rPr>
          <w:rFonts w:hint="default" w:ascii="Arial" w:hAnsi="Arial" w:eastAsia="Calibri" w:cs="Arial"/>
          <w:sz w:val="22"/>
          <w:szCs w:val="22"/>
          <w:lang w:val="sr-Latn-CS"/>
        </w:rPr>
      </w:pPr>
      <w:r>
        <w:rPr>
          <w:rFonts w:hint="default" w:ascii="Arial" w:hAnsi="Arial" w:eastAsia="Times New Roman" w:cs="Arial"/>
          <w:spacing w:val="-10"/>
          <w:kern w:val="28"/>
          <w:sz w:val="22"/>
          <w:szCs w:val="22"/>
          <w:lang w:val="sr-Latn-ME" w:eastAsia="en-US" w:bidi="ar-SA"/>
        </w:rPr>
        <w:t>Minist</w:t>
      </w:r>
      <w:r>
        <w:rPr>
          <w:rFonts w:hint="default" w:ascii="Arial" w:hAnsi="Arial" w:eastAsia="Times New Roman" w:cs="Arial"/>
          <w:spacing w:val="-10"/>
          <w:kern w:val="28"/>
          <w:sz w:val="22"/>
          <w:szCs w:val="22"/>
          <w:lang w:val="en-US" w:eastAsia="en-US" w:bidi="ar-SA"/>
        </w:rPr>
        <w:t xml:space="preserve">arstvo </w:t>
      </w:r>
      <w:r>
        <w:rPr>
          <w:rFonts w:hint="default" w:ascii="Arial" w:hAnsi="Arial" w:eastAsia="Times New Roman" w:cs="Arial"/>
          <w:spacing w:val="-10"/>
          <w:kern w:val="28"/>
          <w:sz w:val="22"/>
          <w:szCs w:val="22"/>
          <w:lang w:val="sr-Latn-ME" w:eastAsia="en-US" w:bidi="ar-SA"/>
        </w:rPr>
        <w:t xml:space="preserve"> </w:t>
      </w:r>
      <w:r>
        <w:rPr>
          <w:rFonts w:hint="default" w:ascii="Arial" w:hAnsi="Arial" w:eastAsia="Times New Roman" w:cs="Arial"/>
          <w:spacing w:val="-10"/>
          <w:kern w:val="28"/>
          <w:sz w:val="22"/>
          <w:szCs w:val="22"/>
          <w:lang w:val="en-US" w:eastAsia="en-US" w:bidi="ar-SA"/>
        </w:rPr>
        <w:t>finansija</w:t>
      </w:r>
    </w:p>
    <w:p>
      <w:pPr>
        <w:spacing w:before="0" w:after="0" w:line="240" w:lineRule="auto"/>
        <w:jc w:val="right"/>
        <w:rPr>
          <w:rFonts w:ascii="Calibri" w:hAnsi="Calibri" w:eastAsia="Calibri" w:cs="Times New Roman"/>
          <w:sz w:val="20"/>
          <w:lang w:val="sr-Latn-CS"/>
        </w:rPr>
      </w:pPr>
      <w:r>
        <w:rPr>
          <w:rFonts w:ascii="Calibri" w:hAnsi="Calibri" w:eastAsia="Calibri" w:cs="Times New Roman"/>
          <w:sz w:val="20"/>
          <w:lang w:val="sr-Latn-CS"/>
        </w:rPr>
        <w:t>fax: +382 20 224 450</w:t>
      </w:r>
    </w:p>
    <w:p>
      <w:pPr>
        <w:spacing w:before="0" w:after="0" w:line="240" w:lineRule="auto"/>
        <w:jc w:val="right"/>
        <w:rPr>
          <w:rFonts w:ascii="Calibri" w:hAnsi="Calibri" w:eastAsia="Calibri" w:cs="Times New Roman"/>
          <w:color w:val="0070C0"/>
          <w:sz w:val="20"/>
          <w:lang w:val="sr-Latn-CS"/>
        </w:rPr>
      </w:pPr>
      <w:r>
        <w:rPr>
          <w:rFonts w:ascii="Calibri" w:hAnsi="Calibri" w:eastAsia="Calibri" w:cs="Times New Roman"/>
          <w:color w:val="0070C0"/>
          <w:sz w:val="20"/>
          <w:lang w:val="sr-Latn-CS"/>
        </w:rPr>
        <w:t>www.mif.gov.me</w:t>
      </w:r>
    </w:p>
    <w:p>
      <w:pPr>
        <w:spacing w:after="0" w:line="240" w:lineRule="auto"/>
        <w:ind w:right="-810"/>
        <w:jc w:val="both"/>
        <w:rPr>
          <w:rFonts w:ascii="Times New Roman" w:hAnsi="Times New Roman" w:cs="Times New Roman"/>
          <w:b/>
          <w:sz w:val="24"/>
          <w:szCs w:val="24"/>
        </w:rPr>
      </w:pPr>
    </w:p>
    <w:p>
      <w:pPr>
        <w:spacing w:after="0" w:line="240" w:lineRule="auto"/>
        <w:ind w:right="-810"/>
        <w:jc w:val="both"/>
        <w:rPr>
          <w:rFonts w:hint="default" w:ascii="Arial" w:hAnsi="Arial" w:cs="Arial"/>
          <w:b/>
          <w:sz w:val="22"/>
          <w:szCs w:val="22"/>
        </w:rPr>
      </w:pPr>
    </w:p>
    <w:p>
      <w:pPr>
        <w:spacing w:after="0" w:line="240" w:lineRule="auto"/>
        <w:ind w:right="-810"/>
        <w:jc w:val="both"/>
        <w:rPr>
          <w:rFonts w:hint="default" w:ascii="Arial" w:hAnsi="Arial" w:cs="Arial"/>
          <w:b/>
          <w:sz w:val="22"/>
          <w:szCs w:val="22"/>
        </w:rPr>
      </w:pPr>
    </w:p>
    <w:p>
      <w:pPr>
        <w:spacing w:before="120" w:after="120" w:line="264" w:lineRule="auto"/>
        <w:jc w:val="left"/>
        <w:rPr>
          <w:rFonts w:hint="default" w:ascii="Arial" w:hAnsi="Arial" w:eastAsia="Calibri" w:cs="Arial"/>
          <w:sz w:val="22"/>
          <w:szCs w:val="22"/>
          <w:lang w:val="sr-Latn-RS"/>
        </w:rPr>
      </w:pPr>
      <w:r>
        <w:rPr>
          <w:rFonts w:hint="default" w:ascii="Arial" w:hAnsi="Arial" w:eastAsia="Calibri"/>
          <w:b/>
          <w:bCs/>
          <w:sz w:val="22"/>
          <w:szCs w:val="22"/>
          <w:lang w:val="sr-Latn-RS"/>
        </w:rPr>
        <w:t xml:space="preserve">Predmet: </w:t>
      </w:r>
      <w:r>
        <w:rPr>
          <w:rFonts w:hint="default" w:ascii="Arial" w:hAnsi="Arial" w:cs="Arial"/>
          <w:lang w:val="sr-Latn-RS"/>
        </w:rPr>
        <w:t>Poj</w:t>
      </w:r>
      <w:r>
        <w:rPr>
          <w:rFonts w:hint="default" w:ascii="Arial" w:hAnsi="Arial" w:cs="Arial"/>
          <w:lang w:val="sr-Latn-ME"/>
        </w:rPr>
        <w:t>a</w:t>
      </w:r>
      <w:r>
        <w:rPr>
          <w:rFonts w:hint="default" w:ascii="Arial" w:hAnsi="Arial" w:cs="Arial"/>
          <w:lang w:val="sr-Latn-RS"/>
        </w:rPr>
        <w:t>šnjenje Tenderske dokumentacije</w:t>
      </w:r>
    </w:p>
    <w:p>
      <w:pPr>
        <w:spacing w:before="120" w:after="120" w:line="264" w:lineRule="auto"/>
        <w:jc w:val="left"/>
        <w:rPr>
          <w:rFonts w:hint="default" w:ascii="Arial" w:hAnsi="Arial" w:eastAsia="Calibri" w:cs="Arial"/>
          <w:sz w:val="22"/>
          <w:szCs w:val="22"/>
          <w:lang w:val="sr-Latn-RS"/>
        </w:rPr>
      </w:pPr>
      <w:r>
        <w:rPr>
          <w:rFonts w:hint="default" w:ascii="Arial" w:hAnsi="Arial" w:eastAsia="Calibri" w:cs="Arial"/>
          <w:sz w:val="22"/>
          <w:szCs w:val="22"/>
          <w:lang w:val="sr-Latn-RS"/>
        </w:rPr>
        <w:t>Br:</w:t>
      </w:r>
      <w:r>
        <w:rPr>
          <w:rFonts w:hint="default" w:ascii="Arial" w:hAnsi="Arial" w:eastAsia="Calibri" w:cs="Arial"/>
          <w:sz w:val="22"/>
          <w:szCs w:val="22"/>
          <w:lang w:val="sr-Latn-ME"/>
        </w:rPr>
        <w:t xml:space="preserve"> </w:t>
      </w:r>
      <w:r>
        <w:rPr>
          <w:rFonts w:hint="default" w:ascii="Arial" w:hAnsi="Arial" w:eastAsia="Calibri" w:cs="Arial"/>
          <w:sz w:val="22"/>
          <w:szCs w:val="22"/>
          <w:lang w:val="sr-Latn-RS"/>
        </w:rPr>
        <w:t xml:space="preserve"> </w:t>
      </w:r>
      <w:r>
        <w:rPr>
          <w:rFonts w:hint="default" w:ascii="Arial" w:hAnsi="Arial" w:eastAsia="Calibri"/>
          <w:sz w:val="22"/>
          <w:szCs w:val="22"/>
          <w:lang w:val="sr-Latn-RS"/>
        </w:rPr>
        <w:t>8/2025-1</w:t>
      </w:r>
      <w:r>
        <w:rPr>
          <w:rFonts w:hint="default" w:ascii="Arial" w:hAnsi="Arial" w:eastAsia="Calibri" w:cs="Arial"/>
          <w:sz w:val="22"/>
          <w:szCs w:val="22"/>
          <w:lang w:val="sr-Latn-RS"/>
        </w:rPr>
        <w:t xml:space="preserve">                                     </w:t>
      </w:r>
      <w:r>
        <w:rPr>
          <w:rFonts w:hint="default" w:ascii="Arial" w:hAnsi="Arial" w:eastAsia="Calibri" w:cs="Arial"/>
          <w:sz w:val="22"/>
          <w:szCs w:val="22"/>
          <w:lang w:val="sr-Latn-ME"/>
        </w:rPr>
        <w:t xml:space="preserve">  </w:t>
      </w:r>
      <w:r>
        <w:rPr>
          <w:rFonts w:hint="default" w:ascii="Arial" w:hAnsi="Arial" w:eastAsia="Calibri" w:cs="Arial"/>
          <w:sz w:val="22"/>
          <w:szCs w:val="22"/>
          <w:lang w:val="sr-Latn-RS"/>
        </w:rPr>
        <w:t xml:space="preserve">                                     </w:t>
      </w:r>
    </w:p>
    <w:p>
      <w:pPr>
        <w:spacing w:before="120" w:after="120" w:line="264" w:lineRule="auto"/>
        <w:jc w:val="left"/>
        <w:rPr>
          <w:rFonts w:hint="default" w:ascii="Arial" w:hAnsi="Arial" w:eastAsia="Calibri" w:cs="Arial"/>
          <w:sz w:val="22"/>
          <w:szCs w:val="22"/>
          <w:lang w:val="sr-Latn-RS"/>
        </w:rPr>
      </w:pPr>
      <w:r>
        <w:rPr>
          <w:rFonts w:hint="default" w:ascii="Arial" w:hAnsi="Arial" w:eastAsia="Calibri" w:cs="Arial"/>
          <w:sz w:val="22"/>
          <w:szCs w:val="22"/>
          <w:lang w:val="sr-Latn-RS"/>
        </w:rPr>
        <w:t xml:space="preserve">Podgorica, </w:t>
      </w:r>
      <w:r>
        <w:rPr>
          <w:rFonts w:hint="default" w:ascii="Arial" w:hAnsi="Arial" w:eastAsia="Calibri" w:cs="Arial"/>
          <w:sz w:val="22"/>
          <w:szCs w:val="22"/>
          <w:highlight w:val="none"/>
          <w:lang w:val="sr-Latn-RS"/>
        </w:rPr>
        <w:t>19.12.2025.</w:t>
      </w:r>
      <w:r>
        <w:rPr>
          <w:rFonts w:hint="default" w:ascii="Arial" w:hAnsi="Arial" w:eastAsia="Calibri" w:cs="Arial"/>
          <w:sz w:val="22"/>
          <w:szCs w:val="22"/>
          <w:lang w:val="sr-Latn-RS"/>
        </w:rPr>
        <w:t xml:space="preserve"> godine     </w:t>
      </w:r>
    </w:p>
    <w:p>
      <w:pPr>
        <w:spacing w:after="0" w:line="240" w:lineRule="auto"/>
        <w:ind w:right="-810"/>
        <w:jc w:val="both"/>
        <w:rPr>
          <w:rFonts w:hint="default" w:ascii="Arial" w:hAnsi="Arial" w:cs="Arial"/>
          <w:b/>
          <w:sz w:val="22"/>
          <w:szCs w:val="22"/>
        </w:rPr>
      </w:pPr>
    </w:p>
    <w:p>
      <w:pPr>
        <w:spacing w:after="0" w:line="240" w:lineRule="auto"/>
        <w:ind w:left="-450" w:right="-810" w:firstLine="450"/>
        <w:jc w:val="both"/>
        <w:rPr>
          <w:rFonts w:hint="default" w:ascii="Arial" w:hAnsi="Arial" w:cs="Arial"/>
          <w:b/>
          <w:sz w:val="22"/>
          <w:szCs w:val="22"/>
        </w:rPr>
      </w:pPr>
      <w:bookmarkStart w:id="0" w:name="_GoBack"/>
      <w:bookmarkEnd w:id="0"/>
    </w:p>
    <w:p>
      <w:pPr>
        <w:spacing w:after="0" w:line="240" w:lineRule="auto"/>
        <w:jc w:val="both"/>
        <w:rPr>
          <w:rFonts w:hint="default" w:ascii="Arial" w:hAnsi="Arial" w:cs="Arial"/>
          <w:b/>
          <w:sz w:val="22"/>
          <w:szCs w:val="22"/>
        </w:rPr>
      </w:pPr>
      <w:r>
        <w:rPr>
          <w:rFonts w:hint="default" w:ascii="Arial" w:hAnsi="Arial" w:cs="Arial"/>
          <w:b/>
          <w:sz w:val="22"/>
          <w:szCs w:val="22"/>
        </w:rPr>
        <w:t xml:space="preserve">Komisija za sprovođenje postupka javne nabavke po pozivu br. </w:t>
      </w:r>
      <w:r>
        <w:rPr>
          <w:rFonts w:hint="default" w:ascii="Arial" w:hAnsi="Arial" w:cs="Arial"/>
          <w:b/>
          <w:sz w:val="22"/>
          <w:szCs w:val="22"/>
          <w:lang w:val="sr-Latn-RS"/>
        </w:rPr>
        <w:t>101635</w:t>
      </w:r>
      <w:r>
        <w:rPr>
          <w:rFonts w:hint="default" w:ascii="Arial" w:hAnsi="Arial" w:cs="Arial"/>
          <w:b/>
          <w:sz w:val="22"/>
          <w:szCs w:val="22"/>
        </w:rPr>
        <w:t xml:space="preserve"> od </w:t>
      </w:r>
      <w:r>
        <w:rPr>
          <w:rFonts w:hint="default" w:ascii="Arial" w:hAnsi="Arial" w:cs="Arial"/>
          <w:b/>
          <w:sz w:val="22"/>
          <w:szCs w:val="22"/>
          <w:lang w:val="sr-Latn-RS"/>
        </w:rPr>
        <w:t>27.11.2025</w:t>
      </w:r>
      <w:r>
        <w:rPr>
          <w:rFonts w:hint="default" w:ascii="Arial" w:hAnsi="Arial" w:cs="Arial"/>
          <w:b/>
          <w:sz w:val="22"/>
          <w:szCs w:val="22"/>
          <w:lang w:val="it-IT"/>
        </w:rPr>
        <w:t>. godine</w:t>
      </w:r>
    </w:p>
    <w:p>
      <w:pPr>
        <w:spacing w:after="0" w:line="240" w:lineRule="auto"/>
        <w:jc w:val="both"/>
        <w:rPr>
          <w:rFonts w:hint="default" w:ascii="Arial" w:hAnsi="Arial" w:cs="Arial"/>
          <w:sz w:val="22"/>
          <w:szCs w:val="22"/>
        </w:rPr>
      </w:pPr>
    </w:p>
    <w:p>
      <w:pPr>
        <w:tabs>
          <w:tab w:val="left" w:pos="1276"/>
          <w:tab w:val="left" w:pos="3261"/>
        </w:tabs>
        <w:spacing w:after="0" w:line="240" w:lineRule="auto"/>
        <w:jc w:val="both"/>
        <w:rPr>
          <w:rFonts w:hint="default" w:ascii="Arial" w:hAnsi="Arial" w:cs="Arial"/>
          <w:sz w:val="22"/>
          <w:szCs w:val="22"/>
          <w:lang w:val="it-IT"/>
        </w:rPr>
      </w:pPr>
    </w:p>
    <w:p>
      <w:pPr>
        <w:tabs>
          <w:tab w:val="left" w:pos="1276"/>
          <w:tab w:val="left" w:pos="3261"/>
        </w:tabs>
        <w:spacing w:after="0" w:line="240" w:lineRule="auto"/>
        <w:jc w:val="both"/>
        <w:rPr>
          <w:rFonts w:hint="default" w:ascii="Arial" w:hAnsi="Arial" w:cs="Arial"/>
          <w:sz w:val="22"/>
          <w:szCs w:val="22"/>
          <w:lang w:val="it-IT"/>
        </w:rPr>
      </w:pPr>
      <w:r>
        <w:rPr>
          <w:rFonts w:hint="default" w:ascii="Arial" w:hAnsi="Arial" w:cs="Arial"/>
          <w:sz w:val="22"/>
          <w:szCs w:val="22"/>
          <w:lang w:val="it-IT"/>
        </w:rPr>
        <w:t xml:space="preserve">Na osnovu člana 95 Zakona o javnim nabavkama, postupajući po zahtjevu zainteresovanog lica za pojašnjenje tenderske dokumentacije za </w:t>
      </w:r>
      <w:r>
        <w:rPr>
          <w:rFonts w:hint="default" w:ascii="Arial" w:hAnsi="Arial" w:cs="Arial"/>
          <w:sz w:val="22"/>
          <w:szCs w:val="22"/>
          <w:shd w:val="clear" w:color="auto" w:fill="FFFFFF"/>
          <w:lang w:val="it-IT"/>
        </w:rPr>
        <w:t xml:space="preserve">nabavku </w:t>
      </w:r>
      <w:r>
        <w:rPr>
          <w:rFonts w:hint="default" w:ascii="Arial" w:hAnsi="Arial" w:cs="Arial"/>
          <w:sz w:val="22"/>
          <w:szCs w:val="22"/>
          <w:shd w:val="clear" w:color="auto" w:fill="FFFFFF"/>
          <w:lang w:val="sr-Latn-RS"/>
        </w:rPr>
        <w:t xml:space="preserve">usluga </w:t>
      </w:r>
      <w:r>
        <w:rPr>
          <w:rFonts w:hint="default" w:ascii="Arial" w:hAnsi="Arial"/>
          <w:sz w:val="22"/>
          <w:szCs w:val="22"/>
          <w:shd w:val="clear" w:color="auto" w:fill="FFFFFF"/>
          <w:lang w:val="sr-Latn-RS"/>
        </w:rPr>
        <w:t xml:space="preserve"> održavanja i unapredjenja funkcionalnosti softvera ESJN (elektronski sistem javnih nabavki)</w:t>
      </w:r>
      <w:r>
        <w:rPr>
          <w:rFonts w:hint="default" w:ascii="Arial" w:hAnsi="Arial" w:cs="Arial"/>
          <w:sz w:val="22"/>
          <w:szCs w:val="22"/>
          <w:lang w:val="it-IT"/>
        </w:rPr>
        <w:t>, Komisija za sprovođenje postupka javne nabavke</w:t>
      </w:r>
      <w:r>
        <w:rPr>
          <w:rFonts w:hint="default" w:ascii="Arial" w:hAnsi="Arial" w:cs="Arial"/>
          <w:sz w:val="22"/>
          <w:szCs w:val="22"/>
          <w:lang w:val="sr-Latn-ME"/>
        </w:rPr>
        <w:t xml:space="preserve"> u nastavku</w:t>
      </w:r>
      <w:r>
        <w:rPr>
          <w:rFonts w:hint="default" w:ascii="Arial" w:hAnsi="Arial" w:cs="Arial"/>
          <w:sz w:val="22"/>
          <w:szCs w:val="22"/>
          <w:lang w:val="it-IT"/>
        </w:rPr>
        <w:t xml:space="preserve"> </w:t>
      </w:r>
      <w:r>
        <w:rPr>
          <w:rFonts w:hint="default" w:ascii="Arial" w:hAnsi="Arial" w:cs="Arial"/>
          <w:sz w:val="22"/>
          <w:szCs w:val="22"/>
          <w:lang w:val="sr-Latn-ME"/>
        </w:rPr>
        <w:t>dostavlja  odgovore</w:t>
      </w:r>
      <w:r>
        <w:rPr>
          <w:rFonts w:hint="default" w:ascii="Arial" w:hAnsi="Arial" w:cs="Arial"/>
          <w:sz w:val="22"/>
          <w:szCs w:val="22"/>
          <w:lang w:val="it-IT"/>
        </w:rPr>
        <w:t xml:space="preserve">: </w:t>
      </w:r>
    </w:p>
    <w:p>
      <w:pPr>
        <w:tabs>
          <w:tab w:val="left" w:pos="6405"/>
        </w:tabs>
        <w:spacing w:after="0"/>
        <w:jc w:val="both"/>
        <w:rPr>
          <w:rFonts w:hint="default" w:ascii="Arial" w:hAnsi="Arial" w:cs="Arial"/>
          <w:sz w:val="22"/>
          <w:szCs w:val="22"/>
          <w:lang w:val="it-IT"/>
        </w:rPr>
      </w:pPr>
    </w:p>
    <w:p>
      <w:pPr>
        <w:tabs>
          <w:tab w:val="left" w:pos="6405"/>
        </w:tabs>
        <w:spacing w:after="0"/>
        <w:jc w:val="both"/>
        <w:rPr>
          <w:rFonts w:hint="default" w:ascii="Arial" w:hAnsi="Arial" w:cs="Arial"/>
          <w:sz w:val="22"/>
          <w:szCs w:val="22"/>
          <w:lang w:val="it-IT"/>
        </w:rPr>
      </w:pPr>
    </w:p>
    <w:p>
      <w:pPr>
        <w:autoSpaceDE w:val="0"/>
        <w:autoSpaceDN w:val="0"/>
        <w:adjustRightInd w:val="0"/>
        <w:spacing w:after="0" w:line="240" w:lineRule="auto"/>
        <w:jc w:val="both"/>
        <w:rPr>
          <w:rFonts w:ascii="Arial" w:hAnsi="Arial" w:eastAsia="Calibri" w:cs="Arial"/>
          <w:b/>
          <w:bCs/>
          <w:color w:val="000000"/>
          <w:sz w:val="22"/>
          <w:szCs w:val="22"/>
          <w:lang w:val="sr-Latn-ME" w:eastAsia="en-US" w:bidi="ar-SA"/>
        </w:rPr>
      </w:pPr>
      <w:r>
        <w:rPr>
          <w:rFonts w:hint="default" w:ascii="Arial" w:hAnsi="Arial" w:eastAsia="Calibri" w:cs="Arial"/>
          <w:b/>
          <w:bCs/>
          <w:color w:val="000000"/>
          <w:sz w:val="22"/>
          <w:szCs w:val="22"/>
          <w:lang w:val="sr-Latn-ME" w:eastAsia="en-US" w:bidi="ar-SA"/>
        </w:rPr>
        <w:t>P</w:t>
      </w:r>
      <w:r>
        <w:rPr>
          <w:rFonts w:ascii="Arial" w:hAnsi="Arial" w:eastAsia="Calibri" w:cs="Arial"/>
          <w:b/>
          <w:bCs/>
          <w:color w:val="000000"/>
          <w:sz w:val="22"/>
          <w:szCs w:val="22"/>
          <w:lang w:val="sr-Latn-ME" w:eastAsia="en-US" w:bidi="ar-SA"/>
        </w:rPr>
        <w:t>itanje 1</w:t>
      </w:r>
    </w:p>
    <w:p>
      <w:pPr>
        <w:autoSpaceDE w:val="0"/>
        <w:autoSpaceDN w:val="0"/>
        <w:adjustRightInd w:val="0"/>
        <w:spacing w:after="0" w:line="240" w:lineRule="auto"/>
        <w:jc w:val="both"/>
        <w:rPr>
          <w:rFonts w:ascii="Arial" w:hAnsi="Arial" w:eastAsia="Calibri" w:cs="Arial"/>
          <w:b/>
          <w:bCs/>
          <w:color w:val="000000"/>
          <w:sz w:val="22"/>
          <w:szCs w:val="22"/>
          <w:lang w:val="sr-Latn-ME" w:eastAsia="en-US" w:bidi="ar-SA"/>
        </w:rPr>
      </w:pP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Tehničkom dokumentacijom, definisan je kriterijum: “</w:t>
      </w:r>
      <w:r>
        <w:rPr>
          <w:rFonts w:ascii="Arial" w:hAnsi="Arial" w:eastAsia="Calibri" w:cs="Arial"/>
          <w:iCs/>
          <w:color w:val="000000"/>
          <w:sz w:val="22"/>
          <w:szCs w:val="22"/>
          <w:lang w:val="sr-Latn-ME" w:eastAsia="en-US" w:bidi="ar-SA"/>
        </w:rPr>
        <w:t xml:space="preserve">Princip vrednovanja S - ponudjen broj sati razvoja (minimum koji je odredio naručilac je 500 sati razvoja sistema) Princip vrednovanja je sljedeći: Ponuda koja ima najveći broj ponuđenih sati razvoja sistema dobija maksimalan broj bodova po ovom pod-parametru, a vrednovanje ostalih ponuđača izvršiće se na osnovu sljedeće formule: Broj bodova (S)= Broj ponuđenih sati razvoja/najveci broj ponuđenih sati razvoja x 10.“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Zakon o javnim nabavkama, član 117 definiše kriterijume za izbor najpovoljnije ponude. Tačka 1 tog člana definiše moguće kriterijume: 1) cijena, 2) odnos cijene i kvaliteta ili 3) trošak životnog ciklusa.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Dalje, član 118 definiše da se odnos cijene i kvaliteta utvrđuje na osnovu parametara koji mogu da obuhvate: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1) kvalitet, uključujući tehničke, estetske i funkcionalne karakteristike, dostupnost rješenja za sve korisnike, socijalne, ekološke i inovativne karakteristike trgovine i uslova trgovanja;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2) organizaciju, kvalifikacije i iskustvo lica kojima će biti povjereno izvršenje predmeta nabavke, kada iskustvo lica može da ima značajan uticaj na nivo uspješnosti izvršenja predmeta nabavke ili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3) uslugu nakon prodaje i tehničku pomoć, uslove isporuke, kao što su vrijeme isporuke, proces isporuke, rok isporuke ili rok izvršenja.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Članom 87 ZJN koji zahtijeva da tehnička specifikacija i traženi parametri budu dovoljno precizno definisani da ponuđači mogu da sačine odgovarajuću ponudu, a naručilac izvrši pravilan izbor najpovoljnije ponude. </w:t>
      </w:r>
    </w:p>
    <w:p>
      <w:pPr>
        <w:autoSpaceDE w:val="0"/>
        <w:autoSpaceDN w:val="0"/>
        <w:adjustRightInd w:val="0"/>
        <w:spacing w:after="0" w:line="240" w:lineRule="auto"/>
        <w:jc w:val="both"/>
        <w:rPr>
          <w:rFonts w:ascii="Arial" w:hAnsi="Arial" w:eastAsia="Calibri" w:cs="Arial"/>
          <w:color w:val="000000"/>
          <w:sz w:val="22"/>
          <w:szCs w:val="22"/>
          <w:lang w:val="sr-Latn-ME" w:eastAsia="en-US" w:bidi="ar-SA"/>
        </w:rPr>
      </w:pPr>
      <w:r>
        <w:rPr>
          <w:rFonts w:ascii="Arial" w:hAnsi="Arial" w:eastAsia="Calibri" w:cs="Arial"/>
          <w:color w:val="000000"/>
          <w:sz w:val="22"/>
          <w:szCs w:val="22"/>
          <w:lang w:val="sr-Latn-ME" w:eastAsia="en-US" w:bidi="ar-SA"/>
        </w:rPr>
        <w:t xml:space="preserve">Na ovaj način nemoguće je objektivno odrediti obim razvoja koji se ovim kriterijumom traži. Dva različita stručnjaka za isto vrijeme mogu da urade različit obim aktivnosti. Koje je objektivno mjerilo učinka po random satu? </w:t>
      </w:r>
    </w:p>
    <w:p>
      <w:pPr>
        <w:spacing w:after="160" w:line="259" w:lineRule="auto"/>
        <w:jc w:val="both"/>
        <w:rPr>
          <w:rFonts w:ascii="Arial" w:hAnsi="Arial" w:eastAsia="Calibri" w:cs="Arial"/>
          <w:lang w:val="sr-Latn-ME"/>
        </w:rPr>
      </w:pPr>
      <w:r>
        <w:rPr>
          <w:rFonts w:ascii="Arial" w:hAnsi="Arial" w:eastAsia="Calibri" w:cs="Arial"/>
          <w:lang w:val="sr-Latn-ME"/>
        </w:rPr>
        <w:t xml:space="preserve">Stoga, molimo za pojašnjenje ovog kriterijuma u cilju sagledavanja obima mogućih nadogradnji u predmetnom postupku. Da li naručilac posjeduje spisak mogućih aktivnosti na nadogranji predmetnog portala. </w:t>
      </w:r>
    </w:p>
    <w:p>
      <w:pPr>
        <w:spacing w:after="160" w:line="259" w:lineRule="auto"/>
        <w:jc w:val="both"/>
        <w:rPr>
          <w:rFonts w:ascii="Arial" w:hAnsi="Arial" w:eastAsia="Calibri" w:cs="Arial"/>
          <w:b/>
          <w:lang w:val="sr-Latn-ME"/>
        </w:rPr>
      </w:pPr>
    </w:p>
    <w:p>
      <w:pPr>
        <w:spacing w:after="160" w:line="259" w:lineRule="auto"/>
        <w:jc w:val="both"/>
        <w:rPr>
          <w:rFonts w:ascii="Calibri" w:hAnsi="Calibri" w:eastAsia="Calibri" w:cs="Times New Roman"/>
          <w:b/>
          <w:sz w:val="23"/>
          <w:szCs w:val="23"/>
          <w:lang w:val="sr-Latn-ME"/>
        </w:rPr>
      </w:pPr>
      <w:r>
        <w:rPr>
          <w:rFonts w:ascii="Arial" w:hAnsi="Arial" w:eastAsia="Calibri" w:cs="Arial"/>
          <w:b/>
          <w:lang w:val="sr-Latn-ME"/>
        </w:rPr>
        <w:t>Odgovor 1</w:t>
      </w:r>
    </w:p>
    <w:p>
      <w:pPr>
        <w:spacing w:after="160" w:line="259" w:lineRule="auto"/>
        <w:jc w:val="both"/>
        <w:rPr>
          <w:rFonts w:ascii="Arial" w:hAnsi="Arial" w:eastAsia="Calibri" w:cs="Arial"/>
          <w:lang w:val="sr-Latn-ME"/>
        </w:rPr>
      </w:pPr>
      <w:r>
        <w:rPr>
          <w:rFonts w:ascii="Arial" w:hAnsi="Arial" w:eastAsia="Calibri" w:cs="Arial"/>
          <w:lang w:val="sr-Latn-ME"/>
        </w:rPr>
        <w:t>U tenderskoj dokumentacij, u dijelu opisa predmeta nabavke definisan je način uvodjenja novih funkcionalnosti kao i unapredjenja postojećih.</w:t>
      </w:r>
    </w:p>
    <w:p>
      <w:pPr>
        <w:spacing w:after="160" w:line="259" w:lineRule="auto"/>
        <w:jc w:val="both"/>
        <w:rPr>
          <w:rFonts w:ascii="Arial" w:hAnsi="Arial" w:eastAsia="Calibri" w:cs="Arial"/>
          <w:lang w:val="sr-Latn-ME"/>
        </w:rPr>
      </w:pPr>
      <w:r>
        <w:rPr>
          <w:rFonts w:ascii="Arial" w:hAnsi="Arial" w:eastAsia="Calibri" w:cs="Arial"/>
          <w:lang w:val="sr-Latn-ME"/>
        </w:rPr>
        <w:t xml:space="preserve">Dalji (dodatni) razvoj softverskog rješenja, za potrebe ove nabavke, predstavlja izmjenu postojećih funkcionalnosti softverskog rješenja ili dodavanje novih funkcionalnosti postojećim funkcionalnostima. </w:t>
      </w:r>
    </w:p>
    <w:p>
      <w:pPr>
        <w:spacing w:after="160" w:line="259" w:lineRule="auto"/>
        <w:jc w:val="both"/>
        <w:rPr>
          <w:rFonts w:ascii="Arial" w:hAnsi="Arial" w:eastAsia="Calibri" w:cs="Arial"/>
          <w:lang w:val="sr-Latn-ME"/>
        </w:rPr>
      </w:pPr>
      <w:r>
        <w:rPr>
          <w:rFonts w:ascii="Arial" w:hAnsi="Arial" w:eastAsia="Calibri" w:cs="Arial"/>
          <w:lang w:val="sr-Latn-ME"/>
        </w:rPr>
        <w:t xml:space="preserve">Nova funkcionalnost je svaka ona funkcionalnost koja ne postoji u softverskom rješenju, ali je slične namjene postojećim funkcionalnostima, ili na drugi način doprinosi poslovanju naručioca posla. </w:t>
      </w:r>
    </w:p>
    <w:p>
      <w:pPr>
        <w:spacing w:after="160" w:line="259" w:lineRule="auto"/>
        <w:jc w:val="both"/>
        <w:rPr>
          <w:rFonts w:ascii="Arial" w:hAnsi="Arial" w:eastAsia="Calibri" w:cs="Arial"/>
          <w:lang w:val="sr-Latn-ME"/>
        </w:rPr>
      </w:pPr>
      <w:r>
        <w:rPr>
          <w:rFonts w:ascii="Arial" w:hAnsi="Arial" w:eastAsia="Calibri" w:cs="Arial"/>
          <w:lang w:val="sr-Latn-ME"/>
        </w:rPr>
        <w:t xml:space="preserve">Razvoj nove funkcionalnosti podrazumijeva analizu, dizajn, implementaciju i testiranje nove funkcionalnosti kao i instalaciju nove funkcionalnosti u sistem naručioca posla. </w:t>
      </w:r>
    </w:p>
    <w:p>
      <w:pPr>
        <w:spacing w:after="160" w:line="259" w:lineRule="auto"/>
        <w:jc w:val="both"/>
        <w:rPr>
          <w:rFonts w:ascii="Arial" w:hAnsi="Arial" w:eastAsia="Calibri" w:cs="Arial"/>
          <w:lang w:val="sr-Latn-ME"/>
        </w:rPr>
      </w:pPr>
      <w:r>
        <w:rPr>
          <w:rFonts w:ascii="Arial" w:hAnsi="Arial" w:eastAsia="Calibri" w:cs="Arial"/>
          <w:lang w:val="sr-Latn-ME"/>
        </w:rPr>
        <w:t xml:space="preserve">Razvoj nove funkcionalnosti može inicirati naručilac, ili ga može predložiti izvršilac, pošto sagleda i analizira procese rada kod naručioca, kapacitete naručioca, kao i realne potrebe naručioca za automatizacijom, pojednostavljenjem, ili ubrzavanjem procesa rada ili poslovanja naručioca. </w:t>
      </w:r>
    </w:p>
    <w:p>
      <w:pPr>
        <w:spacing w:after="160" w:line="259" w:lineRule="auto"/>
        <w:jc w:val="both"/>
        <w:rPr>
          <w:rFonts w:ascii="Arial" w:hAnsi="Arial" w:eastAsia="Calibri" w:cs="Arial"/>
          <w:lang w:val="sr-Latn-ME"/>
        </w:rPr>
      </w:pPr>
      <w:r>
        <w:rPr>
          <w:rFonts w:ascii="Arial" w:hAnsi="Arial" w:eastAsia="Calibri" w:cs="Arial"/>
          <w:lang w:val="sr-Latn-ME"/>
        </w:rPr>
        <w:t xml:space="preserve">Ukoliko naručilac inicira razvoj nove funkcionalnosti, naručilac će zahtjev sa specifikacijom uputiti izvršiocu, koji će u primjerenom roku, a ne dužem od 3 radna dana odgovoriti na zahtjev naručioca prihvatanjem, odbijanjem, ili protivponudom, uzimajući u obzir raspoložive kapacitete izvršioca. </w:t>
      </w:r>
    </w:p>
    <w:p>
      <w:pPr>
        <w:spacing w:after="160" w:line="259" w:lineRule="auto"/>
        <w:jc w:val="both"/>
        <w:rPr>
          <w:rFonts w:ascii="Arial" w:hAnsi="Arial" w:eastAsia="Calibri" w:cs="Arial"/>
          <w:lang w:val="sr-Latn-ME"/>
        </w:rPr>
      </w:pPr>
      <w:r>
        <w:rPr>
          <w:rFonts w:ascii="Arial" w:hAnsi="Arial" w:eastAsia="Calibri" w:cs="Arial"/>
          <w:lang w:val="sr-Latn-ME"/>
        </w:rPr>
        <w:t xml:space="preserve">Ukoliko izvršilac inicira razvoj nove funkcionalnosti, uputiće naručiocu predlog sa specifikacijom, o kome naručilac treba da se izjasni u primerenom roku, a ne dužem od 5 radnih dana. </w:t>
      </w:r>
    </w:p>
    <w:p>
      <w:pPr>
        <w:spacing w:after="160" w:line="259" w:lineRule="auto"/>
        <w:jc w:val="both"/>
        <w:rPr>
          <w:rFonts w:ascii="Arial" w:hAnsi="Arial" w:eastAsia="Calibri" w:cs="Arial"/>
          <w:lang w:val="sr-Latn-ME"/>
        </w:rPr>
      </w:pPr>
      <w:r>
        <w:rPr>
          <w:rFonts w:ascii="Arial" w:hAnsi="Arial" w:eastAsia="Calibri" w:cs="Arial"/>
          <w:lang w:val="sr-Latn-ME"/>
        </w:rPr>
        <w:t>Kao dio usluge razvoja - izmjenu postojećih funkcionalnosti softverskog rješenja ili dodavanje novih funkcionalnosti postojećim funkcionalnostima u toku perioda održavanja, potrebno je da izvršilac opredjeljuje minimum 500 programerskih čovjek-sati godišnje. Procjenu o broju programerskih čovjek-sati potrebnom da se realizuje zahtjev za razvojem nove funkcionalnosti izvršilac će dati uz prihvatajući odgovor na inicijativu naručioca ili uz svoju protivponudu, ili uz svoj prijedlog.</w:t>
      </w:r>
    </w:p>
    <w:p>
      <w:pPr>
        <w:shd w:val="clear" w:color="auto" w:fill="FFFFFF"/>
        <w:spacing w:after="0" w:line="240" w:lineRule="auto"/>
        <w:jc w:val="both"/>
        <w:rPr>
          <w:rFonts w:ascii="Arial" w:hAnsi="Arial" w:eastAsia="Calibri" w:cs="Arial"/>
          <w:lang w:val="sr-Latn-ME"/>
        </w:rPr>
      </w:pPr>
      <w:r>
        <w:rPr>
          <w:rFonts w:ascii="Arial" w:hAnsi="Arial" w:eastAsia="Calibri" w:cs="Arial"/>
          <w:lang w:val="sr-Latn-ME"/>
        </w:rPr>
        <w:t xml:space="preserve">Aktivnosti koje će naručilac preduzimati u narednom periodu u dijelu unaredjenja CEJN-a biće uslovljene izmjenama zakonske i podzakonske regulative koje su predviđene da se usvoje u prvom kvartalu 2026. godine kao i obavezama koje proističu iz što bolje uskađenosti sistema javnih nabavki sa najboljim evropskim praksama. </w:t>
      </w:r>
    </w:p>
    <w:p>
      <w:pPr>
        <w:shd w:val="clear" w:color="auto" w:fill="FFFFFF"/>
        <w:spacing w:after="0" w:line="240" w:lineRule="auto"/>
        <w:ind w:left="720"/>
        <w:contextualSpacing/>
        <w:jc w:val="both"/>
        <w:rPr>
          <w:rFonts w:ascii="Arial" w:hAnsi="Arial" w:eastAsia="Calibri" w:cs="Arial"/>
          <w:sz w:val="22"/>
          <w:szCs w:val="22"/>
          <w:lang w:val="sr-Latn-ME" w:eastAsia="en-US" w:bidi="ar-SA"/>
        </w:rPr>
      </w:pPr>
    </w:p>
    <w:p>
      <w:pPr>
        <w:shd w:val="clear" w:color="auto" w:fill="FFFFFF"/>
        <w:spacing w:after="0" w:line="240" w:lineRule="auto"/>
        <w:ind w:left="720"/>
        <w:contextualSpacing/>
        <w:jc w:val="both"/>
        <w:rPr>
          <w:rFonts w:ascii="Arial" w:hAnsi="Arial" w:eastAsia="Calibri" w:cs="Arial"/>
          <w:sz w:val="22"/>
          <w:szCs w:val="22"/>
          <w:lang w:val="sr-Latn-ME" w:eastAsia="en-US" w:bidi="ar-SA"/>
        </w:rPr>
      </w:pPr>
    </w:p>
    <w:p>
      <w:pPr>
        <w:shd w:val="clear" w:color="auto" w:fill="FFFFFF"/>
        <w:spacing w:after="0" w:line="240" w:lineRule="auto"/>
        <w:ind w:left="720"/>
        <w:contextualSpacing/>
        <w:jc w:val="both"/>
        <w:rPr>
          <w:rFonts w:ascii="Arial" w:hAnsi="Arial" w:eastAsia="Calibri" w:cs="Arial"/>
          <w:sz w:val="22"/>
          <w:szCs w:val="22"/>
          <w:lang w:val="sr-Latn-ME" w:eastAsia="en-US" w:bidi="ar-SA"/>
        </w:rPr>
      </w:pPr>
    </w:p>
    <w:p>
      <w:pPr>
        <w:shd w:val="clear" w:color="auto" w:fill="FFFFFF"/>
        <w:spacing w:after="0" w:line="240" w:lineRule="auto"/>
        <w:ind w:left="720"/>
        <w:contextualSpacing/>
        <w:jc w:val="both"/>
        <w:rPr>
          <w:rFonts w:ascii="Arial" w:hAnsi="Arial" w:eastAsia="Calibri" w:cs="Arial"/>
          <w:sz w:val="22"/>
          <w:szCs w:val="22"/>
          <w:lang w:val="sr-Latn-ME" w:eastAsia="en-US" w:bidi="ar-SA"/>
        </w:rPr>
      </w:pPr>
    </w:p>
    <w:p>
      <w:pPr>
        <w:shd w:val="clear" w:color="auto" w:fill="FFFFFF"/>
        <w:spacing w:after="0" w:line="240" w:lineRule="auto"/>
        <w:jc w:val="both"/>
        <w:rPr>
          <w:rFonts w:ascii="Arial" w:hAnsi="Arial" w:eastAsia="Calibri" w:cs="Arial"/>
          <w:b/>
          <w:lang w:val="sr-Latn-ME"/>
        </w:rPr>
      </w:pPr>
      <w:r>
        <w:rPr>
          <w:rFonts w:ascii="Arial" w:hAnsi="Arial" w:eastAsia="Calibri" w:cs="Arial"/>
          <w:b/>
          <w:lang w:val="sr-Latn-ME"/>
        </w:rPr>
        <w:t xml:space="preserve">Pitanje 2. </w:t>
      </w:r>
    </w:p>
    <w:p>
      <w:pPr>
        <w:shd w:val="clear" w:color="auto" w:fill="FFFFFF"/>
        <w:spacing w:after="0" w:line="240" w:lineRule="auto"/>
        <w:jc w:val="both"/>
        <w:rPr>
          <w:rFonts w:ascii="Calibri" w:hAnsi="Calibri" w:eastAsia="Calibri" w:cs="Times New Roman"/>
          <w:lang w:val="sr-Latn-ME"/>
        </w:rPr>
      </w:pPr>
    </w:p>
    <w:p>
      <w:pPr>
        <w:shd w:val="clear" w:color="auto" w:fill="FFFFFF"/>
        <w:spacing w:after="0" w:line="240" w:lineRule="auto"/>
        <w:jc w:val="both"/>
        <w:rPr>
          <w:rFonts w:ascii="Arial" w:hAnsi="Arial" w:eastAsia="Calibri" w:cs="Arial"/>
          <w:lang w:val="sr-Latn-ME"/>
        </w:rPr>
      </w:pPr>
      <w:r>
        <w:rPr>
          <w:rFonts w:ascii="Arial" w:hAnsi="Arial" w:eastAsia="Calibri" w:cs="Arial"/>
          <w:lang w:val="sr-Latn-ME"/>
        </w:rPr>
        <w:t>Tehničkom dokumentacijom u dijelu stručno tehničke sposobnosti navedeno je: „Privredni subjekat je dužan da posjeduje minimum stručnih i kadrovskih kapaciteta koji su potrebni za izvršenje ugovora što se dokazuje dokazom o angažovanju radne snage (kopija radne knjižice, prijava za osiguranje ili ugovor o radu) sa odgovarajućim referencama koje su potrebne za izvršenje predmeta nabavke u skladu sa zakonom i to minimum po jednu referencu u obavljanju istih ili sličnih usluga. Pod istim poslovima podrazumijeva se: - oržavanje nacionalnog, centralizovanog informacionog sistema za elektronske javne nabavke koji pokriva cijeli process javne nabavke od objave plana do praćenja ugovora o javnoj nabavci, zasnovan na .Net i Angular tehnologiji, koji posjeduje relacionu bazu podataka MS SQL i - razvoj nacionalnog, centralizovanog informacionog sistema za elektronske javne nabavke koji pokriva cijeli process javne nabavke od objave plana do praćenja ugovora o javnoj nabavci, zasnovan na .Net i Angular tehnologiji, koji posjeduje relacionu bazu podataka MS SQL Pop sličnim poslovima podrazumijeva se : - oržavanje informacionog sistema na nacionalnom nivou zasnovan na .Net i Angular tehnologiji, koji posjeduje relacionu bazu podataka MS SQL, vrijednosti izrade softvera ne manje od 1.000.000,00 eura i - razvoj informacionog sistema na nacionalnom nivou zasnovan na .Net i Angular tehnologiji, koji posjeduje relacionu bazu podataka MS SQL, vrijednosti izrade softvera ne manje od 1.000.000,00 eura. Privredni subjekat je dužan da posjeduje minimum stručnih i kadrovskih kapaciteta koji su potrebni za izvršenje ugovora i to: -Jedno lice vođa tima – poslovni analitičar i projektant informacionog sistema, lice sa najmanjom kvalifikacijom VII1, elektrotehnički fakultet - računarstvo i informacione tehnologije ili ekvivalent -Minimum dva softver programmer -Minimum jedno lice IT projektant -Minimum jedno lice Sistem administrator za dizajn hardverske infrastructure, instalaciju, podešavanje i puštanje u rad hardverske infrastrukture – lice sa sertifikatom - Microsoft Certified: DevOps Engineer Expert.“ Možete li nam pojasniti zbog čega je potreban ovaj sertifikat (Microsoft Certified: DevOps Engineer Expert - AZ-400) za poziciju sistem administrator za dizajn hardverske infrastrukture, instalaciju, podešavanje i puštanje u rad hardverske infrastrukture? Ovaj sertifikat se više vezuje za razvojni DevOps tim, nego za sistem administratora. Dodatno, pregledom tehničke specifikacije u dijelu hardverskih komponenti uvidjeli smo da ovaj sertifikat ne odgovara izvedenom stanju, već odgovara Azure Cloud infrastrukturi i softversku automatizaciju (Budući da traženi sertifikat pokriva drugu tehnološku platformu (Azure Cloud) od platforme navedene u tehničkoj specifikaciji (On-Premise). S tim u vezi, molim vas za pojašnjenje u kakvoj se vezi ovaj sertifikat sa opisom posla stručnjaka koji bi trebalo da ga posjeduje. Dodatno, možete li nam navesti ekvivalente ovog sertifikata?</w:t>
      </w:r>
    </w:p>
    <w:p>
      <w:pPr>
        <w:shd w:val="clear" w:color="auto" w:fill="FFFFFF"/>
        <w:spacing w:after="0" w:line="240" w:lineRule="auto"/>
        <w:jc w:val="both"/>
        <w:rPr>
          <w:rFonts w:ascii="Arial" w:hAnsi="Arial" w:eastAsia="Calibri" w:cs="Arial"/>
          <w:lang w:val="sr-Latn-ME"/>
        </w:rPr>
      </w:pPr>
    </w:p>
    <w:p>
      <w:pPr>
        <w:spacing w:after="160" w:line="259" w:lineRule="auto"/>
        <w:jc w:val="both"/>
        <w:rPr>
          <w:rFonts w:ascii="Arial" w:hAnsi="Arial" w:eastAsia="Calibri" w:cs="Arial"/>
          <w:b/>
          <w:lang w:val="sr-Latn-ME"/>
        </w:rPr>
      </w:pPr>
      <w:r>
        <w:rPr>
          <w:rFonts w:ascii="Arial" w:hAnsi="Arial" w:eastAsia="Calibri" w:cs="Arial"/>
          <w:b/>
          <w:lang w:val="sr-Latn-ME"/>
        </w:rPr>
        <w:t>Odgovor 2</w:t>
      </w:r>
    </w:p>
    <w:p>
      <w:pPr>
        <w:spacing w:after="160" w:line="259" w:lineRule="auto"/>
        <w:jc w:val="both"/>
        <w:rPr>
          <w:rFonts w:ascii="Arial" w:hAnsi="Arial" w:eastAsia="Calibri" w:cs="Arial"/>
          <w:lang w:val="sr-Latn-ME"/>
        </w:rPr>
      </w:pPr>
      <w:r>
        <w:rPr>
          <w:rFonts w:ascii="Arial" w:hAnsi="Arial" w:eastAsia="Calibri" w:cs="Arial"/>
          <w:lang w:val="sr-Latn-ME"/>
        </w:rPr>
        <w:t xml:space="preserve">Prije svega napominjemo da je navedeni sertifikat i dalje važeći i relevantan u okviru Microsoft okruženja. Iako se Microsoft programi sertifikacije vremenom ažuriraju i pojedini ispiti evoluiraju, nivo DevOps Engineer Expert i dalje predstavlja najviši stepen stručnosti za projektovanje, implementaciju i održavanje relevantnih procesa u Microsoft okruženju. </w:t>
      </w:r>
    </w:p>
    <w:p>
      <w:pPr>
        <w:spacing w:after="160" w:line="259" w:lineRule="auto"/>
        <w:jc w:val="both"/>
        <w:rPr>
          <w:rFonts w:ascii="Arial" w:hAnsi="Arial" w:eastAsia="Calibri" w:cs="Arial"/>
          <w:lang w:val="sr-Latn-ME"/>
        </w:rPr>
      </w:pPr>
      <w:r>
        <w:rPr>
          <w:rFonts w:ascii="Arial" w:hAnsi="Arial" w:eastAsia="Calibri" w:cs="Arial"/>
          <w:lang w:val="sr-Latn-ME"/>
        </w:rPr>
        <w:t>U našem slučaju koristimo on-prem Microsoft okruženje koje uključuje IIS, Active Directory i Microsoft SQL Server, sa lokalnim deploymentima i repository/version control sistemima i provate repozitorijumima za kod. Iako je Microsoft Certified: DevOps Engineer Expert (AZ-400) primarno usmjeren ka Azure i hibridnim scenarijima, znanja i metodologije koje se uče kroz ovaj sertifikat su direktno primjenjive i u on-prem okruženju, posebno u Microsoft ekosistemu.</w:t>
      </w:r>
    </w:p>
    <w:p>
      <w:pPr>
        <w:spacing w:after="160" w:line="259" w:lineRule="auto"/>
        <w:jc w:val="both"/>
        <w:rPr>
          <w:rFonts w:ascii="Arial" w:hAnsi="Arial" w:eastAsia="Calibri" w:cs="Arial"/>
          <w:lang w:val="sr-Latn-ME"/>
        </w:rPr>
      </w:pPr>
      <w:r>
        <w:rPr>
          <w:rFonts w:ascii="Arial" w:hAnsi="Arial" w:eastAsia="Calibri" w:cs="Arial"/>
          <w:lang w:val="sr-Latn-ME"/>
        </w:rPr>
        <w:t xml:space="preserve">Važno je naglasiti da DevOps sertifikat ne predstavlja samo znanje o određenoj cloud platformi, već prije svega razumijevanje DevOps procesa, radnih tokova (workflows) I načina organizacije isporuke softvera. Ovi koncepti su platformski nezavisni I podjednako važni bez obzira da li se aplikacije deploy-uju u cloud ili lokalno. </w:t>
      </w:r>
    </w:p>
    <w:p>
      <w:pPr>
        <w:spacing w:after="160" w:line="259" w:lineRule="auto"/>
        <w:jc w:val="both"/>
        <w:rPr>
          <w:rFonts w:ascii="Arial" w:hAnsi="Arial" w:eastAsia="Calibri" w:cs="Arial"/>
          <w:lang w:val="sr-Latn-ME"/>
        </w:rPr>
      </w:pPr>
      <w:r>
        <w:rPr>
          <w:rFonts w:ascii="Arial" w:hAnsi="Arial" w:eastAsia="Calibri" w:cs="Arial"/>
          <w:lang w:val="sr-Latn-ME"/>
        </w:rPr>
        <w:t>Kroz ovaj sertifikat se obrađuju oblasti kao što su:</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 xml:space="preserve">Dizajn i automatizacija CI/CD pipeline-ova </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 xml:space="preserve">Upravljanje izvornih kodom I verzijama </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 xml:space="preserve">Automatizovani deploymenti na IIS I </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Windows Server Infrastructure as Code koncepti (čak I kada se infrastruktura nalazi on-prem)</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 xml:space="preserve">Sigurnost, kontrola pristupa I compliance u procesu isporuke </w:t>
      </w:r>
    </w:p>
    <w:p>
      <w:pPr>
        <w:numPr>
          <w:ilvl w:val="0"/>
          <w:numId w:val="1"/>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Monitoring, feedback I kontinuirano unapređenje sistema.</w:t>
      </w:r>
    </w:p>
    <w:p>
      <w:pPr>
        <w:spacing w:after="160" w:line="259" w:lineRule="auto"/>
        <w:jc w:val="both"/>
        <w:rPr>
          <w:rFonts w:ascii="Arial" w:hAnsi="Arial" w:eastAsia="Calibri" w:cs="Arial"/>
          <w:lang w:val="sr-Latn-ME"/>
        </w:rPr>
      </w:pPr>
      <w:r>
        <w:rPr>
          <w:rFonts w:ascii="Arial" w:hAnsi="Arial" w:eastAsia="Calibri" w:cs="Arial"/>
          <w:lang w:val="sr-Latn-ME"/>
        </w:rPr>
        <w:t>Sve navedeno je direktno primjenjivo u on-prem Microsoft okruženju, posebno kada se koriste alati poput Azure DevOps Server-a (on-prem varijanta), PowerShell skripti i self-hosted agenata za build i release.</w:t>
      </w:r>
    </w:p>
    <w:p>
      <w:pPr>
        <w:spacing w:after="160" w:line="259" w:lineRule="auto"/>
        <w:jc w:val="both"/>
        <w:rPr>
          <w:rFonts w:ascii="Arial" w:hAnsi="Arial" w:eastAsia="Calibri" w:cs="Arial"/>
          <w:lang w:val="sr-Latn-ME"/>
        </w:rPr>
      </w:pPr>
      <w:r>
        <w:rPr>
          <w:rFonts w:ascii="Arial" w:hAnsi="Arial" w:eastAsia="Calibri" w:cs="Arial"/>
          <w:lang w:val="sr-Latn-ME"/>
        </w:rPr>
        <w:t>Kada je u pitanju pitanje “ekvivalentnog” sertifikata, važno je razumjeti da:</w:t>
      </w:r>
    </w:p>
    <w:p>
      <w:pPr>
        <w:spacing w:after="160" w:line="259" w:lineRule="auto"/>
        <w:jc w:val="both"/>
        <w:rPr>
          <w:rFonts w:ascii="Arial" w:hAnsi="Arial" w:eastAsia="Calibri" w:cs="Arial"/>
          <w:lang w:val="sr-Latn-ME"/>
        </w:rPr>
      </w:pPr>
      <w:r>
        <w:rPr>
          <w:rFonts w:ascii="Arial" w:hAnsi="Arial" w:eastAsia="Calibri" w:cs="Arial"/>
          <w:lang w:val="sr-Latn-ME"/>
        </w:rPr>
        <w:t xml:space="preserve">Klasične Microsoft infrastrukturalne sertifikacije (Windows Server, Active Directory, SQL Server) pokrivaju konfiguraciju i administraciju tehnologija, ali ne pokrivaju DevOps radne tokove DevOps sertifikati bez Microsoft fokusa ne pokrivaju specifičnosti Windows/IIS/AD/SQL ekosistema. Zbog toga je najbliži stvarni ekvivalent upravo kombinacija DevOps znanja I Microsoft infrastrukture, a ne jedna zamjenska sertifikacija. </w:t>
      </w:r>
    </w:p>
    <w:p>
      <w:pPr>
        <w:spacing w:after="160" w:line="259" w:lineRule="auto"/>
        <w:jc w:val="both"/>
        <w:rPr>
          <w:rFonts w:ascii="Arial" w:hAnsi="Arial" w:eastAsia="Calibri" w:cs="Arial"/>
          <w:lang w:val="sr-Latn-ME"/>
        </w:rPr>
      </w:pPr>
      <w:r>
        <w:rPr>
          <w:rFonts w:ascii="Arial" w:hAnsi="Arial" w:eastAsia="Calibri" w:cs="Arial"/>
          <w:lang w:val="sr-Latn-ME"/>
        </w:rPr>
        <w:t>AZ-400 povezuje:</w:t>
      </w:r>
    </w:p>
    <w:p>
      <w:pPr>
        <w:numPr>
          <w:ilvl w:val="0"/>
          <w:numId w:val="2"/>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Razvojne timove</w:t>
      </w:r>
    </w:p>
    <w:p>
      <w:pPr>
        <w:numPr>
          <w:ilvl w:val="0"/>
          <w:numId w:val="2"/>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Operacije</w:t>
      </w:r>
    </w:p>
    <w:p>
      <w:pPr>
        <w:numPr>
          <w:ilvl w:val="0"/>
          <w:numId w:val="2"/>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Sigurnost</w:t>
      </w:r>
    </w:p>
    <w:p>
      <w:pPr>
        <w:numPr>
          <w:ilvl w:val="0"/>
          <w:numId w:val="2"/>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Automatizaciju</w:t>
      </w:r>
    </w:p>
    <w:p>
      <w:pPr>
        <w:spacing w:after="160" w:line="259" w:lineRule="auto"/>
        <w:jc w:val="both"/>
        <w:rPr>
          <w:rFonts w:ascii="Arial" w:hAnsi="Arial" w:eastAsia="Calibri" w:cs="Arial"/>
          <w:lang w:val="sr-Latn-ME"/>
        </w:rPr>
      </w:pPr>
      <w:r>
        <w:rPr>
          <w:rFonts w:ascii="Arial" w:hAnsi="Arial" w:eastAsia="Calibri" w:cs="Arial"/>
          <w:lang w:val="sr-Latn-ME"/>
        </w:rPr>
        <w:t>u jedinstven, ponovljiv I kontrolisan proces isporuke softvera.</w:t>
      </w:r>
    </w:p>
    <w:p>
      <w:pPr>
        <w:spacing w:after="160" w:line="259" w:lineRule="auto"/>
        <w:jc w:val="both"/>
        <w:rPr>
          <w:rFonts w:ascii="Arial" w:hAnsi="Arial" w:eastAsia="Calibri" w:cs="Arial"/>
          <w:lang w:val="sr-Latn-ME"/>
        </w:rPr>
      </w:pPr>
      <w:r>
        <w:rPr>
          <w:rFonts w:ascii="Arial" w:hAnsi="Arial" w:eastAsia="Calibri" w:cs="Arial"/>
          <w:lang w:val="sr-Latn-ME"/>
        </w:rPr>
        <w:t>Posebno je važno istaći da poznavanje samo tehnologija (IIS, AD, SQL Server) više nije dovoljno. Moderni IT sistemi zahtijevaju:</w:t>
      </w:r>
    </w:p>
    <w:p>
      <w:pPr>
        <w:numPr>
          <w:ilvl w:val="0"/>
          <w:numId w:val="3"/>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Standardizovane procese</w:t>
      </w:r>
    </w:p>
    <w:p>
      <w:pPr>
        <w:numPr>
          <w:ilvl w:val="0"/>
          <w:numId w:val="3"/>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Automatizaciju</w:t>
      </w:r>
    </w:p>
    <w:p>
      <w:pPr>
        <w:numPr>
          <w:ilvl w:val="0"/>
          <w:numId w:val="3"/>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Jasne tokove rada</w:t>
      </w:r>
    </w:p>
    <w:p>
      <w:pPr>
        <w:numPr>
          <w:ilvl w:val="0"/>
          <w:numId w:val="3"/>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Smanjenje manuelnih grešaka</w:t>
      </w:r>
    </w:p>
    <w:p>
      <w:pPr>
        <w:numPr>
          <w:ilvl w:val="0"/>
          <w:numId w:val="3"/>
        </w:numPr>
        <w:spacing w:after="160" w:line="259" w:lineRule="auto"/>
        <w:ind w:left="720" w:hanging="360"/>
        <w:contextualSpacing/>
        <w:jc w:val="both"/>
        <w:rPr>
          <w:rFonts w:ascii="Arial" w:hAnsi="Arial" w:eastAsia="Calibri" w:cs="Arial"/>
          <w:sz w:val="22"/>
          <w:szCs w:val="22"/>
          <w:lang w:val="sr-Latn-ME" w:eastAsia="en-US" w:bidi="ar-SA"/>
        </w:rPr>
      </w:pPr>
      <w:r>
        <w:rPr>
          <w:rFonts w:ascii="Arial" w:hAnsi="Arial" w:eastAsia="Calibri" w:cs="Arial"/>
          <w:sz w:val="22"/>
          <w:szCs w:val="22"/>
          <w:lang w:val="sr-Latn-ME" w:eastAsia="en-US" w:bidi="ar-SA"/>
        </w:rPr>
        <w:t>Bržu I sigurniju isporuku promjena</w:t>
      </w:r>
    </w:p>
    <w:p>
      <w:pPr>
        <w:spacing w:after="160" w:line="259" w:lineRule="auto"/>
        <w:jc w:val="both"/>
        <w:rPr>
          <w:rFonts w:ascii="Arial" w:hAnsi="Arial" w:eastAsia="Calibri" w:cs="Arial"/>
          <w:lang w:val="sr-Latn-ME"/>
        </w:rPr>
      </w:pPr>
      <w:r>
        <w:rPr>
          <w:rFonts w:ascii="Arial" w:hAnsi="Arial" w:eastAsia="Calibri" w:cs="Arial"/>
          <w:lang w:val="sr-Latn-ME"/>
        </w:rPr>
        <w:t>Upravo su workflows, DevOps prakse i operativna disciplina ono što ovaj sertifikat stavlja u fokus, i zbog čega je on relevantan čak i u potpuno on-prem Microsoft okruženju.</w:t>
      </w:r>
    </w:p>
    <w:p>
      <w:pPr>
        <w:spacing w:after="160" w:line="259" w:lineRule="auto"/>
        <w:jc w:val="both"/>
        <w:rPr>
          <w:rFonts w:ascii="Arial" w:hAnsi="Arial" w:eastAsia="Calibri" w:cs="Arial"/>
          <w:lang w:val="sr-Latn-ME"/>
        </w:rPr>
      </w:pPr>
      <w:r>
        <w:rPr>
          <w:rFonts w:ascii="Arial" w:hAnsi="Arial" w:eastAsia="Calibri" w:cs="Arial"/>
          <w:lang w:val="sr-Latn-ME"/>
        </w:rPr>
        <w:t xml:space="preserve">Zaključno, Microsoft DevOps Engineer Expert sertifikat nije zamjena za infrastrukturalne sertifikate, već njihova nadogradnja, jer povezuje postojeće Microsoft tehnologije sa savremenim DevOps pristupom rada, što je ključno za stabilnost, skalabilnost i dugoročnu održivost sistema. </w:t>
      </w:r>
    </w:p>
    <w:p>
      <w:pPr>
        <w:spacing w:after="160" w:line="259" w:lineRule="auto"/>
        <w:jc w:val="both"/>
        <w:rPr>
          <w:rFonts w:ascii="Arial" w:hAnsi="Arial" w:eastAsia="Calibri" w:cs="Arial"/>
          <w:lang w:val="sr-Latn-ME"/>
        </w:rPr>
      </w:pPr>
      <w:r>
        <w:rPr>
          <w:rFonts w:ascii="Arial" w:hAnsi="Arial" w:eastAsia="Calibri" w:cs="Arial"/>
          <w:lang w:val="sr-Latn-ME"/>
        </w:rPr>
        <w:t xml:space="preserve">Tehničkom specifikacijom predmeta nabavke je predviđeno pod stavkom 3 migracija postojećeg CEJN sistema na novu hardversku platformu Ministarstva javne uprave, što predstavlja složen i visokorizičan proces koji obuhvata analizu postojećeg stanja, redizajn arhitekture, migraciju podataka i servisa, kao i obezbjeđivanje kontinuiteta rada sistema. </w:t>
      </w:r>
    </w:p>
    <w:p>
      <w:pPr>
        <w:spacing w:after="160" w:line="259" w:lineRule="auto"/>
        <w:jc w:val="both"/>
        <w:rPr>
          <w:rFonts w:ascii="Arial" w:hAnsi="Arial" w:eastAsia="Calibri" w:cs="Arial"/>
          <w:lang w:val="sr-Latn-ME"/>
        </w:rPr>
      </w:pPr>
      <w:r>
        <w:rPr>
          <w:rFonts w:ascii="Arial" w:hAnsi="Arial" w:eastAsia="Calibri" w:cs="Arial"/>
          <w:lang w:val="sr-Latn-ME"/>
        </w:rPr>
        <w:t xml:space="preserve">Imajući u vidu sve navedeno, naručilac smatra da je ovako postavljen uslov objektivno opravdan, proporcionalan predmetu nabavke i direktno povezan sa složenošću, rizicima i značajem aktivnosti koje su predmet ove nabavke. </w:t>
      </w:r>
    </w:p>
    <w:p>
      <w:pPr>
        <w:tabs>
          <w:tab w:val="left" w:pos="6405"/>
        </w:tabs>
        <w:spacing w:after="0"/>
        <w:jc w:val="both"/>
        <w:rPr>
          <w:rFonts w:hint="default" w:ascii="Arial" w:hAnsi="Arial" w:cs="Arial"/>
          <w:sz w:val="22"/>
          <w:szCs w:val="22"/>
          <w:lang w:val="it-IT"/>
        </w:rPr>
      </w:pPr>
    </w:p>
    <w:p>
      <w:pPr>
        <w:tabs>
          <w:tab w:val="left" w:pos="6405"/>
        </w:tabs>
        <w:spacing w:after="0"/>
        <w:jc w:val="both"/>
        <w:rPr>
          <w:rFonts w:hint="default" w:ascii="Arial" w:hAnsi="Arial" w:cs="Arial"/>
          <w:sz w:val="22"/>
          <w:szCs w:val="22"/>
          <w:lang w:val="it-IT"/>
        </w:rPr>
      </w:pPr>
    </w:p>
    <w:p>
      <w:pPr>
        <w:tabs>
          <w:tab w:val="left" w:pos="6405"/>
        </w:tabs>
        <w:spacing w:after="0"/>
        <w:jc w:val="both"/>
        <w:rPr>
          <w:rFonts w:hint="default" w:ascii="Arial" w:hAnsi="Arial" w:cs="Arial"/>
          <w:sz w:val="22"/>
          <w:szCs w:val="22"/>
          <w:lang w:val="it-IT"/>
        </w:rPr>
      </w:pPr>
    </w:p>
    <w:p>
      <w:pPr>
        <w:tabs>
          <w:tab w:val="left" w:pos="6405"/>
        </w:tabs>
        <w:spacing w:after="0"/>
        <w:jc w:val="both"/>
        <w:rPr>
          <w:rFonts w:hint="default" w:ascii="Arial" w:hAnsi="Arial" w:cs="Arial"/>
          <w:sz w:val="22"/>
          <w:szCs w:val="22"/>
          <w:lang w:val="it-IT"/>
        </w:rPr>
      </w:pPr>
      <w:r>
        <w:rPr>
          <w:rFonts w:hint="default" w:ascii="Arial" w:hAnsi="Arial" w:cs="Arial"/>
          <w:sz w:val="22"/>
          <w:szCs w:val="22"/>
          <w:lang w:val="it-IT"/>
        </w:rPr>
        <w:tab/>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sr-Latn-ME" w:eastAsia="zh-TW"/>
        </w:rPr>
      </w:pPr>
      <w:r>
        <w:rPr>
          <w:rFonts w:hint="default" w:ascii="Arial" w:hAnsi="Arial" w:eastAsia="PMingLiU" w:cs="Arial"/>
          <w:color w:val="000000"/>
          <w:sz w:val="22"/>
          <w:szCs w:val="22"/>
          <w:lang w:val="sr-Latn-ME" w:eastAsia="zh-TW"/>
        </w:rPr>
        <w:t xml:space="preserve">Predsjednik komisije </w:t>
      </w:r>
      <w:r>
        <w:rPr>
          <w:rFonts w:hint="default" w:ascii="Arial" w:hAnsi="Arial" w:eastAsia="PMingLiU" w:cs="Arial"/>
          <w:color w:val="000000"/>
          <w:sz w:val="22"/>
          <w:szCs w:val="22"/>
          <w:lang w:val="pl-PL" w:eastAsia="zh-TW"/>
        </w:rPr>
        <w:t xml:space="preserve">  za sprovođenje postupka javne nabavke: </w:t>
      </w:r>
      <w:r>
        <w:rPr>
          <w:rFonts w:hint="default" w:ascii="Arial" w:hAnsi="Arial" w:eastAsia="PMingLiU" w:cs="Arial"/>
          <w:color w:val="000000"/>
          <w:sz w:val="22"/>
          <w:szCs w:val="22"/>
          <w:lang w:val="sr-Latn-ME" w:eastAsia="zh-TW"/>
        </w:rPr>
        <w:t xml:space="preserve">      </w:t>
      </w:r>
      <w:r>
        <w:rPr>
          <w:rFonts w:hint="default" w:ascii="Arial" w:hAnsi="Arial" w:eastAsia="PMingLiU" w:cs="Arial"/>
          <w:color w:val="000000"/>
          <w:sz w:val="22"/>
          <w:szCs w:val="22"/>
          <w:lang w:val="sr-Latn-RS" w:eastAsia="zh-TW"/>
        </w:rPr>
        <w:t>Gorana Mrvaljevi</w:t>
      </w:r>
      <w:r>
        <w:rPr>
          <w:rFonts w:hint="default" w:ascii="Arial" w:hAnsi="Arial" w:eastAsia="PMingLiU" w:cs="Arial"/>
          <w:color w:val="000000"/>
          <w:sz w:val="22"/>
          <w:szCs w:val="22"/>
          <w:lang w:val="sr-Latn-ME" w:eastAsia="zh-TW"/>
        </w:rPr>
        <w:t>ć</w:t>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sr-Latn-RS" w:eastAsia="zh-TW"/>
        </w:rPr>
      </w:pPr>
      <w:r>
        <w:rPr>
          <w:rFonts w:hint="default" w:ascii="Arial" w:hAnsi="Arial" w:eastAsia="PMingLiU" w:cs="Arial"/>
          <w:color w:val="000000"/>
          <w:sz w:val="22"/>
          <w:szCs w:val="22"/>
          <w:lang w:val="sr-Latn-RS" w:eastAsia="zh-TW"/>
        </w:rPr>
        <w:t xml:space="preserve">                                                                                                               </w:t>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pl-PL" w:eastAsia="zh-TW"/>
        </w:rPr>
      </w:pPr>
      <w:r>
        <w:rPr>
          <w:rFonts w:hint="default" w:ascii="Arial" w:hAnsi="Arial" w:eastAsia="PMingLiU" w:cs="Arial"/>
          <w:color w:val="000000"/>
          <w:sz w:val="22"/>
          <w:szCs w:val="22"/>
          <w:lang w:val="pl-PL" w:eastAsia="zh-TW"/>
        </w:rPr>
        <w:t xml:space="preserve">                                                                                                                       </w:t>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sr-Latn-ME" w:eastAsia="zh-TW"/>
        </w:rPr>
      </w:pPr>
      <w:r>
        <w:rPr>
          <w:rFonts w:hint="default" w:ascii="Arial" w:hAnsi="Arial" w:eastAsia="PMingLiU" w:cs="Arial"/>
          <w:color w:val="000000"/>
          <w:sz w:val="22"/>
          <w:szCs w:val="22"/>
          <w:lang w:val="pl-PL" w:eastAsia="zh-TW"/>
        </w:rPr>
        <w:t xml:space="preserve">Član komisije za sprovođenje postupka javne nabavke:            </w:t>
      </w:r>
      <w:r>
        <w:rPr>
          <w:rFonts w:hint="default" w:ascii="Arial" w:hAnsi="Arial" w:eastAsia="PMingLiU" w:cs="Arial"/>
          <w:color w:val="000000"/>
          <w:sz w:val="22"/>
          <w:szCs w:val="22"/>
          <w:lang w:val="sr-Latn-ME" w:eastAsia="zh-TW"/>
        </w:rPr>
        <w:t xml:space="preserve">        </w:t>
      </w:r>
      <w:r>
        <w:rPr>
          <w:rFonts w:hint="default" w:ascii="Arial" w:hAnsi="Arial" w:eastAsia="PMingLiU" w:cs="Arial"/>
          <w:color w:val="000000"/>
          <w:sz w:val="22"/>
          <w:szCs w:val="22"/>
          <w:lang w:val="sr-Latn-RS" w:eastAsia="zh-TW"/>
        </w:rPr>
        <w:t>Farisa Kurpejovi</w:t>
      </w:r>
      <w:r>
        <w:rPr>
          <w:rFonts w:hint="default" w:ascii="Arial" w:hAnsi="Arial" w:eastAsia="PMingLiU" w:cs="Arial"/>
          <w:color w:val="000000"/>
          <w:sz w:val="22"/>
          <w:szCs w:val="22"/>
          <w:lang w:val="sr-Latn-ME" w:eastAsia="zh-TW"/>
        </w:rPr>
        <w:t>ć</w:t>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pl-PL" w:eastAsia="zh-TW"/>
        </w:rPr>
      </w:pPr>
      <w:r>
        <w:rPr>
          <w:rFonts w:hint="default" w:ascii="Arial" w:hAnsi="Arial" w:eastAsia="PMingLiU" w:cs="Arial"/>
          <w:color w:val="000000"/>
          <w:sz w:val="22"/>
          <w:szCs w:val="22"/>
          <w:lang w:val="sr-Latn-RS" w:eastAsia="zh-TW"/>
        </w:rPr>
        <w:t xml:space="preserve">                                                                                                                    </w:t>
      </w: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pl-PL" w:eastAsia="zh-TW"/>
        </w:rPr>
      </w:pPr>
    </w:p>
    <w:p>
      <w:pPr>
        <w:tabs>
          <w:tab w:val="center" w:leader="underscore" w:pos="5387"/>
          <w:tab w:val="left" w:pos="5954"/>
          <w:tab w:val="right" w:pos="9639"/>
        </w:tabs>
        <w:spacing w:after="0" w:line="240" w:lineRule="auto"/>
        <w:jc w:val="both"/>
        <w:rPr>
          <w:rFonts w:hint="default" w:ascii="Arial" w:hAnsi="Arial" w:eastAsia="PMingLiU" w:cs="Arial"/>
          <w:color w:val="000000"/>
          <w:sz w:val="22"/>
          <w:szCs w:val="22"/>
          <w:lang w:val="pl-PL" w:eastAsia="zh-TW"/>
        </w:rPr>
      </w:pPr>
      <w:r>
        <w:rPr>
          <w:rFonts w:hint="default" w:ascii="Arial" w:hAnsi="Arial" w:eastAsia="PMingLiU" w:cs="Arial"/>
          <w:color w:val="000000"/>
          <w:sz w:val="22"/>
          <w:szCs w:val="22"/>
          <w:lang w:val="pl-PL" w:eastAsia="zh-TW"/>
        </w:rPr>
        <w:t xml:space="preserve"> Član komisije za sprovođenje postupka javne nabavke:                    Dragan Prenkić</w:t>
      </w:r>
    </w:p>
    <w:p>
      <w:pPr>
        <w:tabs>
          <w:tab w:val="center" w:leader="underscore" w:pos="5387"/>
          <w:tab w:val="left" w:pos="5954"/>
          <w:tab w:val="right" w:pos="9639"/>
        </w:tabs>
        <w:spacing w:after="0" w:line="240" w:lineRule="auto"/>
        <w:jc w:val="both"/>
        <w:rPr>
          <w:rFonts w:hint="default" w:ascii="Arial" w:hAnsi="Arial" w:cs="Arial"/>
          <w:sz w:val="22"/>
          <w:szCs w:val="22"/>
        </w:rPr>
      </w:pPr>
      <w:r>
        <w:rPr>
          <w:rFonts w:hint="default" w:ascii="Arial" w:hAnsi="Arial" w:eastAsia="PMingLiU" w:cs="Arial"/>
          <w:color w:val="000000"/>
          <w:sz w:val="22"/>
          <w:szCs w:val="22"/>
          <w:lang w:val="sr-Latn-RS" w:eastAsia="zh-TW"/>
        </w:rPr>
        <w:t xml:space="preserve">                                                                                                                        </w:t>
      </w:r>
      <w:r>
        <w:rPr>
          <w:rFonts w:hint="default" w:ascii="Arial" w:hAnsi="Arial" w:eastAsia="PMingLiU" w:cs="Arial"/>
          <w:color w:val="000000"/>
          <w:sz w:val="22"/>
          <w:szCs w:val="22"/>
          <w:lang w:val="sr-Latn-ME" w:eastAsia="zh-TW"/>
        </w:rPr>
        <w:t xml:space="preserve">                                         </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3E3C0A"/>
    <w:multiLevelType w:val="multilevel"/>
    <w:tmpl w:val="443E3C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A97467E"/>
    <w:multiLevelType w:val="multilevel"/>
    <w:tmpl w:val="4A97467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C62672D"/>
    <w:multiLevelType w:val="multilevel"/>
    <w:tmpl w:val="5C6267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64"/>
    <w:rsid w:val="00072525"/>
    <w:rsid w:val="002E68D2"/>
    <w:rsid w:val="00505064"/>
    <w:rsid w:val="00A43B1F"/>
    <w:rsid w:val="00C77F98"/>
    <w:rsid w:val="00E44C76"/>
    <w:rsid w:val="070512CD"/>
    <w:rsid w:val="11D56575"/>
    <w:rsid w:val="2B4937ED"/>
    <w:rsid w:val="2DD6166F"/>
    <w:rsid w:val="308B1B01"/>
    <w:rsid w:val="4972699A"/>
    <w:rsid w:val="7422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7">
    <w:name w:val="Heading 1 Char"/>
    <w:link w:val="2"/>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277</Words>
  <Characters>1582</Characters>
  <Lines>13</Lines>
  <Paragraphs>3</Paragraphs>
  <TotalTime>6</TotalTime>
  <ScaleCrop>false</ScaleCrop>
  <LinksUpToDate>false</LinksUpToDate>
  <CharactersWithSpaces>1856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2022-10-24T12:08:00Z</dcterms:created>
  <dc:creator>t</dc:creator>
  <cp:lastModifiedBy>Milica i Dragan</cp:lastModifiedBy>
  <dcterms:modified xsi:type="dcterms:W3CDTF">2025-12-19T12:02:03Z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657D66A3B5404C459C338F34F59EF579</vt:lpwstr>
  </property>
</Properties>
</file>