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Broj iz evidencije postupaka javnih nabavki:</w:t>
      </w:r>
      <w:r>
        <w:rPr>
          <w:rFonts w:hint="default" w:ascii="Arial" w:hAnsi="Arial" w:eastAsia="Times New Roman" w:cs="Arial"/>
          <w:sz w:val="24"/>
          <w:szCs w:val="24"/>
          <w:lang w:val="sr-Latn-RS"/>
        </w:rPr>
        <w:t>9</w:t>
      </w:r>
      <w:r>
        <w:rPr>
          <w:rFonts w:ascii="Arial" w:hAnsi="Arial" w:eastAsia="Times New Roman" w:cs="Arial"/>
          <w:sz w:val="24"/>
          <w:szCs w:val="24"/>
          <w:lang w:val="sr-Latn-ME"/>
        </w:rPr>
        <w:t>/2025</w:t>
      </w:r>
    </w:p>
    <w:p>
      <w:pPr>
        <w:tabs>
          <w:tab w:val="left" w:pos="1701"/>
          <w:tab w:val="left" w:pos="4820"/>
        </w:tabs>
        <w:spacing w:after="0" w:line="240" w:lineRule="auto"/>
        <w:jc w:val="both"/>
        <w:rPr>
          <w:rFonts w:hint="default" w:ascii="Arial" w:hAnsi="Arial" w:eastAsia="Calibri" w:cs="Arial"/>
          <w:sz w:val="24"/>
          <w:szCs w:val="24"/>
          <w:lang w:val="sr-Latn-RS"/>
        </w:rPr>
      </w:pPr>
      <w:r>
        <w:rPr>
          <w:rFonts w:ascii="Arial" w:hAnsi="Arial" w:eastAsia="Calibri" w:cs="Arial"/>
          <w:sz w:val="24"/>
          <w:szCs w:val="24"/>
          <w:lang w:val="sr-Latn-ME"/>
        </w:rPr>
        <w:t xml:space="preserve">Redni broj iz Plana javnih nabavki: </w:t>
      </w:r>
      <w:r>
        <w:rPr>
          <w:rFonts w:hint="default" w:ascii="Arial" w:hAnsi="Arial" w:eastAsia="Calibri" w:cs="Arial"/>
          <w:sz w:val="24"/>
          <w:szCs w:val="24"/>
          <w:lang w:val="sr-Latn-RS"/>
        </w:rPr>
        <w:t>26</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lang w:val="sr-Latn-ME"/>
        </w:rPr>
        <w:t xml:space="preserve">, </w:t>
      </w:r>
      <w:r>
        <w:rPr>
          <w:rFonts w:hint="default" w:ascii="Arial" w:hAnsi="Arial" w:eastAsia="Calibri" w:cs="Arial"/>
          <w:sz w:val="24"/>
          <w:szCs w:val="24"/>
          <w:lang w:val="sr-Latn-RS"/>
        </w:rPr>
        <w:t>18.12</w:t>
      </w:r>
      <w:r>
        <w:rPr>
          <w:rFonts w:ascii="Arial" w:hAnsi="Arial" w:eastAsia="Calibri" w:cs="Arial"/>
          <w:sz w:val="24"/>
          <w:szCs w:val="24"/>
          <w:lang w:val="sr-Latn-ME"/>
        </w:rPr>
        <w:t xml:space="preserve">.2025. </w:t>
      </w:r>
      <w:r>
        <w:rPr>
          <w:rFonts w:ascii="Arial" w:hAnsi="Arial" w:eastAsia="Calibri" w:cs="Arial"/>
          <w:color w:val="000000"/>
          <w:sz w:val="24"/>
          <w:szCs w:val="24"/>
          <w:lang w:val="sr-Latn-ME"/>
        </w:rPr>
        <w:t>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 xml:space="preserve">Na osnovu člana 53 stav 3 Zakona o javnim nabavkama („Službeni list CG“, br. 74/19, 3/23, 11/23 i 84/24 -drugi zakon)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spacing w:after="0" w:line="240" w:lineRule="auto"/>
        <w:jc w:val="center"/>
        <w:rPr>
          <w:rFonts w:ascii="Arial" w:hAnsi="Arial" w:eastAsia="Times New Roman" w:cs="Arial"/>
          <w:b/>
          <w:bCs/>
          <w:color w:val="000000"/>
          <w:sz w:val="28"/>
          <w:szCs w:val="28"/>
          <w:lang w:val="sr-Latn-ME"/>
        </w:rPr>
      </w:pPr>
    </w:p>
    <w:p>
      <w:pPr>
        <w:spacing w:after="0" w:line="240" w:lineRule="auto"/>
        <w:jc w:val="center"/>
        <w:rPr>
          <w:rFonts w:ascii="Arial" w:hAnsi="Arial" w:eastAsia="Calibri" w:cs="Arial"/>
          <w:sz w:val="28"/>
          <w:szCs w:val="28"/>
        </w:rPr>
      </w:pPr>
      <w:r>
        <w:rPr>
          <w:rFonts w:hint="default" w:ascii="Arial" w:hAnsi="Arial" w:eastAsia="Calibri"/>
          <w:sz w:val="28"/>
          <w:szCs w:val="28"/>
        </w:rPr>
        <w:t xml:space="preserve">Usluge sprovođenja istraživanja među domaćinstvima i preduzećima, sa ciljem utvrđivanja obima i strukture neformalne ekonomije u Crnoj Gori </w:t>
      </w:r>
    </w:p>
    <w:p>
      <w:pPr>
        <w:spacing w:after="0" w:line="240" w:lineRule="auto"/>
        <w:jc w:val="center"/>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24"/>
          <w:lang w:val="sr-Latn-ME"/>
        </w:rPr>
      </w:pPr>
      <w:bookmarkStart w:id="2" w:name="_Toc62730555"/>
      <w:r>
        <w:rPr>
          <w:rFonts w:ascii="Arial" w:hAnsi="Arial" w:eastAsia="Times New Roman" w:cs="Times New Roman"/>
          <w:b/>
          <w:color w:val="000000"/>
          <w:sz w:val="24"/>
          <w:szCs w:val="32"/>
          <w:lang w:val="sr-Latn-ME"/>
        </w:rPr>
        <w:t xml:space="preserve">3. </w:t>
      </w:r>
      <w:r>
        <w:rPr>
          <w:rFonts w:ascii="Arial" w:hAnsi="Arial" w:eastAsia="Times New Roman" w:cs="Times New Roman"/>
          <w:b/>
          <w:color w:val="000000"/>
          <w:sz w:val="24"/>
          <w:szCs w:val="24"/>
          <w:lang w:val="sr-Latn-ME"/>
        </w:rPr>
        <w:t>DODATNE INFORMACIJE O PREDMETU I POSTUPKU NABAVKE</w:t>
      </w:r>
      <w:r>
        <w:rPr>
          <w:rFonts w:ascii="Arial" w:hAnsi="Arial" w:eastAsia="Times New Roman" w:cs="Times New Roman"/>
          <w:b/>
          <w:color w:val="000000"/>
          <w:sz w:val="24"/>
          <w:szCs w:val="24"/>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lang w:val="sr-Latn-ME"/>
        </w:rPr>
      </w:pPr>
      <w:r>
        <w:rPr>
          <w:rFonts w:ascii="Arial" w:hAnsi="Arial" w:eastAsia="Calibri" w:cs="Arial"/>
          <w:b/>
          <w:bCs/>
          <w:color w:val="000000"/>
          <w:sz w:val="24"/>
          <w:szCs w:val="24"/>
          <w:lang w:val="sr-Latn-ME"/>
        </w:rPr>
        <w:t>Procijenjena vrijednost predmenta nabavke:</w:t>
      </w:r>
      <w:r>
        <w:rPr>
          <w:rFonts w:ascii="Arial" w:hAnsi="Arial" w:eastAsia="Calibri" w:cs="Arial"/>
          <w:b/>
          <w:bCs/>
          <w:color w:val="000000"/>
          <w:sz w:val="24"/>
          <w:szCs w:val="24"/>
          <w:vertAlign w:val="superscript"/>
          <w:lang w:val="sr-Latn-ME"/>
        </w:rPr>
        <w:footnoteReference w:id="4"/>
      </w:r>
    </w:p>
    <w:p>
      <w:pPr>
        <w:jc w:val="both"/>
        <w:rPr>
          <w:rFonts w:ascii="Arial" w:hAnsi="Arial" w:eastAsia="Calibri" w:cs="Arial"/>
          <w:b/>
          <w:bCs/>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w:t>
      </w:r>
      <w:r>
        <w:rPr>
          <w:rFonts w:ascii="Arial" w:hAnsi="Arial" w:eastAsia="Calibri" w:cs="Arial"/>
          <w:b/>
          <w:bCs/>
          <w:color w:val="000000"/>
          <w:sz w:val="24"/>
          <w:szCs w:val="24"/>
          <w:lang w:val="sr-Latn-ME"/>
        </w:rPr>
        <w:t>Procijenjena vrijednost predmeta nabavke bez zaključivanja okvirnog sporazuma</w:t>
      </w:r>
      <w:r>
        <w:rPr>
          <w:rFonts w:ascii="Arial" w:hAnsi="Arial" w:eastAsia="Calibri" w:cs="Arial"/>
          <w:color w:val="000000"/>
          <w:sz w:val="24"/>
          <w:szCs w:val="24"/>
          <w:lang w:val="sr-Latn-ME"/>
        </w:rPr>
        <w:t>:</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kao cjeline je</w:t>
      </w:r>
      <w:r>
        <w:rPr>
          <w:rFonts w:hint="default" w:ascii="Arial" w:hAnsi="Arial" w:eastAsia="Calibri" w:cs="Arial"/>
          <w:color w:val="000000"/>
          <w:sz w:val="24"/>
          <w:szCs w:val="24"/>
          <w:lang w:val="sr-Latn-RS"/>
        </w:rPr>
        <w:t xml:space="preserve"> </w:t>
      </w:r>
      <w:r>
        <w:rPr>
          <w:rFonts w:hint="default" w:ascii="Arial" w:hAnsi="Arial" w:eastAsia="Calibri"/>
          <w:b/>
          <w:bCs/>
          <w:color w:val="000000"/>
          <w:sz w:val="24"/>
          <w:szCs w:val="24"/>
          <w:lang w:val="sr-Latn-RS"/>
        </w:rPr>
        <w:t>82.644,63</w:t>
      </w:r>
      <w:r>
        <w:rPr>
          <w:rFonts w:ascii="Arial" w:hAnsi="Arial" w:eastAsia="Calibri" w:cs="Arial"/>
          <w:sz w:val="24"/>
          <w:szCs w:val="24"/>
        </w:rPr>
        <w:t xml:space="preserve"> </w:t>
      </w:r>
      <w:r>
        <w:rPr>
          <w:rFonts w:ascii="Arial" w:hAnsi="Arial" w:eastAsia="Calibri" w:cs="Arial"/>
          <w:color w:val="000000"/>
          <w:sz w:val="24"/>
          <w:szCs w:val="24"/>
          <w:lang w:val="sr-Latn-ME"/>
        </w:rPr>
        <w:t>€.</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spacing w:before="240" w:line="240" w:lineRule="auto"/>
        <w:jc w:val="both"/>
        <w:rPr>
          <w:rFonts w:ascii="Arial" w:hAnsi="Arial" w:eastAsia="Times New Roman" w:cs="Arial"/>
          <w:sz w:val="24"/>
          <w:szCs w:val="24"/>
        </w:rPr>
      </w:pPr>
      <w:r>
        <w:rPr>
          <w:rFonts w:ascii="Arial" w:hAnsi="Arial" w:eastAsia="Calibri" w:cs="Arial"/>
          <w:sz w:val="24"/>
          <w:szCs w:val="24"/>
          <w:lang w:val="sr-Latn-ME"/>
        </w:rPr>
        <w:t xml:space="preserve">Predmet nabavke </w:t>
      </w:r>
      <w:r>
        <w:rPr>
          <w:rFonts w:hint="default" w:ascii="Arial" w:hAnsi="Arial" w:eastAsia="Calibri"/>
          <w:sz w:val="24"/>
          <w:szCs w:val="24"/>
          <w:lang w:val="sr-Latn-RS"/>
        </w:rPr>
        <w:t>u</w:t>
      </w:r>
      <w:r>
        <w:rPr>
          <w:rFonts w:hint="default" w:ascii="Arial" w:hAnsi="Arial" w:eastAsia="Calibri"/>
          <w:sz w:val="24"/>
          <w:szCs w:val="24"/>
          <w:lang w:val="sr-Latn-ME"/>
        </w:rPr>
        <w:t>sluge sprovođenja istraživanja među domaćinstvima i preduzećima, sa ciljem utvrđivanja obima i strukture neformalne ekonomije u Crnoj Gori</w:t>
      </w:r>
      <w:r>
        <w:rPr>
          <w:rFonts w:ascii="Arial" w:hAnsi="Arial" w:eastAsia="Calibri" w:cs="Arial"/>
          <w:sz w:val="24"/>
          <w:szCs w:val="24"/>
          <w:lang w:val="it-IT"/>
        </w:rPr>
        <w:t xml:space="preserve">, nije podeljen na partije jer </w:t>
      </w:r>
      <w:r>
        <w:rPr>
          <w:rFonts w:ascii="Arial" w:hAnsi="Arial" w:eastAsia="Calibri" w:cs="Arial"/>
          <w:sz w:val="24"/>
          <w:szCs w:val="24"/>
          <w:lang w:val="sr-Latn-ME"/>
        </w:rPr>
        <w:t>predstavlja jedinstvenu tehničku cjelinu</w:t>
      </w:r>
      <w:r>
        <w:rPr>
          <w:rFonts w:ascii="Arial" w:hAnsi="Arial" w:eastAsia="Times New Roman" w:cs="Arial"/>
          <w:sz w:val="24"/>
          <w:szCs w:val="24"/>
        </w:rPr>
        <w:t>.</w:t>
      </w: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garanciju za dobro izvršenje ugovora za slučaj </w:t>
      </w:r>
      <w:r>
        <w:rPr>
          <w:rFonts w:ascii="Arial" w:hAnsi="Arial" w:eastAsia="Times New Roman" w:cs="Arial"/>
          <w:color w:val="000000"/>
          <w:sz w:val="24"/>
          <w:szCs w:val="24"/>
          <w:lang w:val="sr-Latn-ME"/>
        </w:rPr>
        <w:t>povrede ugovorenih obaveze (ako je raskid ugovora nastao zbog neispunjenja ugovorenih obaveza natalih činjenjem ili nečinjenjem ponuđača),</w:t>
      </w:r>
      <w:r>
        <w:rPr>
          <w:rFonts w:ascii="Arial" w:hAnsi="Arial" w:eastAsia="Times New Roman" w:cs="Arial"/>
          <w:sz w:val="24"/>
          <w:szCs w:val="24"/>
          <w:lang w:val="sr-Latn-ME"/>
        </w:rPr>
        <w:t xml:space="preserve"> </w:t>
      </w:r>
      <w:r>
        <w:rPr>
          <w:rFonts w:ascii="Arial" w:hAnsi="Arial" w:eastAsia="Times New Roman" w:cs="Arial"/>
          <w:color w:val="000000"/>
          <w:sz w:val="24"/>
          <w:szCs w:val="24"/>
          <w:lang w:val="sr-Latn-ME"/>
        </w:rPr>
        <w:t>u iznosu od 10 % od vrijednosti ugovora, sa rokom važenja 10 (deset) dana dužim od ugovorenog roka.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avansnu garanciju, </w:t>
      </w:r>
      <w:r>
        <w:rPr>
          <w:rFonts w:ascii="Arial" w:hAnsi="Arial" w:eastAsia="Times New Roman" w:cs="Arial"/>
          <w:color w:val="000000"/>
          <w:sz w:val="24"/>
          <w:szCs w:val="24"/>
          <w:lang w:val="sr-Latn-ME"/>
        </w:rPr>
        <w:t>za avansno plaćanje u iznosu ugovorenog avansa, sa rokom važenja za vrijeme ukupnog trajanja ugovora.</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5" w:name="_Toc62730559"/>
      <w:r>
        <w:rPr>
          <w:rFonts w:ascii="Arial" w:hAnsi="Arial" w:eastAsia="Times New Roman" w:cs="Times New Roman"/>
          <w:b/>
          <w:sz w:val="24"/>
          <w:szCs w:val="32"/>
          <w:lang w:val="sr-Latn-ME"/>
        </w:rPr>
        <w:t>6. METODOLOGIJA VREDNOVANJA PONUDA</w:t>
      </w:r>
      <w:bookmarkEnd w:id="5"/>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Naručilac će u postupku javne nabavki izabrati ekonomski najpovoljniju ponudu, primjenom pristupa isplativosti, po osnovu kriterijuma:</w:t>
      </w:r>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odnos cijene i kvaliteta </w:t>
      </w:r>
    </w:p>
    <w:p>
      <w:pPr>
        <w:spacing w:after="0" w:line="240" w:lineRule="auto"/>
        <w:jc w:val="both"/>
        <w:rPr>
          <w:rFonts w:ascii="Arial" w:hAnsi="Arial" w:eastAsia="Times New Roman" w:cs="Arial"/>
          <w:i/>
          <w:color w:val="000000"/>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se opredijelio za vrednovanje ponuda po kriterijumu odnos cijene i kvaliteta, a shodno Pravilniku o metodologiji načina vrednovanja ponuda u postupku javnih nabavki.</w:t>
      </w:r>
    </w:p>
    <w:p>
      <w:pPr>
        <w:jc w:val="both"/>
        <w:rPr>
          <w:rFonts w:ascii="Arial" w:hAnsi="Arial" w:eastAsia="Calibri" w:cs="Arial"/>
          <w:sz w:val="24"/>
          <w:szCs w:val="24"/>
          <w:lang w:val="sr-Latn-ME"/>
        </w:rPr>
      </w:pPr>
      <w:r>
        <w:rPr>
          <w:rFonts w:ascii="Arial" w:hAnsi="Arial" w:eastAsia="Calibri" w:cs="Arial"/>
          <w:sz w:val="24"/>
          <w:szCs w:val="24"/>
          <w:lang w:val="sr-Latn-ME"/>
        </w:rPr>
        <w:t>Vrednovanje će se vršiti na osnovu sljedećih parametara:</w:t>
      </w:r>
    </w:p>
    <w:p>
      <w:pPr>
        <w:ind w:left="284"/>
        <w:rPr>
          <w:rFonts w:ascii="Arial" w:hAnsi="Arial" w:eastAsia="Calibri" w:cs="Arial"/>
          <w:sz w:val="24"/>
          <w:szCs w:val="24"/>
          <w:lang w:val="sr-Latn-ME"/>
        </w:rPr>
      </w:pPr>
      <w:r>
        <w:rPr>
          <w:rFonts w:ascii="Arial" w:hAnsi="Arial" w:eastAsia="Calibri" w:cs="Arial"/>
          <w:b/>
          <w:sz w:val="24"/>
          <w:szCs w:val="24"/>
          <w:lang w:val="sr-Latn-ME"/>
        </w:rPr>
        <w:t xml:space="preserve">         </w:t>
      </w: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najniža ponuđena cijena </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hint="default" w:ascii="Arial" w:hAnsi="Arial" w:eastAsia="Calibri" w:cs="Arial"/>
          <w:sz w:val="24"/>
          <w:szCs w:val="24"/>
          <w:bdr w:val="single" w:color="auto" w:sz="4" w:space="0"/>
          <w:lang w:val="sr-Latn-RS"/>
        </w:rPr>
        <w:t>30</w:t>
      </w:r>
      <w:r>
        <w:rPr>
          <w:rFonts w:ascii="Arial" w:hAnsi="Arial" w:eastAsia="Calibri" w:cs="Arial"/>
          <w:sz w:val="24"/>
          <w:szCs w:val="24"/>
          <w:bdr w:val="single" w:color="auto" w:sz="4" w:space="0"/>
          <w:lang w:val="sr-Latn-ME"/>
        </w:rPr>
        <w:t xml:space="preserve"> </w:t>
      </w:r>
    </w:p>
    <w:p>
      <w:pPr>
        <w:ind w:left="284"/>
        <w:jc w:val="center"/>
        <w:rPr>
          <w:rFonts w:ascii="Arial" w:hAnsi="Arial" w:eastAsia="Calibri" w:cs="Arial"/>
          <w:sz w:val="24"/>
          <w:szCs w:val="24"/>
          <w:bdr w:val="single" w:color="auto" w:sz="4" w:space="0"/>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kvalitet  </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hint="default" w:ascii="Arial" w:hAnsi="Arial" w:eastAsia="Calibri" w:cs="Arial"/>
          <w:sz w:val="24"/>
          <w:szCs w:val="24"/>
          <w:bdr w:val="single" w:color="auto" w:sz="4" w:space="0"/>
          <w:lang w:val="sr-Latn-RS"/>
        </w:rPr>
        <w:t>7</w:t>
      </w:r>
      <w:r>
        <w:rPr>
          <w:rFonts w:ascii="Arial" w:hAnsi="Arial" w:eastAsia="Calibri" w:cs="Arial"/>
          <w:sz w:val="24"/>
          <w:szCs w:val="24"/>
          <w:bdr w:val="single" w:color="auto" w:sz="4" w:space="0"/>
          <w:lang w:val="sr-Latn-ME"/>
        </w:rPr>
        <w:t>0</w:t>
      </w:r>
    </w:p>
    <w:p>
      <w:pPr>
        <w:jc w:val="both"/>
        <w:rPr>
          <w:rFonts w:ascii="Arial" w:hAnsi="Arial" w:eastAsia="Calibri" w:cs="Arial"/>
          <w:b/>
          <w:sz w:val="24"/>
          <w:szCs w:val="24"/>
          <w:lang w:val="sr-Latn-ME"/>
        </w:rPr>
      </w:pPr>
      <w:r>
        <w:rPr>
          <w:rFonts w:ascii="Arial" w:hAnsi="Arial" w:eastAsia="Calibri" w:cs="Arial"/>
          <w:color w:val="000000"/>
          <w:sz w:val="24"/>
          <w:szCs w:val="24"/>
          <w:lang w:val="sr-Latn-ME"/>
        </w:rPr>
        <w:sym w:font="Wingdings" w:char="F0FE"/>
      </w:r>
      <w:r>
        <w:rPr>
          <w:rFonts w:ascii="Arial" w:hAnsi="Arial" w:eastAsia="Calibri" w:cs="Arial"/>
          <w:color w:val="000000"/>
          <w:sz w:val="24"/>
          <w:szCs w:val="24"/>
          <w:lang w:val="sr-Latn-ME"/>
        </w:rPr>
        <w:t xml:space="preserve"> </w:t>
      </w:r>
      <w:r>
        <w:rPr>
          <w:rFonts w:ascii="Arial" w:hAnsi="Arial" w:eastAsia="Calibri" w:cs="Arial"/>
          <w:b/>
          <w:sz w:val="24"/>
          <w:szCs w:val="24"/>
          <w:lang w:val="sr-Latn-ME"/>
        </w:rPr>
        <w:t xml:space="preserve">parametar najniža ponuđena cijena vrednovaće se na sljedeći način: ukupno </w:t>
      </w:r>
      <w:r>
        <w:rPr>
          <w:rFonts w:hint="default" w:ascii="Arial" w:hAnsi="Arial" w:eastAsia="Calibri" w:cs="Arial"/>
          <w:b/>
          <w:sz w:val="24"/>
          <w:szCs w:val="24"/>
          <w:lang w:val="sr-Latn-RS"/>
        </w:rPr>
        <w:t>30</w:t>
      </w:r>
      <w:r>
        <w:rPr>
          <w:rFonts w:ascii="Arial" w:hAnsi="Arial" w:eastAsia="Calibri" w:cs="Arial"/>
          <w:b/>
          <w:sz w:val="24"/>
          <w:szCs w:val="24"/>
          <w:lang w:val="sr-Latn-ME"/>
        </w:rPr>
        <w:t xml:space="preserve"> bodova</w:t>
      </w:r>
    </w:p>
    <w:p>
      <w:pPr>
        <w:tabs>
          <w:tab w:val="left" w:pos="0"/>
        </w:tabs>
        <w:jc w:val="both"/>
        <w:rPr>
          <w:rFonts w:ascii="Arial" w:hAnsi="Arial" w:eastAsia="Calibri" w:cs="Arial"/>
          <w:iCs/>
          <w:sz w:val="24"/>
          <w:szCs w:val="24"/>
          <w:lang w:val="sr-Latn-ME"/>
        </w:rPr>
      </w:pPr>
      <w:r>
        <w:rPr>
          <w:rFonts w:ascii="Arial" w:hAnsi="Arial" w:eastAsia="Calibri" w:cs="Arial"/>
          <w:iCs/>
          <w:sz w:val="24"/>
          <w:szCs w:val="24"/>
          <w:lang w:val="sr-Latn-ME"/>
        </w:rPr>
        <w:t>Bodovi za parametar ponuđena cijena izračunavaju se na način što se kao osnova za vrednovanje uzima najniža ponuđena cijena, koja dobija maksimalan broj bodova.</w:t>
      </w:r>
    </w:p>
    <w:p>
      <w:pPr>
        <w:rPr>
          <w:rFonts w:ascii="Arial" w:hAnsi="Arial" w:eastAsia="Calibri" w:cs="Arial"/>
          <w:sz w:val="24"/>
          <w:szCs w:val="24"/>
          <w:lang w:val="sr-Latn-ME"/>
        </w:rPr>
      </w:pPr>
      <w:r>
        <w:rPr>
          <w:rFonts w:ascii="Arial" w:hAnsi="Arial" w:eastAsia="Calibri" w:cs="Arial"/>
          <w:sz w:val="24"/>
          <w:szCs w:val="24"/>
          <w:lang w:val="sr-Latn-ME"/>
        </w:rPr>
        <w:t xml:space="preserve">Maksimalno predviđeni broj bodova je </w:t>
      </w:r>
      <w:r>
        <w:rPr>
          <w:rFonts w:hint="default" w:ascii="Arial" w:hAnsi="Arial" w:eastAsia="Calibri" w:cs="Arial"/>
          <w:sz w:val="24"/>
          <w:szCs w:val="24"/>
          <w:lang w:val="sr-Latn-RS"/>
        </w:rPr>
        <w:t>3</w:t>
      </w:r>
      <w:r>
        <w:rPr>
          <w:rFonts w:ascii="Arial" w:hAnsi="Arial" w:eastAsia="Calibri" w:cs="Arial"/>
          <w:sz w:val="24"/>
          <w:szCs w:val="24"/>
          <w:lang w:val="sr-Latn-ME"/>
        </w:rPr>
        <w:t>0.</w:t>
      </w:r>
    </w:p>
    <w:p>
      <w:pPr>
        <w:jc w:val="both"/>
        <w:rPr>
          <w:rFonts w:ascii="Arial" w:hAnsi="Arial" w:eastAsia="PMingLiU" w:cs="Arial"/>
          <w:sz w:val="24"/>
          <w:szCs w:val="24"/>
          <w:lang w:val="sr-Latn-ME" w:eastAsia="zh-TW"/>
        </w:rPr>
      </w:pPr>
      <w:r>
        <w:rPr>
          <w:rFonts w:ascii="Arial" w:hAnsi="Arial" w:eastAsia="PMingLiU" w:cs="Arial"/>
          <w:sz w:val="24"/>
          <w:szCs w:val="24"/>
          <w:lang w:val="sr-Latn-ME" w:eastAsia="zh-TW"/>
        </w:rPr>
        <w:t>Ponuđena cijena će se bodovati na sljedeći način:</w:t>
      </w:r>
    </w:p>
    <w:p>
      <w:pPr>
        <w:numPr>
          <w:ilvl w:val="0"/>
          <w:numId w:val="6"/>
        </w:numPr>
        <w:spacing w:after="0" w:line="240" w:lineRule="auto"/>
        <w:ind w:left="567"/>
        <w:jc w:val="both"/>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Najniža cijena dobija maksimalni broj bodova </w:t>
      </w:r>
    </w:p>
    <w:p>
      <w:pPr>
        <w:numPr>
          <w:ilvl w:val="0"/>
          <w:numId w:val="6"/>
        </w:numPr>
        <w:spacing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Ostale ponude će dobiti bodove po sljedećoj formuli: </w:t>
      </w:r>
    </w:p>
    <w:p>
      <w:pPr>
        <w:spacing w:before="96"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           C=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x </w:t>
      </w:r>
      <w:r>
        <w:rPr>
          <w:rFonts w:hint="default" w:ascii="Arial" w:hAnsi="Arial" w:eastAsia="PMingLiU" w:cs="Arial"/>
          <w:sz w:val="24"/>
          <w:szCs w:val="24"/>
          <w:lang w:val="sr-Latn-RS" w:eastAsia="zh-TW"/>
        </w:rPr>
        <w:t>3</w:t>
      </w:r>
      <w:r>
        <w:rPr>
          <w:rFonts w:ascii="Arial" w:hAnsi="Arial" w:eastAsia="PMingLiU" w:cs="Arial"/>
          <w:sz w:val="24"/>
          <w:szCs w:val="24"/>
          <w:lang w:val="sr-Latn-ME" w:eastAsia="zh-TW"/>
        </w:rPr>
        <w:t>0</w:t>
      </w:r>
    </w:p>
    <w:p>
      <w:pPr>
        <w:ind w:left="851"/>
        <w:jc w:val="both"/>
        <w:rPr>
          <w:rFonts w:ascii="Arial" w:hAnsi="Arial" w:eastAsia="Calibri" w:cs="Arial"/>
          <w:b/>
          <w:bCs/>
          <w:i/>
          <w:iCs/>
          <w:color w:val="000000"/>
          <w:sz w:val="24"/>
          <w:szCs w:val="24"/>
          <w:lang w:val="sr-Latn-ME"/>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xml:space="preserve"> – najniža ponuđena cijena </w:t>
      </w:r>
    </w:p>
    <w:p>
      <w:pPr>
        <w:ind w:left="1134"/>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 ponuđena cijena </w:t>
      </w:r>
    </w:p>
    <w:p>
      <w:pPr>
        <w:tabs>
          <w:tab w:val="right" w:pos="9638"/>
        </w:tabs>
        <w:jc w:val="both"/>
        <w:rPr>
          <w:rFonts w:ascii="Arial" w:hAnsi="Arial" w:eastAsia="Times New Roman" w:cs="Arial"/>
          <w:b/>
          <w:sz w:val="24"/>
          <w:szCs w:val="24"/>
          <w:lang w:val="sr-Latn-ME"/>
        </w:rPr>
      </w:pPr>
      <w:r>
        <w:rPr>
          <w:rFonts w:ascii="Arial" w:hAnsi="Arial" w:eastAsia="Times New Roman" w:cs="Arial"/>
          <w:sz w:val="24"/>
          <w:szCs w:val="24"/>
          <w:lang w:val="sr-Latn-ME"/>
        </w:rPr>
        <w:sym w:font="Wingdings" w:char="F0FE"/>
      </w:r>
      <w:r>
        <w:rPr>
          <w:rFonts w:ascii="Arial" w:hAnsi="Arial" w:eastAsia="Times New Roman" w:cs="Arial"/>
          <w:sz w:val="24"/>
          <w:szCs w:val="24"/>
          <w:lang w:val="sr-Latn-ME"/>
        </w:rPr>
        <w:t xml:space="preserve"> </w:t>
      </w:r>
      <w:r>
        <w:rPr>
          <w:rFonts w:ascii="Arial" w:hAnsi="Arial" w:eastAsia="Times New Roman" w:cs="Arial"/>
          <w:b/>
          <w:sz w:val="24"/>
          <w:szCs w:val="24"/>
          <w:lang w:val="sr-Latn-ME"/>
        </w:rPr>
        <w:t>parametar kvalitet (K) – iskustvo lica kojima će biti povjereno izvršenje predmeta nabavke, vrednovaće se na sljedeći način: ukupno 70 bodova</w:t>
      </w:r>
    </w:p>
    <w:p>
      <w:pPr>
        <w:tabs>
          <w:tab w:val="right" w:pos="9638"/>
        </w:tabs>
        <w:jc w:val="both"/>
        <w:rPr>
          <w:rFonts w:ascii="Arial" w:hAnsi="Arial" w:eastAsia="Times New Roman" w:cs="Arial"/>
          <w:sz w:val="24"/>
          <w:szCs w:val="24"/>
          <w:lang w:val="sr-Latn-ME"/>
        </w:rPr>
      </w:pPr>
      <w:r>
        <w:rPr>
          <w:rFonts w:ascii="Arial" w:hAnsi="Arial" w:eastAsia="Times New Roman" w:cs="Arial"/>
          <w:sz w:val="24"/>
          <w:szCs w:val="24"/>
          <w:lang w:val="sr-Latn-ME"/>
        </w:rPr>
        <w:t>Maksimalan broj bodova po ovom parametru dodjeljuje se ponuđaču koji dostavi najveći broj referenci/potvrda, kojima se potvrđuje da su stručna lica kojima će biti povjereno izvršenje predmeta nabavke bila angažovana na izvršenju istih  usluga (</w:t>
      </w:r>
      <w:r>
        <w:rPr>
          <w:rFonts w:hint="default" w:ascii="Arial" w:hAnsi="Arial" w:eastAsia="Times New Roman"/>
          <w:sz w:val="24"/>
          <w:szCs w:val="24"/>
          <w:lang w:val="sr-Latn-ME"/>
        </w:rPr>
        <w:t>sprovođenje istraživanja neformalne ekonomije, kao i istraživanje drugih oblika neformalnih aktivnosti, pod kojima se smatraju neprijavljeni rad, neregistrovane ili djelimično registrovane djelatnosti i druge ekonomske aktivnosti koje se odvijaju van formalnih zakonskih i statističkih okvira, sprovedene putem empirijskog istzraživanja među privrednim subjektima i/ili domaćinstvima</w:t>
      </w:r>
      <w:r>
        <w:rPr>
          <w:rFonts w:ascii="Arial" w:hAnsi="Arial" w:eastAsia="Times New Roman" w:cs="Arial"/>
          <w:sz w:val="24"/>
          <w:szCs w:val="24"/>
          <w:lang w:val="sr-Latn-ME"/>
        </w:rPr>
        <w:t>).</w:t>
      </w:r>
    </w:p>
    <w:p>
      <w:pPr>
        <w:tabs>
          <w:tab w:val="right" w:pos="9638"/>
        </w:tabs>
        <w:jc w:val="both"/>
        <w:rPr>
          <w:rFonts w:ascii="Arial" w:hAnsi="Arial" w:eastAsia="Times New Roman" w:cs="Arial"/>
          <w:sz w:val="24"/>
          <w:szCs w:val="24"/>
          <w:lang w:val="sr-Latn-ME"/>
        </w:rPr>
      </w:pPr>
      <w:r>
        <w:rPr>
          <w:rFonts w:ascii="Arial" w:hAnsi="Arial" w:eastAsia="Times New Roman" w:cs="Arial"/>
          <w:sz w:val="24"/>
          <w:szCs w:val="24"/>
          <w:lang w:val="sr-Latn-ME"/>
        </w:rPr>
        <w:t>Maksimalno predviđeni broj bodova je 70.</w:t>
      </w:r>
    </w:p>
    <w:p>
      <w:pPr>
        <w:tabs>
          <w:tab w:val="right" w:pos="9638"/>
        </w:tabs>
        <w:jc w:val="both"/>
        <w:rPr>
          <w:rFonts w:ascii="Arial" w:hAnsi="Arial" w:eastAsia="Times New Roman" w:cs="Arial"/>
          <w:sz w:val="24"/>
          <w:szCs w:val="24"/>
          <w:lang w:val="sr-Latn-ME"/>
        </w:rPr>
      </w:pPr>
      <w:r>
        <w:rPr>
          <w:rFonts w:ascii="Arial" w:hAnsi="Arial" w:eastAsia="Times New Roman" w:cs="Arial"/>
          <w:sz w:val="24"/>
          <w:szCs w:val="24"/>
          <w:lang w:val="sr-Latn-ME"/>
        </w:rPr>
        <w:t>Bodovi ostalim ponuđačima, po ovom parametru, dodjeljuju se proporcionalno u odnosu na najveći broj ponuđenih referenci/potvrda stručnih lica kojima će biti povjereno izvršenje predmetne nabavke, po formuli:</w:t>
      </w:r>
    </w:p>
    <w:p>
      <w:pPr>
        <w:spacing w:before="96"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K= (K</w:t>
      </w:r>
      <w:r>
        <w:rPr>
          <w:rFonts w:ascii="Arial" w:hAnsi="Arial" w:eastAsia="Calibri" w:cs="Arial"/>
          <w:sz w:val="24"/>
          <w:szCs w:val="24"/>
          <w:vertAlign w:val="subscript"/>
          <w:lang w:val="sr-Latn-ME"/>
        </w:rPr>
        <w:t xml:space="preserve">p </w:t>
      </w:r>
      <w:r>
        <w:rPr>
          <w:rFonts w:ascii="Arial" w:hAnsi="Arial" w:eastAsia="Calibri" w:cs="Arial"/>
          <w:sz w:val="24"/>
          <w:szCs w:val="24"/>
          <w:lang w:val="sr-Latn-ME"/>
        </w:rPr>
        <w:t>/ K</w:t>
      </w:r>
      <w:r>
        <w:rPr>
          <w:rFonts w:ascii="Arial" w:hAnsi="Arial" w:eastAsia="Calibri" w:cs="Arial"/>
          <w:sz w:val="24"/>
          <w:szCs w:val="24"/>
          <w:vertAlign w:val="subscript"/>
          <w:lang w:val="sr-Latn-ME"/>
        </w:rPr>
        <w:t>max</w:t>
      </w:r>
      <w:r>
        <w:rPr>
          <w:rFonts w:ascii="Arial" w:hAnsi="Arial" w:eastAsia="Calibri" w:cs="Arial"/>
          <w:sz w:val="24"/>
          <w:szCs w:val="24"/>
          <w:lang w:val="sr-Latn-ME"/>
        </w:rPr>
        <w:t>) x 70</w:t>
      </w:r>
    </w:p>
    <w:p>
      <w:pPr>
        <w:spacing w:before="96"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w:t>
      </w:r>
      <w:r>
        <w:rPr>
          <w:rFonts w:ascii="Arial" w:hAnsi="Arial" w:eastAsia="Calibri" w:cs="Arial"/>
          <w:sz w:val="24"/>
          <w:szCs w:val="24"/>
          <w:vertAlign w:val="subscript"/>
          <w:lang w:val="sr-Latn-ME"/>
        </w:rPr>
        <w:t>p</w:t>
      </w:r>
      <w:r>
        <w:rPr>
          <w:rFonts w:ascii="Arial" w:hAnsi="Arial" w:eastAsia="Calibri" w:cs="Arial"/>
          <w:sz w:val="24"/>
          <w:szCs w:val="24"/>
          <w:lang w:val="sr-Latn-ME"/>
        </w:rPr>
        <w:t xml:space="preserve"> –  broj ponuđenih referenci/potvrda stručnih lica kojima će biti povjereno izvršenje nabavke</w:t>
      </w:r>
    </w:p>
    <w:p>
      <w:pPr>
        <w:spacing w:before="96"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w:t>
      </w:r>
      <w:r>
        <w:rPr>
          <w:rFonts w:ascii="Arial" w:hAnsi="Arial" w:eastAsia="Calibri" w:cs="Arial"/>
          <w:sz w:val="24"/>
          <w:szCs w:val="24"/>
          <w:vertAlign w:val="subscript"/>
          <w:lang w:val="sr-Latn-ME"/>
        </w:rPr>
        <w:t>max</w:t>
      </w:r>
      <w:r>
        <w:rPr>
          <w:rFonts w:ascii="Arial" w:hAnsi="Arial" w:eastAsia="Calibri" w:cs="Arial"/>
          <w:sz w:val="24"/>
          <w:szCs w:val="24"/>
          <w:lang w:val="sr-Latn-ME"/>
        </w:rPr>
        <w:t xml:space="preserve"> – najveći broj ponuđenih referenci/potvrda stručnih lica kojima će biti povjereno izvršenje nabavke</w:t>
      </w:r>
    </w:p>
    <w:p>
      <w:pPr>
        <w:tabs>
          <w:tab w:val="right" w:pos="9638"/>
        </w:tabs>
        <w:spacing w:after="0"/>
        <w:jc w:val="both"/>
        <w:rPr>
          <w:rFonts w:ascii="Arial" w:hAnsi="Arial" w:eastAsia="Times New Roman" w:cs="Arial"/>
          <w:sz w:val="24"/>
          <w:szCs w:val="24"/>
          <w:lang w:val="sr-Latn-ME"/>
        </w:rPr>
      </w:pPr>
    </w:p>
    <w:p>
      <w:pPr>
        <w:jc w:val="both"/>
        <w:rPr>
          <w:rFonts w:ascii="Arial" w:hAnsi="Arial" w:eastAsia="PMingLiU" w:cs="Arial"/>
          <w:sz w:val="24"/>
          <w:szCs w:val="24"/>
          <w:lang w:val="sr-Latn-ME" w:eastAsia="zh-TW"/>
        </w:rPr>
      </w:pPr>
      <w:r>
        <w:rPr>
          <w:rFonts w:ascii="Arial" w:hAnsi="Arial" w:eastAsia="Times New Roman" w:cs="Arial"/>
          <w:sz w:val="24"/>
          <w:szCs w:val="24"/>
          <w:lang w:val="sr-Latn-ME"/>
        </w:rPr>
        <w:t xml:space="preserve">Parametar se dokazuje prilaganjem potvrda izdatih od strane investitora, odnosno korisnika o pruženim usluga iz predmeta nabavke, tokom prethodnih godina, ali ne duže od </w:t>
      </w:r>
      <w:r>
        <w:rPr>
          <w:rFonts w:hint="default" w:ascii="Arial" w:hAnsi="Arial" w:eastAsia="Times New Roman" w:cs="Arial"/>
          <w:sz w:val="24"/>
          <w:szCs w:val="24"/>
          <w:lang w:val="sr-Latn-ME"/>
        </w:rPr>
        <w:t>5</w:t>
      </w:r>
      <w:r>
        <w:rPr>
          <w:rFonts w:ascii="Arial" w:hAnsi="Arial" w:eastAsia="Times New Roman" w:cs="Arial"/>
          <w:sz w:val="24"/>
          <w:szCs w:val="24"/>
          <w:lang w:val="sr-Latn-ME"/>
        </w:rPr>
        <w:t xml:space="preserve"> (</w:t>
      </w:r>
      <w:r>
        <w:rPr>
          <w:rFonts w:hint="default" w:ascii="Arial" w:hAnsi="Arial" w:eastAsia="Times New Roman" w:cs="Arial"/>
          <w:sz w:val="24"/>
          <w:szCs w:val="24"/>
          <w:lang w:val="sr-Latn-ME"/>
        </w:rPr>
        <w:t>pe</w:t>
      </w:r>
      <w:r>
        <w:rPr>
          <w:rFonts w:ascii="Arial" w:hAnsi="Arial" w:eastAsia="Times New Roman" w:cs="Arial"/>
          <w:sz w:val="24"/>
          <w:szCs w:val="24"/>
          <w:lang w:val="sr-Latn-ME"/>
        </w:rPr>
        <w:t>t) godina, računajući i godinu u kojoj je započet postupak javne nabavke. Potvrde moraju sadržati opis iz kojeg se nedvosmisleno zaključuje da su bila angažovana na izvršenju istih  usluga, vrijeme realizacije ugovora i konstataciju da je ugovor blagovremeno i kvalitetno izvršen. Naručilac zadržava pravo da kontaktira korisnika referenciranih usluga koji je izdao potvrdu radi pojašnjenja ili provjere navoda iz iste.</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6" w:name="_Toc62730561"/>
      <w:r>
        <w:rPr>
          <w:rFonts w:ascii="Arial" w:hAnsi="Arial" w:eastAsia="Times New Roman" w:cs="Times New Roman"/>
          <w:b/>
          <w:sz w:val="24"/>
          <w:szCs w:val="32"/>
          <w:lang w:val="sr-Latn-ME"/>
        </w:rPr>
        <w:t>8. NAČIN, MJESTO I VRIJEME PODNOŠENJA PONUDA I OTVARANJA PONUDA</w:t>
      </w:r>
      <w:bookmarkEnd w:id="6"/>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Ponude se podnose preko ESJN-a zaključno sa danom </w:t>
      </w:r>
      <w:r>
        <w:rPr>
          <w:rFonts w:hint="default" w:ascii="Arial" w:hAnsi="Arial" w:eastAsia="Times New Roman" w:cs="Arial"/>
          <w:color w:val="000000"/>
          <w:sz w:val="24"/>
          <w:szCs w:val="24"/>
          <w:highlight w:val="none"/>
          <w:lang w:val="sr-Latn-RS"/>
        </w:rPr>
        <w:t>05.01.2026</w:t>
      </w:r>
      <w:r>
        <w:rPr>
          <w:rFonts w:ascii="Arial" w:hAnsi="Arial" w:eastAsia="Times New Roman" w:cs="Arial"/>
          <w:color w:val="000000"/>
          <w:sz w:val="24"/>
          <w:szCs w:val="24"/>
          <w:highlight w:val="none"/>
          <w:lang w:val="sr-Latn-ME"/>
        </w:rPr>
        <w:t>. godine do 1</w:t>
      </w:r>
      <w:r>
        <w:rPr>
          <w:rFonts w:hint="default" w:ascii="Arial" w:hAnsi="Arial" w:eastAsia="Times New Roman" w:cs="Arial"/>
          <w:color w:val="000000"/>
          <w:sz w:val="24"/>
          <w:szCs w:val="24"/>
          <w:highlight w:val="none"/>
          <w:lang w:val="sr-Latn-RS"/>
        </w:rPr>
        <w:t>1</w:t>
      </w:r>
      <w:r>
        <w:rPr>
          <w:rFonts w:ascii="Arial" w:hAnsi="Arial" w:eastAsia="Times New Roman" w:cs="Arial"/>
          <w:color w:val="000000"/>
          <w:sz w:val="24"/>
          <w:szCs w:val="24"/>
          <w:highlight w:val="none"/>
          <w:lang w:val="sr-Latn-ME"/>
        </w:rPr>
        <w:t>:00 sati.</w:t>
      </w:r>
    </w:p>
    <w:p>
      <w:pPr>
        <w:spacing w:after="0" w:line="240" w:lineRule="auto"/>
        <w:jc w:val="both"/>
        <w:rPr>
          <w:rFonts w:ascii="Arial" w:hAnsi="Arial" w:eastAsia="Times New Roman" w:cs="Arial"/>
          <w:b/>
          <w:bCs/>
          <w:i/>
          <w:iCs/>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Otvaranje ponuda održaće se dana </w:t>
      </w:r>
      <w:r>
        <w:rPr>
          <w:rFonts w:hint="default" w:ascii="Arial" w:hAnsi="Arial" w:eastAsia="Times New Roman" w:cs="Arial"/>
          <w:color w:val="000000"/>
          <w:sz w:val="24"/>
          <w:szCs w:val="24"/>
          <w:highlight w:val="none"/>
          <w:lang w:val="sr-Latn-RS"/>
        </w:rPr>
        <w:t>05.01.2026</w:t>
      </w:r>
      <w:r>
        <w:rPr>
          <w:rFonts w:ascii="Arial" w:hAnsi="Arial" w:eastAsia="Times New Roman" w:cs="Arial"/>
          <w:color w:val="000000"/>
          <w:sz w:val="24"/>
          <w:szCs w:val="24"/>
          <w:highlight w:val="none"/>
          <w:lang w:val="sr-Latn-ME"/>
        </w:rPr>
        <w:t xml:space="preserve">. godine </w:t>
      </w:r>
      <w:r>
        <w:rPr>
          <w:rFonts w:hint="default" w:ascii="Arial" w:hAnsi="Arial" w:eastAsia="Times New Roman" w:cs="Arial"/>
          <w:color w:val="000000"/>
          <w:sz w:val="24"/>
          <w:szCs w:val="24"/>
          <w:highlight w:val="none"/>
          <w:lang w:val="sr-Latn-ME"/>
        </w:rPr>
        <w:t>u</w:t>
      </w:r>
      <w:r>
        <w:rPr>
          <w:rFonts w:ascii="Arial" w:hAnsi="Arial" w:eastAsia="Times New Roman" w:cs="Arial"/>
          <w:color w:val="000000"/>
          <w:sz w:val="24"/>
          <w:szCs w:val="24"/>
          <w:highlight w:val="none"/>
          <w:lang w:val="sr-Latn-ME"/>
        </w:rPr>
        <w:t xml:space="preserve"> 1</w:t>
      </w:r>
      <w:r>
        <w:rPr>
          <w:rFonts w:hint="default" w:ascii="Arial" w:hAnsi="Arial" w:eastAsia="Times New Roman" w:cs="Arial"/>
          <w:color w:val="000000"/>
          <w:sz w:val="24"/>
          <w:szCs w:val="24"/>
          <w:highlight w:val="none"/>
          <w:lang w:val="sr-Latn-RS"/>
        </w:rPr>
        <w:t>1</w:t>
      </w:r>
      <w:r>
        <w:rPr>
          <w:rFonts w:ascii="Arial" w:hAnsi="Arial" w:eastAsia="Times New Roman" w:cs="Arial"/>
          <w:color w:val="000000"/>
          <w:sz w:val="24"/>
          <w:szCs w:val="24"/>
          <w:highlight w:val="none"/>
          <w:lang w:val="sr-Latn-ME"/>
        </w:rPr>
        <w:t xml:space="preserve">:00 sati. </w:t>
      </w:r>
    </w:p>
    <w:p>
      <w:pPr>
        <w:spacing w:after="0" w:line="240" w:lineRule="auto"/>
        <w:jc w:val="both"/>
        <w:rPr>
          <w:rFonts w:ascii="Arial" w:hAnsi="Arial" w:eastAsia="Times New Roman" w:cs="Arial"/>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Garancija ponude podnosi se u elektronskom obliku putem ESJN, izuzetno ako ponuđač ne može garanciju ponude da podnese u elekotronskom obliku, </w:t>
      </w:r>
      <w:r>
        <w:rPr>
          <w:rFonts w:ascii="Arial" w:hAnsi="Arial" w:eastAsia="Times New Roman" w:cs="Arial"/>
          <w:b/>
          <w:color w:val="000000"/>
          <w:sz w:val="24"/>
          <w:szCs w:val="24"/>
          <w:highlight w:val="none"/>
          <w:lang w:val="sr-Latn-ME"/>
        </w:rPr>
        <w:t>dužan je da putem ESJN dostavi kopiju garancije ponude, a da original garancije ponude dostavi, odnosno uruči naručiocu</w:t>
      </w:r>
      <w:r>
        <w:rPr>
          <w:rFonts w:ascii="Arial" w:hAnsi="Arial" w:eastAsia="Times New Roman" w:cs="Arial"/>
          <w:color w:val="000000"/>
          <w:sz w:val="24"/>
          <w:szCs w:val="24"/>
          <w:highlight w:val="none"/>
          <w:lang w:val="sr-Latn-ME"/>
        </w:rPr>
        <w:t>:</w:t>
      </w:r>
    </w:p>
    <w:p>
      <w:pPr>
        <w:pStyle w:val="13"/>
        <w:numPr>
          <w:ilvl w:val="0"/>
          <w:numId w:val="7"/>
        </w:numPr>
        <w:spacing w:after="0" w:line="240" w:lineRule="auto"/>
        <w:jc w:val="both"/>
        <w:rPr>
          <w:rFonts w:ascii="Arial" w:hAnsi="Arial" w:eastAsia="Times New Roman" w:cs="Arial"/>
          <w:sz w:val="24"/>
          <w:szCs w:val="24"/>
          <w:highlight w:val="none"/>
          <w:lang w:val="sr-Latn-ME"/>
        </w:rPr>
      </w:pPr>
      <w:r>
        <w:rPr>
          <w:rFonts w:ascii="Arial" w:hAnsi="Arial" w:eastAsia="Times New Roman" w:cs="Arial"/>
          <w:color w:val="000000"/>
          <w:sz w:val="24"/>
          <w:szCs w:val="24"/>
          <w:highlight w:val="none"/>
          <w:lang w:val="sr-Latn-ME"/>
        </w:rPr>
        <w:t xml:space="preserve">neposrednom predajom na arhivi naručioca na adresi </w:t>
      </w:r>
      <w:r>
        <w:rPr>
          <w:rFonts w:ascii="Arial" w:hAnsi="Arial" w:eastAsia="Calibri" w:cs="Arial"/>
          <w:color w:val="000000"/>
          <w:sz w:val="24"/>
          <w:szCs w:val="24"/>
          <w:highlight w:val="none"/>
          <w:lang w:val="sr-Latn-ME"/>
        </w:rPr>
        <w:t xml:space="preserve">Bulevar </w:t>
      </w:r>
      <w:r>
        <w:rPr>
          <w:rFonts w:ascii="Arial" w:hAnsi="Arial" w:eastAsia="Times New Roman" w:cs="Arial"/>
          <w:sz w:val="24"/>
          <w:szCs w:val="24"/>
          <w:highlight w:val="none"/>
          <w:lang w:val="sr-Latn-ME"/>
        </w:rPr>
        <w:t>Stanka Dragojevića br. 2, ili</w:t>
      </w:r>
    </w:p>
    <w:p>
      <w:pPr>
        <w:pStyle w:val="13"/>
        <w:numPr>
          <w:ilvl w:val="0"/>
          <w:numId w:val="7"/>
        </w:num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putem pošte preporučenom pošiljkom sa povratnicom </w:t>
      </w:r>
      <w:r>
        <w:rPr>
          <w:rFonts w:ascii="Arial" w:hAnsi="Arial" w:eastAsia="Calibri" w:cs="Arial"/>
          <w:color w:val="000000"/>
          <w:sz w:val="24"/>
          <w:szCs w:val="24"/>
          <w:highlight w:val="none"/>
          <w:lang w:val="sr-Latn-ME"/>
        </w:rPr>
        <w:t xml:space="preserve">na adresi Bulevar </w:t>
      </w:r>
      <w:r>
        <w:rPr>
          <w:rFonts w:ascii="Arial" w:hAnsi="Arial" w:eastAsia="Times New Roman" w:cs="Arial"/>
          <w:sz w:val="24"/>
          <w:szCs w:val="24"/>
          <w:highlight w:val="none"/>
          <w:lang w:val="sr-Latn-ME"/>
        </w:rPr>
        <w:t xml:space="preserve">Stanka Dragojevića br. 2, </w:t>
      </w: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radnim danima od 08:00 do 14:00 sati, zaključno sa danom </w:t>
      </w:r>
      <w:r>
        <w:rPr>
          <w:rFonts w:hint="default" w:ascii="Arial" w:hAnsi="Arial" w:eastAsia="Times New Roman" w:cs="Arial"/>
          <w:color w:val="000000"/>
          <w:sz w:val="24"/>
          <w:szCs w:val="24"/>
          <w:highlight w:val="none"/>
          <w:lang w:val="sr-Latn-RS"/>
        </w:rPr>
        <w:t>05.01.2026</w:t>
      </w:r>
      <w:r>
        <w:rPr>
          <w:rFonts w:ascii="Arial" w:hAnsi="Arial" w:eastAsia="Times New Roman" w:cs="Arial"/>
          <w:color w:val="000000"/>
          <w:sz w:val="24"/>
          <w:szCs w:val="24"/>
          <w:highlight w:val="none"/>
          <w:lang w:val="sr-Latn-ME"/>
        </w:rPr>
        <w:t xml:space="preserve">. godine </w:t>
      </w:r>
      <w:r>
        <w:rPr>
          <w:rFonts w:ascii="Arial" w:hAnsi="Arial" w:eastAsia="Times New Roman" w:cs="Arial"/>
          <w:b/>
          <w:color w:val="000000"/>
          <w:sz w:val="24"/>
          <w:szCs w:val="24"/>
          <w:highlight w:val="none"/>
          <w:lang w:val="sr-Latn-ME"/>
        </w:rPr>
        <w:t>najkasnije prije isteka roka za podnošenje ponuda</w:t>
      </w:r>
      <w:r>
        <w:rPr>
          <w:rFonts w:ascii="Arial" w:hAnsi="Arial" w:eastAsia="Times New Roman" w:cs="Arial"/>
          <w:color w:val="000000"/>
          <w:sz w:val="24"/>
          <w:szCs w:val="24"/>
          <w:highlight w:val="none"/>
          <w:lang w:val="sr-Latn-ME"/>
        </w:rPr>
        <w:t xml:space="preserve"> (do 1</w:t>
      </w:r>
      <w:r>
        <w:rPr>
          <w:rFonts w:hint="default" w:ascii="Arial" w:hAnsi="Arial" w:eastAsia="Times New Roman" w:cs="Arial"/>
          <w:color w:val="000000"/>
          <w:sz w:val="24"/>
          <w:szCs w:val="24"/>
          <w:highlight w:val="none"/>
          <w:lang w:val="sr-Latn-RS"/>
        </w:rPr>
        <w:t>1</w:t>
      </w:r>
      <w:r>
        <w:rPr>
          <w:rFonts w:ascii="Arial" w:hAnsi="Arial" w:eastAsia="Times New Roman" w:cs="Arial"/>
          <w:color w:val="000000"/>
          <w:sz w:val="24"/>
          <w:szCs w:val="24"/>
          <w:highlight w:val="none"/>
          <w:lang w:val="sr-Latn-ME"/>
        </w:rPr>
        <w:t>:00 sati).</w:t>
      </w:r>
    </w:p>
    <w:p>
      <w:pPr>
        <w:spacing w:after="0" w:line="240" w:lineRule="auto"/>
        <w:rPr>
          <w:rFonts w:ascii="Arial" w:hAnsi="Arial" w:eastAsia="Times New Roman" w:cs="Arial"/>
          <w:i/>
          <w:iCs/>
          <w:color w:val="000000"/>
          <w:sz w:val="24"/>
          <w:szCs w:val="24"/>
          <w:highlight w:val="none"/>
          <w:lang w:val="sr-Latn-ME"/>
        </w:rPr>
      </w:pPr>
    </w:p>
    <w:p>
      <w:pPr>
        <w:spacing w:after="0" w:line="240" w:lineRule="auto"/>
        <w:jc w:val="both"/>
        <w:rPr>
          <w:rFonts w:ascii="Arial" w:hAnsi="Arial" w:eastAsia="Calibri" w:cs="Arial"/>
          <w:sz w:val="24"/>
          <w:szCs w:val="24"/>
          <w:highlight w:val="none"/>
          <w:lang w:val="sr-Latn-CS"/>
        </w:rPr>
      </w:pPr>
      <w:r>
        <w:rPr>
          <w:rFonts w:ascii="Arial" w:hAnsi="Arial" w:eastAsia="Times New Roman" w:cs="Arial"/>
          <w:color w:val="000000"/>
          <w:sz w:val="24"/>
          <w:szCs w:val="24"/>
          <w:highlight w:val="none"/>
          <w:lang w:val="sr-Latn-ME"/>
        </w:rPr>
        <w:t xml:space="preserve">Original garancije ponude u pisanom obliku dostavlja se u koverti, na kojoj se navodi: naziv i sjedište naručioca, </w:t>
      </w:r>
      <w:r>
        <w:rPr>
          <w:rFonts w:ascii="Arial" w:hAnsi="Arial" w:eastAsia="Calibri" w:cs="Arial"/>
          <w:sz w:val="24"/>
          <w:szCs w:val="24"/>
          <w:highlight w:val="none"/>
          <w:lang w:val="sr-Latn-CS"/>
        </w:rPr>
        <w:t>broj tenderske dokumentacije za koju se podnosi garancija, naziv, sjedište i adresa ponuđača i naznake „garancija ponude“ i "ne otvaraj prije roka za otvaranja ponuda".</w:t>
      </w:r>
    </w:p>
    <w:p>
      <w:pPr>
        <w:spacing w:after="0" w:line="240" w:lineRule="auto"/>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after="0" w:line="240" w:lineRule="auto"/>
        <w:outlineLvl w:val="0"/>
        <w:rPr>
          <w:rFonts w:ascii="Arial" w:hAnsi="Arial" w:eastAsia="Times New Roman" w:cs="Times New Roman"/>
          <w:b/>
          <w:sz w:val="24"/>
          <w:szCs w:val="32"/>
          <w:lang w:val="sr-Latn-ME"/>
        </w:rPr>
      </w:pPr>
      <w:bookmarkStart w:id="7"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8" w:name="_Toc62730563"/>
      <w:r>
        <w:rPr>
          <w:rFonts w:ascii="Arial" w:hAnsi="Arial" w:eastAsia="Times New Roman" w:cs="Times New Roman"/>
          <w:b/>
          <w:sz w:val="24"/>
          <w:szCs w:val="32"/>
          <w:lang w:val="sr-Latn-ME"/>
        </w:rPr>
        <w:t>10. TAJNOST PODATAKA</w:t>
      </w:r>
      <w:bookmarkEnd w:id="8"/>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4"/>
      <w:r>
        <w:rPr>
          <w:rFonts w:ascii="Arial" w:hAnsi="Arial" w:eastAsia="Times New Roman" w:cs="Times New Roman"/>
          <w:b/>
          <w:sz w:val="24"/>
          <w:szCs w:val="32"/>
          <w:lang w:val="sr-Latn-ME"/>
        </w:rPr>
        <w:t>11. UPUTSTVO ZA SAČINJAVANJE PONUDE</w:t>
      </w:r>
      <w:bookmarkEnd w:id="9"/>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0" w:name="_Toc62730565"/>
      <w:r>
        <w:rPr>
          <w:rFonts w:ascii="Arial" w:hAnsi="Arial" w:eastAsia="Times New Roman" w:cs="Times New Roman"/>
          <w:b/>
          <w:sz w:val="24"/>
          <w:szCs w:val="32"/>
          <w:lang w:val="sr-Latn-ME"/>
        </w:rPr>
        <w:t>12. NAČIN ZAKLJUČIVANJA I IZMJENE UGOVORA O JAVNOJ NABAVCI</w:t>
      </w:r>
      <w:bookmarkEnd w:id="10"/>
    </w:p>
    <w:p>
      <w:pPr>
        <w:spacing w:after="0" w:line="240" w:lineRule="auto"/>
        <w:jc w:val="both"/>
        <w:rPr>
          <w:rFonts w:ascii="Arial" w:hAnsi="Arial" w:eastAsia="Times New Roman" w:cs="Arial"/>
          <w:i/>
          <w:sz w:val="24"/>
          <w:szCs w:val="24"/>
          <w:highlight w:val="none"/>
          <w:lang w:val="sr-Latn-ME"/>
        </w:rPr>
      </w:pPr>
    </w:p>
    <w:p>
      <w:pPr>
        <w:spacing w:after="0" w:line="240" w:lineRule="auto"/>
        <w:jc w:val="both"/>
        <w:rPr>
          <w:rFonts w:ascii="Arial" w:hAnsi="Arial" w:eastAsia="Times New Roman" w:cs="Arial"/>
          <w:sz w:val="24"/>
          <w:szCs w:val="24"/>
          <w:highlight w:val="none"/>
          <w:lang w:val="sr-Latn-ME"/>
        </w:rPr>
      </w:pPr>
      <w:r>
        <w:rPr>
          <w:rFonts w:ascii="Arial" w:hAnsi="Arial" w:eastAsia="Times New Roman" w:cs="Arial"/>
          <w:sz w:val="24"/>
          <w:szCs w:val="24"/>
          <w:highlight w:val="none"/>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ascii="Arial" w:hAnsi="Arial" w:eastAsia="Times New Roman" w:cs="Arial"/>
          <w:sz w:val="24"/>
          <w:szCs w:val="24"/>
          <w:highlight w:val="none"/>
          <w:lang w:val="sr-Latn-ME"/>
        </w:rPr>
      </w:pPr>
    </w:p>
    <w:p>
      <w:pPr>
        <w:spacing w:after="0" w:line="240" w:lineRule="auto"/>
        <w:jc w:val="both"/>
        <w:rPr>
          <w:rFonts w:ascii="Arial" w:hAnsi="Arial" w:eastAsia="Times New Roman" w:cs="Arial"/>
          <w:sz w:val="24"/>
          <w:szCs w:val="24"/>
          <w:highlight w:val="none"/>
          <w:lang w:val="sr-Latn-ME"/>
        </w:rPr>
      </w:pPr>
      <w:r>
        <w:rPr>
          <w:rFonts w:ascii="Arial" w:hAnsi="Arial" w:eastAsia="Times New Roman" w:cs="Arial"/>
          <w:sz w:val="24"/>
          <w:szCs w:val="24"/>
          <w:highlight w:val="none"/>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ascii="Arial" w:hAnsi="Arial" w:eastAsia="Times New Roman" w:cs="Arial"/>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Ugovor između naručioca i ponuđača čija je ponuda izabrana kao najpovoljnija, </w:t>
      </w:r>
      <w:r>
        <w:rPr>
          <w:rFonts w:ascii="Arial" w:hAnsi="Arial" w:eastAsia="Times New Roman" w:cs="Arial"/>
          <w:b/>
          <w:color w:val="000000"/>
          <w:sz w:val="24"/>
          <w:szCs w:val="24"/>
          <w:highlight w:val="none"/>
          <w:lang w:val="sr-Latn-ME"/>
        </w:rPr>
        <w:t>pored uslova koji su propisani ovom tenderskom dokumentacijom</w:t>
      </w:r>
      <w:r>
        <w:rPr>
          <w:rFonts w:ascii="Arial" w:hAnsi="Arial" w:eastAsia="Times New Roman" w:cs="Arial"/>
          <w:color w:val="000000"/>
          <w:sz w:val="24"/>
          <w:szCs w:val="24"/>
          <w:highlight w:val="none"/>
          <w:lang w:val="sr-Latn-ME"/>
        </w:rPr>
        <w:t>, će sadržati i sljedeće:</w:t>
      </w:r>
      <w:r>
        <w:rPr>
          <w:rFonts w:ascii="Arial" w:hAnsi="Arial" w:eastAsia="Times New Roman" w:cs="Arial"/>
          <w:color w:val="000000"/>
          <w:sz w:val="24"/>
          <w:szCs w:val="24"/>
          <w:highlight w:val="none"/>
          <w:vertAlign w:val="superscript"/>
          <w:lang w:val="sr-Latn-ME"/>
        </w:rPr>
        <w:footnoteReference w:id="7"/>
      </w:r>
    </w:p>
    <w:p>
      <w:pPr>
        <w:spacing w:after="0" w:line="240" w:lineRule="auto"/>
        <w:jc w:val="both"/>
        <w:rPr>
          <w:rFonts w:ascii="Arial" w:hAnsi="Arial" w:eastAsia="Times New Roman" w:cs="Arial"/>
          <w:color w:val="000000"/>
          <w:sz w:val="24"/>
          <w:szCs w:val="24"/>
          <w:highlight w:val="none"/>
          <w:lang w:val="sr-Latn-ME"/>
        </w:rPr>
      </w:pPr>
    </w:p>
    <w:p>
      <w:pPr>
        <w:spacing w:line="240" w:lineRule="auto"/>
        <w:jc w:val="both"/>
        <w:rPr>
          <w:rFonts w:ascii="Arial" w:hAnsi="Arial" w:eastAsia="Times New Roman" w:cs="Arial"/>
          <w:color w:val="000000"/>
          <w:sz w:val="24"/>
          <w:szCs w:val="24"/>
          <w:highlight w:val="none"/>
          <w:u w:val="single"/>
          <w:lang w:val="sr-Latn-ME"/>
        </w:rPr>
      </w:pPr>
      <w:r>
        <w:rPr>
          <w:rFonts w:ascii="Arial" w:hAnsi="Arial" w:eastAsia="Times New Roman" w:cs="Arial"/>
          <w:color w:val="000000"/>
          <w:sz w:val="24"/>
          <w:szCs w:val="24"/>
          <w:highlight w:val="none"/>
          <w:u w:val="single"/>
          <w:lang w:val="sr-Latn-ME"/>
        </w:rPr>
        <w:t>Obaveze ugovornih strana</w:t>
      </w:r>
    </w:p>
    <w:p>
      <w:pPr>
        <w:spacing w:after="0" w:line="276" w:lineRule="auto"/>
        <w:rPr>
          <w:rFonts w:ascii="Arial" w:hAnsi="Arial" w:eastAsia="Calibri" w:cs="Arial"/>
          <w:bCs/>
          <w:sz w:val="24"/>
          <w:szCs w:val="24"/>
          <w:highlight w:val="none"/>
          <w:lang w:val="es-AR"/>
        </w:rPr>
      </w:pPr>
      <w:r>
        <w:rPr>
          <w:rFonts w:ascii="Arial" w:hAnsi="Arial" w:eastAsia="Calibri" w:cs="Arial"/>
          <w:sz w:val="24"/>
          <w:szCs w:val="24"/>
          <w:highlight w:val="none"/>
          <w:lang w:val="es-AR"/>
        </w:rPr>
        <w:t>Izvršilac</w:t>
      </w:r>
      <w:r>
        <w:rPr>
          <w:rFonts w:ascii="Arial" w:hAnsi="Arial" w:eastAsia="Calibri" w:cs="Arial"/>
          <w:bCs/>
          <w:sz w:val="24"/>
          <w:szCs w:val="24"/>
          <w:highlight w:val="none"/>
          <w:lang w:val="es-AR"/>
        </w:rPr>
        <w:t xml:space="preserve"> se obavezuje:</w:t>
      </w:r>
    </w:p>
    <w:p>
      <w:pPr>
        <w:numPr>
          <w:ilvl w:val="0"/>
          <w:numId w:val="6"/>
        </w:numPr>
        <w:tabs>
          <w:tab w:val="left" w:pos="284"/>
        </w:tabs>
        <w:spacing w:after="0" w:line="240" w:lineRule="auto"/>
        <w:jc w:val="both"/>
        <w:rPr>
          <w:rFonts w:ascii="Arial" w:hAnsi="Arial" w:eastAsia="Calibri" w:cs="Arial"/>
          <w:sz w:val="24"/>
          <w:szCs w:val="24"/>
          <w:highlight w:val="none"/>
          <w:lang w:val="it-IT"/>
        </w:rPr>
      </w:pPr>
      <w:r>
        <w:rPr>
          <w:rFonts w:ascii="Arial" w:hAnsi="Arial" w:eastAsia="Calibri" w:cs="Arial"/>
          <w:sz w:val="24"/>
          <w:szCs w:val="24"/>
          <w:highlight w:val="none"/>
          <w:lang w:val="it-IT"/>
        </w:rPr>
        <w:t xml:space="preserve">da </w:t>
      </w:r>
      <w:r>
        <w:rPr>
          <w:rFonts w:ascii="Arial" w:hAnsi="Arial" w:eastAsia="Calibri" w:cs="Arial"/>
          <w:sz w:val="24"/>
          <w:szCs w:val="24"/>
          <w:highlight w:val="none"/>
        </w:rPr>
        <w:t>usluge</w:t>
      </w:r>
      <w:r>
        <w:rPr>
          <w:rFonts w:ascii="Arial" w:hAnsi="Arial" w:eastAsia="Calibri" w:cs="Arial"/>
          <w:sz w:val="24"/>
          <w:szCs w:val="24"/>
          <w:highlight w:val="none"/>
          <w:lang w:val="it-IT"/>
        </w:rPr>
        <w:t xml:space="preserve"> koj</w:t>
      </w:r>
      <w:r>
        <w:rPr>
          <w:rFonts w:ascii="Arial" w:hAnsi="Arial" w:eastAsia="Calibri" w:cs="Arial"/>
          <w:sz w:val="24"/>
          <w:szCs w:val="24"/>
          <w:highlight w:val="none"/>
        </w:rPr>
        <w:t>e</w:t>
      </w:r>
      <w:r>
        <w:rPr>
          <w:rFonts w:ascii="Arial" w:hAnsi="Arial" w:eastAsia="Calibri" w:cs="Arial"/>
          <w:sz w:val="24"/>
          <w:szCs w:val="24"/>
          <w:highlight w:val="none"/>
          <w:lang w:val="it-IT"/>
        </w:rPr>
        <w:t xml:space="preserve"> su predmet ovog Ugovora izvodi u skladu sa važećim </w:t>
      </w:r>
      <w:r>
        <w:rPr>
          <w:rFonts w:ascii="Arial" w:hAnsi="Arial" w:eastAsia="Calibri" w:cs="Arial"/>
          <w:sz w:val="24"/>
          <w:szCs w:val="24"/>
          <w:highlight w:val="none"/>
        </w:rPr>
        <w:t xml:space="preserve">zakonskim </w:t>
      </w:r>
      <w:r>
        <w:rPr>
          <w:rFonts w:ascii="Arial" w:hAnsi="Arial" w:eastAsia="Calibri" w:cs="Arial"/>
          <w:sz w:val="24"/>
          <w:szCs w:val="24"/>
          <w:highlight w:val="none"/>
          <w:lang w:val="it-IT"/>
        </w:rPr>
        <w:t xml:space="preserve">propisima i standardima za ovu vrstu </w:t>
      </w:r>
      <w:r>
        <w:rPr>
          <w:rFonts w:ascii="Arial" w:hAnsi="Arial" w:eastAsia="Calibri" w:cs="Arial"/>
          <w:sz w:val="24"/>
          <w:szCs w:val="24"/>
          <w:highlight w:val="none"/>
        </w:rPr>
        <w:t>posla, uz poštovanje bezbjednosnih procedura</w:t>
      </w:r>
      <w:r>
        <w:rPr>
          <w:rFonts w:ascii="Arial" w:hAnsi="Arial" w:eastAsia="Calibri" w:cs="Arial"/>
          <w:sz w:val="24"/>
          <w:szCs w:val="24"/>
          <w:highlight w:val="none"/>
          <w:lang w:val="it-IT"/>
        </w:rPr>
        <w:t>;</w:t>
      </w:r>
    </w:p>
    <w:p>
      <w:pPr>
        <w:numPr>
          <w:ilvl w:val="0"/>
          <w:numId w:val="6"/>
        </w:numPr>
        <w:tabs>
          <w:tab w:val="left" w:pos="284"/>
        </w:tabs>
        <w:spacing w:after="0" w:line="240" w:lineRule="auto"/>
        <w:jc w:val="both"/>
        <w:rPr>
          <w:rFonts w:ascii="Arial" w:hAnsi="Arial" w:eastAsia="Calibri" w:cs="Arial"/>
          <w:sz w:val="24"/>
          <w:szCs w:val="24"/>
          <w:highlight w:val="none"/>
          <w:lang w:val="it-IT"/>
        </w:rPr>
      </w:pPr>
      <w:r>
        <w:rPr>
          <w:rFonts w:ascii="Arial" w:hAnsi="Arial" w:eastAsia="Calibri" w:cs="Arial"/>
          <w:sz w:val="24"/>
          <w:szCs w:val="24"/>
          <w:highlight w:val="none"/>
          <w:lang w:val="it-IT"/>
        </w:rPr>
        <w:t>da usluge pruža sa kvalifikovanom radnom snagom, sa potrebnim iskustvom shodno  uslovima iz tenderske dokumentcije;</w:t>
      </w:r>
    </w:p>
    <w:p>
      <w:pPr>
        <w:numPr>
          <w:ilvl w:val="0"/>
          <w:numId w:val="6"/>
        </w:numPr>
        <w:tabs>
          <w:tab w:val="left" w:pos="284"/>
        </w:tabs>
        <w:spacing w:after="0" w:line="240" w:lineRule="auto"/>
        <w:jc w:val="both"/>
        <w:rPr>
          <w:rFonts w:ascii="Arial" w:hAnsi="Arial" w:eastAsia="Calibri" w:cs="Arial"/>
          <w:sz w:val="24"/>
          <w:szCs w:val="24"/>
          <w:highlight w:val="none"/>
          <w:lang w:val="it-IT"/>
        </w:rPr>
      </w:pPr>
      <w:r>
        <w:rPr>
          <w:rFonts w:ascii="Arial" w:hAnsi="Arial" w:eastAsia="Calibri" w:cs="Arial"/>
          <w:sz w:val="24"/>
          <w:szCs w:val="24"/>
          <w:highlight w:val="none"/>
          <w:lang w:val="it-IT"/>
        </w:rPr>
        <w:t xml:space="preserve">da rukovodi izvršenjem svih </w:t>
      </w:r>
      <w:r>
        <w:rPr>
          <w:rFonts w:ascii="Arial" w:hAnsi="Arial" w:eastAsia="Calibri" w:cs="Arial"/>
          <w:sz w:val="24"/>
          <w:szCs w:val="24"/>
          <w:highlight w:val="none"/>
        </w:rPr>
        <w:t>usluga</w:t>
      </w:r>
      <w:r>
        <w:rPr>
          <w:rFonts w:ascii="Arial" w:hAnsi="Arial" w:eastAsia="Calibri" w:cs="Arial"/>
          <w:sz w:val="24"/>
          <w:szCs w:val="24"/>
          <w:highlight w:val="none"/>
          <w:lang w:val="it-IT"/>
        </w:rPr>
        <w:t>;</w:t>
      </w:r>
    </w:p>
    <w:p>
      <w:pPr>
        <w:numPr>
          <w:ilvl w:val="0"/>
          <w:numId w:val="6"/>
        </w:numPr>
        <w:tabs>
          <w:tab w:val="left" w:pos="284"/>
        </w:tabs>
        <w:spacing w:after="0" w:line="240" w:lineRule="auto"/>
        <w:jc w:val="both"/>
        <w:rPr>
          <w:rFonts w:ascii="Arial" w:hAnsi="Arial" w:eastAsia="Calibri" w:cs="Arial"/>
          <w:sz w:val="24"/>
          <w:szCs w:val="24"/>
          <w:highlight w:val="none"/>
          <w:lang w:val="it-IT"/>
        </w:rPr>
      </w:pPr>
      <w:r>
        <w:rPr>
          <w:rFonts w:ascii="Arial" w:hAnsi="Arial" w:eastAsia="Calibri" w:cs="Arial"/>
          <w:sz w:val="24"/>
          <w:szCs w:val="24"/>
          <w:highlight w:val="none"/>
          <w:lang w:val="pl-PL"/>
        </w:rPr>
        <w:t xml:space="preserve">da obezbijedi kompletnu dokumentaciju po kojoj se izvode </w:t>
      </w:r>
      <w:r>
        <w:rPr>
          <w:rFonts w:ascii="Arial" w:hAnsi="Arial" w:eastAsia="Calibri" w:cs="Arial"/>
          <w:sz w:val="24"/>
          <w:szCs w:val="24"/>
          <w:highlight w:val="none"/>
          <w:lang w:val="sr-Latn-CS"/>
        </w:rPr>
        <w:t>usluge</w:t>
      </w:r>
      <w:r>
        <w:rPr>
          <w:rFonts w:ascii="Arial" w:hAnsi="Arial" w:eastAsia="Calibri" w:cs="Arial"/>
          <w:sz w:val="24"/>
          <w:szCs w:val="24"/>
          <w:highlight w:val="none"/>
          <w:lang w:val="pl-PL"/>
        </w:rPr>
        <w:t>;</w:t>
      </w:r>
    </w:p>
    <w:p>
      <w:pPr>
        <w:numPr>
          <w:ilvl w:val="0"/>
          <w:numId w:val="6"/>
        </w:numPr>
        <w:tabs>
          <w:tab w:val="left" w:pos="284"/>
        </w:tabs>
        <w:spacing w:after="0" w:line="240" w:lineRule="auto"/>
        <w:jc w:val="both"/>
        <w:rPr>
          <w:rFonts w:ascii="Arial" w:hAnsi="Arial" w:eastAsia="Calibri" w:cs="Arial"/>
          <w:sz w:val="24"/>
          <w:szCs w:val="24"/>
          <w:highlight w:val="none"/>
          <w:lang w:val="it-IT"/>
        </w:rPr>
      </w:pPr>
      <w:r>
        <w:rPr>
          <w:rFonts w:ascii="Arial" w:hAnsi="Arial" w:eastAsia="Calibri" w:cs="Arial"/>
          <w:sz w:val="24"/>
          <w:szCs w:val="24"/>
          <w:highlight w:val="none"/>
          <w:lang w:val="it-IT"/>
        </w:rPr>
        <w:t>da odmah, po zahtjevu nadzornog organa Naručioca, pristupi otklanjanju uočenih nedostataka i propusta u obavljanju posla;</w:t>
      </w:r>
    </w:p>
    <w:p>
      <w:pPr>
        <w:numPr>
          <w:ilvl w:val="0"/>
          <w:numId w:val="6"/>
        </w:numPr>
        <w:tabs>
          <w:tab w:val="left" w:pos="284"/>
        </w:tabs>
        <w:spacing w:after="0" w:line="240" w:lineRule="auto"/>
        <w:jc w:val="both"/>
        <w:rPr>
          <w:rFonts w:ascii="Arial" w:hAnsi="Arial" w:eastAsia="Calibri" w:cs="Arial"/>
          <w:sz w:val="24"/>
          <w:szCs w:val="24"/>
          <w:highlight w:val="none"/>
        </w:rPr>
      </w:pPr>
      <w:r>
        <w:rPr>
          <w:rFonts w:ascii="Arial" w:hAnsi="Arial" w:eastAsia="Calibri" w:cs="Arial"/>
          <w:sz w:val="24"/>
          <w:szCs w:val="24"/>
          <w:highlight w:val="none"/>
        </w:rPr>
        <w:t>da nadoknadi svu štetu Naručiocu, koja bude prouzrokovana nesavjesnim ili nekvalitetnim postupanjem Izvršioca, suprotno pažnji dobrog stručnjaka.</w:t>
      </w:r>
    </w:p>
    <w:p>
      <w:pPr>
        <w:tabs>
          <w:tab w:val="left" w:pos="284"/>
        </w:tabs>
        <w:spacing w:after="0" w:line="240" w:lineRule="auto"/>
        <w:ind w:left="360"/>
        <w:jc w:val="both"/>
        <w:rPr>
          <w:rFonts w:ascii="Arial" w:hAnsi="Arial" w:eastAsia="Calibri" w:cs="Arial"/>
          <w:sz w:val="24"/>
          <w:szCs w:val="24"/>
          <w:highlight w:val="none"/>
        </w:rPr>
      </w:pPr>
    </w:p>
    <w:p>
      <w:pPr>
        <w:tabs>
          <w:tab w:val="left" w:pos="284"/>
        </w:tabs>
        <w:spacing w:after="0" w:line="276" w:lineRule="auto"/>
        <w:jc w:val="both"/>
        <w:rPr>
          <w:rFonts w:ascii="Arial" w:hAnsi="Arial" w:eastAsia="Calibri" w:cs="Arial"/>
          <w:sz w:val="24"/>
          <w:szCs w:val="24"/>
          <w:highlight w:val="none"/>
          <w:lang w:val="sr-Latn-CS"/>
        </w:rPr>
      </w:pPr>
      <w:r>
        <w:rPr>
          <w:rFonts w:ascii="Arial" w:hAnsi="Arial" w:eastAsia="Calibri" w:cs="Arial"/>
          <w:sz w:val="24"/>
          <w:szCs w:val="24"/>
          <w:highlight w:val="none"/>
          <w:lang w:val="sr-Latn-CS"/>
        </w:rPr>
        <w:t>Naručilac se obavezuje:</w:t>
      </w:r>
    </w:p>
    <w:p>
      <w:pPr>
        <w:numPr>
          <w:ilvl w:val="0"/>
          <w:numId w:val="6"/>
        </w:numPr>
        <w:tabs>
          <w:tab w:val="left" w:pos="284"/>
        </w:tabs>
        <w:spacing w:after="0" w:line="240" w:lineRule="auto"/>
        <w:jc w:val="both"/>
        <w:rPr>
          <w:rFonts w:ascii="Arial" w:hAnsi="Arial" w:eastAsia="Calibri" w:cs="Arial"/>
          <w:sz w:val="24"/>
          <w:szCs w:val="24"/>
          <w:highlight w:val="none"/>
          <w:lang w:val="it-IT"/>
        </w:rPr>
      </w:pPr>
      <w:r>
        <w:rPr>
          <w:rFonts w:ascii="Arial" w:hAnsi="Arial" w:eastAsia="Calibri" w:cs="Arial"/>
          <w:sz w:val="24"/>
          <w:szCs w:val="24"/>
          <w:highlight w:val="none"/>
          <w:lang w:val="it-IT"/>
        </w:rPr>
        <w:t xml:space="preserve">da </w:t>
      </w:r>
      <w:r>
        <w:rPr>
          <w:rFonts w:ascii="Arial" w:hAnsi="Arial" w:eastAsia="Calibri" w:cs="Arial"/>
          <w:sz w:val="24"/>
          <w:szCs w:val="24"/>
          <w:highlight w:val="none"/>
        </w:rPr>
        <w:t>po dogovorenom terminu i planu Izvršioca uvede u posao, što podrazumijeva obezbjeđenje svih potrebnih uslova za nesmetano obavljanje posla;</w:t>
      </w:r>
    </w:p>
    <w:p>
      <w:pPr>
        <w:numPr>
          <w:ilvl w:val="0"/>
          <w:numId w:val="6"/>
        </w:numPr>
        <w:tabs>
          <w:tab w:val="left" w:pos="284"/>
        </w:tabs>
        <w:spacing w:after="0" w:line="240" w:lineRule="auto"/>
        <w:jc w:val="both"/>
        <w:rPr>
          <w:rFonts w:ascii="Arial" w:hAnsi="Arial" w:eastAsia="Calibri" w:cs="Arial"/>
          <w:sz w:val="24"/>
          <w:szCs w:val="24"/>
          <w:highlight w:val="none"/>
          <w:lang w:val="it-IT"/>
        </w:rPr>
      </w:pPr>
      <w:r>
        <w:rPr>
          <w:rFonts w:ascii="Arial" w:hAnsi="Arial" w:eastAsia="Calibri" w:cs="Arial"/>
          <w:sz w:val="24"/>
          <w:szCs w:val="24"/>
          <w:highlight w:val="none"/>
        </w:rPr>
        <w:t>da izvrši plaćanje za usluge koje su predmet ovog Ugovora, na način preciziran u ovoj tenderskoj dokumentaciji.</w:t>
      </w:r>
    </w:p>
    <w:p>
      <w:pPr>
        <w:spacing w:after="0" w:line="240" w:lineRule="auto"/>
        <w:jc w:val="both"/>
        <w:rPr>
          <w:rFonts w:ascii="Arial" w:hAnsi="Arial" w:eastAsia="Times New Roman" w:cs="Arial"/>
          <w:color w:val="000000"/>
          <w:sz w:val="24"/>
          <w:szCs w:val="24"/>
          <w:highlight w:val="none"/>
          <w:lang w:val="sr-Latn-ME"/>
        </w:rPr>
      </w:pPr>
    </w:p>
    <w:p>
      <w:pPr>
        <w:tabs>
          <w:tab w:val="left" w:pos="284"/>
        </w:tabs>
        <w:spacing w:line="240" w:lineRule="auto"/>
        <w:jc w:val="both"/>
        <w:rPr>
          <w:rFonts w:ascii="Arial" w:hAnsi="Arial" w:eastAsia="Calibri" w:cs="Arial"/>
          <w:color w:val="000000"/>
          <w:sz w:val="24"/>
          <w:szCs w:val="24"/>
          <w:highlight w:val="none"/>
          <w:u w:val="single"/>
        </w:rPr>
      </w:pPr>
      <w:r>
        <w:rPr>
          <w:rFonts w:ascii="Arial" w:hAnsi="Arial" w:eastAsia="Calibri" w:cs="Arial"/>
          <w:color w:val="000000"/>
          <w:sz w:val="24"/>
          <w:szCs w:val="24"/>
          <w:highlight w:val="none"/>
          <w:u w:val="single"/>
        </w:rPr>
        <w:t>Prava intelektualne svojine</w:t>
      </w:r>
    </w:p>
    <w:p>
      <w:pPr>
        <w:tabs>
          <w:tab w:val="left" w:pos="284"/>
        </w:tabs>
        <w:spacing w:after="0" w:line="240" w:lineRule="auto"/>
        <w:jc w:val="both"/>
        <w:rPr>
          <w:rFonts w:ascii="Arial" w:hAnsi="Arial" w:eastAsia="Calibri" w:cs="Arial"/>
          <w:color w:val="000000"/>
          <w:sz w:val="24"/>
          <w:szCs w:val="24"/>
          <w:highlight w:val="none"/>
        </w:rPr>
      </w:pPr>
      <w:r>
        <w:rPr>
          <w:rFonts w:ascii="Arial" w:hAnsi="Arial" w:eastAsia="Calibri" w:cs="Arial"/>
          <w:color w:val="000000"/>
          <w:sz w:val="24"/>
          <w:szCs w:val="24"/>
          <w:highlight w:val="none"/>
        </w:rPr>
        <w:t>Ugovorne strane su saglasne da Naručilac isplatom ugovorene cijene u cjelosti stiče sva prava iskorišćavanja produkata razvijenih od strane Izvršioca za potrebe izvršenja ovog Ugovora.</w:t>
      </w:r>
    </w:p>
    <w:p>
      <w:pPr>
        <w:spacing w:after="0"/>
        <w:contextualSpacing/>
        <w:jc w:val="both"/>
        <w:rPr>
          <w:rFonts w:ascii="Arial" w:hAnsi="Arial" w:eastAsia="Calibri" w:cs="Arial"/>
          <w:sz w:val="24"/>
          <w:szCs w:val="24"/>
          <w:highlight w:val="none"/>
          <w:lang w:val="sr-Latn-ME"/>
        </w:rPr>
      </w:pPr>
    </w:p>
    <w:p>
      <w:pPr>
        <w:spacing w:after="0"/>
        <w:contextualSpacing/>
        <w:jc w:val="both"/>
        <w:rPr>
          <w:rFonts w:ascii="Arial" w:hAnsi="Arial" w:eastAsia="Calibri" w:cs="Arial"/>
          <w:sz w:val="24"/>
          <w:szCs w:val="24"/>
          <w:highlight w:val="none"/>
          <w:u w:val="single"/>
          <w:lang w:val="sr-Latn-ME"/>
        </w:rPr>
      </w:pPr>
      <w:r>
        <w:rPr>
          <w:rFonts w:ascii="Arial" w:hAnsi="Arial" w:eastAsia="Calibri" w:cs="Arial"/>
          <w:sz w:val="24"/>
          <w:szCs w:val="24"/>
          <w:highlight w:val="none"/>
          <w:u w:val="single"/>
          <w:lang w:val="sr-Latn-ME"/>
        </w:rPr>
        <w:t>Ugovorna kazna</w:t>
      </w:r>
    </w:p>
    <w:p>
      <w:pPr>
        <w:spacing w:after="0"/>
        <w:contextualSpacing/>
        <w:jc w:val="both"/>
        <w:rPr>
          <w:rFonts w:ascii="Arial" w:hAnsi="Arial" w:eastAsia="Calibri" w:cs="Arial"/>
          <w:sz w:val="24"/>
          <w:szCs w:val="24"/>
          <w:highlight w:val="none"/>
          <w:lang w:val="sr-Latn-ME"/>
        </w:rPr>
      </w:pPr>
      <w:r>
        <w:rPr>
          <w:rFonts w:ascii="Arial" w:hAnsi="Arial" w:eastAsia="Calibri" w:cs="Arial"/>
          <w:sz w:val="24"/>
          <w:szCs w:val="24"/>
          <w:highlight w:val="none"/>
          <w:lang w:val="sr-Latn-ME"/>
        </w:rPr>
        <w:t xml:space="preserve">U slučaju prekoračenja utvrđenog roka za izvršenje predmetne nabavke Izvršilac je dužan da Naručiocu, na ime ugovorne kazne, plati iznos od 0,5% od ugovorene vrijednosti za svaki dan neopravdanog kašnjenja. Visina ugovorne kazne ne može preći 10% od ukupne vrijednosti ugovora. </w:t>
      </w:r>
    </w:p>
    <w:p>
      <w:pPr>
        <w:spacing w:after="0"/>
        <w:contextualSpacing/>
        <w:jc w:val="both"/>
        <w:rPr>
          <w:rFonts w:ascii="Arial" w:hAnsi="Arial" w:eastAsia="Calibri" w:cs="Arial"/>
          <w:sz w:val="24"/>
          <w:szCs w:val="24"/>
          <w:highlight w:val="none"/>
          <w:lang w:val="sr-Latn-ME"/>
        </w:rPr>
      </w:pPr>
      <w:r>
        <w:rPr>
          <w:rFonts w:ascii="Arial" w:hAnsi="Arial" w:eastAsia="Calibri" w:cs="Arial"/>
          <w:sz w:val="24"/>
          <w:szCs w:val="24"/>
          <w:highlight w:val="none"/>
          <w:lang w:val="sr-Latn-ME"/>
        </w:rPr>
        <w:t>Ugovorne strane ovim Ugovorom isključuju primjenu pravnog pravila po kojem je Naručilac dužan saopštiti Izvršiocu da zbog kašnjenja zadržava pravo na ugovornu kaznu (penale), te se smatra da je samim padanjem u docnju Izvršilac dužan platiti ugovornu kaznu (penale) bez opomene Naručioca. U slučaju kašnjenja u izvršenju ugovornih obaveza u ugovorenom roku, plaćanje ugovorne kazne (penala) ne oslobađa Izvršioca obaveze da u cjelosti izvrši ugovorenu uslugu.</w:t>
      </w:r>
    </w:p>
    <w:p>
      <w:pPr>
        <w:spacing w:after="0"/>
        <w:contextualSpacing/>
        <w:jc w:val="both"/>
        <w:rPr>
          <w:rFonts w:ascii="Arial" w:hAnsi="Arial" w:eastAsia="Calibri" w:cs="Arial"/>
          <w:sz w:val="24"/>
          <w:szCs w:val="24"/>
          <w:highlight w:val="none"/>
          <w:lang w:val="sr-Latn-ME"/>
        </w:rPr>
      </w:pPr>
    </w:p>
    <w:p>
      <w:pPr>
        <w:spacing w:line="240" w:lineRule="auto"/>
        <w:jc w:val="both"/>
        <w:rPr>
          <w:rFonts w:ascii="Arial" w:hAnsi="Arial" w:eastAsia="Calibri" w:cs="Arial"/>
          <w:sz w:val="24"/>
          <w:szCs w:val="24"/>
          <w:highlight w:val="none"/>
          <w:u w:val="single"/>
          <w:lang w:val="sr-Latn-ME"/>
        </w:rPr>
      </w:pPr>
      <w:r>
        <w:rPr>
          <w:rFonts w:ascii="Arial" w:hAnsi="Arial" w:eastAsia="Calibri" w:cs="Arial"/>
          <w:sz w:val="24"/>
          <w:szCs w:val="24"/>
          <w:highlight w:val="none"/>
          <w:u w:val="single"/>
          <w:lang w:val="sr-Latn-ME"/>
        </w:rPr>
        <w:t>Naknada štete</w:t>
      </w:r>
    </w:p>
    <w:p>
      <w:pPr>
        <w:spacing w:after="0" w:line="240" w:lineRule="auto"/>
        <w:jc w:val="both"/>
        <w:rPr>
          <w:rFonts w:hint="default" w:ascii="Arial" w:hAnsi="Arial" w:eastAsia="PMingLiU"/>
          <w:sz w:val="24"/>
          <w:szCs w:val="24"/>
          <w:highlight w:val="none"/>
          <w:lang w:val="sr-Latn-ME" w:eastAsia="zh-TW"/>
        </w:rPr>
      </w:pPr>
      <w:r>
        <w:rPr>
          <w:rFonts w:hint="default" w:ascii="Arial" w:hAnsi="Arial" w:eastAsia="PMingLiU"/>
          <w:sz w:val="24"/>
          <w:szCs w:val="24"/>
          <w:highlight w:val="none"/>
          <w:lang w:val="sr-Latn-ME" w:eastAsia="zh-TW"/>
        </w:rPr>
        <w:t>1) Ukoliko Izvršilac, namjerno ili krajnjom nepažnjom, postupi suprotno odredbama Ugovora, te zbog toga Naručilac pretrpi štetu, dužan je da prouzrokovanu štetu nadoknadi;</w:t>
      </w:r>
    </w:p>
    <w:p>
      <w:pPr>
        <w:spacing w:after="0" w:line="240" w:lineRule="auto"/>
        <w:jc w:val="both"/>
        <w:rPr>
          <w:rFonts w:hint="default" w:ascii="Arial" w:hAnsi="Arial" w:eastAsia="PMingLiU"/>
          <w:sz w:val="24"/>
          <w:szCs w:val="24"/>
          <w:highlight w:val="none"/>
          <w:lang w:val="sr-Latn-ME" w:eastAsia="zh-TW"/>
        </w:rPr>
      </w:pPr>
    </w:p>
    <w:p>
      <w:pPr>
        <w:numPr>
          <w:ilvl w:val="0"/>
          <w:numId w:val="8"/>
        </w:numPr>
        <w:spacing w:after="0" w:line="240" w:lineRule="auto"/>
        <w:jc w:val="both"/>
        <w:rPr>
          <w:rFonts w:hint="default" w:ascii="Arial" w:hAnsi="Arial" w:eastAsia="PMingLiU"/>
          <w:sz w:val="24"/>
          <w:szCs w:val="24"/>
          <w:highlight w:val="none"/>
          <w:lang w:val="sr-Latn-ME" w:eastAsia="zh-TW"/>
        </w:rPr>
      </w:pPr>
      <w:r>
        <w:rPr>
          <w:rFonts w:hint="default" w:ascii="Arial" w:hAnsi="Arial" w:eastAsia="PMingLiU"/>
          <w:sz w:val="24"/>
          <w:szCs w:val="24"/>
          <w:highlight w:val="none"/>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pPr>
        <w:numPr>
          <w:numId w:val="0"/>
        </w:numPr>
        <w:spacing w:after="0" w:line="240" w:lineRule="auto"/>
        <w:jc w:val="both"/>
        <w:rPr>
          <w:rFonts w:hint="default" w:ascii="Arial" w:hAnsi="Arial" w:eastAsia="PMingLiU"/>
          <w:sz w:val="24"/>
          <w:szCs w:val="24"/>
          <w:highlight w:val="none"/>
          <w:lang w:val="sr-Latn-ME" w:eastAsia="zh-TW"/>
        </w:rPr>
      </w:pPr>
    </w:p>
    <w:p>
      <w:pPr>
        <w:spacing w:line="240" w:lineRule="auto"/>
        <w:jc w:val="both"/>
        <w:rPr>
          <w:rFonts w:ascii="Arial" w:hAnsi="Arial" w:eastAsia="PMingLiU" w:cs="Arial"/>
          <w:sz w:val="24"/>
          <w:szCs w:val="24"/>
          <w:highlight w:val="none"/>
          <w:u w:val="single"/>
          <w:lang w:val="sr-Latn-ME" w:eastAsia="zh-TW"/>
        </w:rPr>
      </w:pPr>
      <w:r>
        <w:rPr>
          <w:rFonts w:ascii="Arial" w:hAnsi="Arial" w:eastAsia="PMingLiU" w:cs="Arial"/>
          <w:sz w:val="24"/>
          <w:szCs w:val="24"/>
          <w:highlight w:val="none"/>
          <w:u w:val="single"/>
          <w:lang w:val="sr-Latn-ME" w:eastAsia="zh-TW"/>
        </w:rPr>
        <w:t>Raskid ugovora</w:t>
      </w:r>
    </w:p>
    <w:p>
      <w:pPr>
        <w:spacing w:after="0" w:line="240" w:lineRule="auto"/>
        <w:jc w:val="both"/>
        <w:rPr>
          <w:rFonts w:ascii="Arial" w:hAnsi="Arial" w:eastAsia="Calibri" w:cs="Arial"/>
          <w:sz w:val="24"/>
          <w:szCs w:val="24"/>
          <w:highlight w:val="none"/>
          <w:lang w:val="sr-Latn-ME"/>
        </w:rPr>
      </w:pPr>
      <w:r>
        <w:rPr>
          <w:rFonts w:ascii="Arial" w:hAnsi="Arial" w:eastAsia="Calibri" w:cs="Arial"/>
          <w:sz w:val="24"/>
          <w:szCs w:val="24"/>
          <w:highlight w:val="none"/>
          <w:lang w:val="sr-Latn-ME"/>
        </w:rPr>
        <w:t>Naručilac će jednostrano rakinuti ovaj ugovor u slučaju ako:</w:t>
      </w:r>
    </w:p>
    <w:p>
      <w:pPr>
        <w:spacing w:after="0" w:line="240" w:lineRule="auto"/>
        <w:jc w:val="both"/>
        <w:rPr>
          <w:rFonts w:ascii="Arial" w:hAnsi="Arial" w:eastAsia="Calibri" w:cs="Arial"/>
          <w:color w:val="000000"/>
          <w:sz w:val="24"/>
          <w:szCs w:val="24"/>
          <w:highlight w:val="none"/>
        </w:rPr>
      </w:pPr>
      <w:r>
        <w:rPr>
          <w:rFonts w:ascii="Arial" w:hAnsi="Arial" w:eastAsia="Calibri" w:cs="Arial"/>
          <w:sz w:val="24"/>
          <w:szCs w:val="24"/>
          <w:highlight w:val="none"/>
          <w:lang w:val="sr-Latn-ME"/>
        </w:rPr>
        <w:t xml:space="preserve">- Izvršilac </w:t>
      </w:r>
      <w:r>
        <w:rPr>
          <w:rFonts w:ascii="Arial" w:hAnsi="Arial" w:eastAsia="Calibri" w:cs="Arial"/>
          <w:color w:val="000000"/>
          <w:sz w:val="24"/>
          <w:szCs w:val="24"/>
          <w:highlight w:val="none"/>
        </w:rPr>
        <w:t>ne bude izvršavao svoje obaveze u rokovima i na način predviđenim Ugovorom;</w:t>
      </w:r>
    </w:p>
    <w:p>
      <w:pPr>
        <w:autoSpaceDE w:val="0"/>
        <w:autoSpaceDN w:val="0"/>
        <w:adjustRightInd w:val="0"/>
        <w:spacing w:after="0" w:line="240" w:lineRule="auto"/>
        <w:jc w:val="both"/>
        <w:rPr>
          <w:rFonts w:ascii="Arial" w:hAnsi="Arial" w:eastAsia="Calibri" w:cs="Arial"/>
          <w:sz w:val="24"/>
          <w:szCs w:val="24"/>
          <w:highlight w:val="none"/>
          <w:lang w:val="sr-Latn-ME"/>
        </w:rPr>
      </w:pPr>
      <w:r>
        <w:rPr>
          <w:rFonts w:ascii="Arial" w:hAnsi="Arial" w:eastAsia="Calibri" w:cs="Arial"/>
          <w:sz w:val="24"/>
          <w:szCs w:val="24"/>
          <w:highlight w:val="none"/>
          <w:lang w:val="sr-Latn-ME"/>
        </w:rPr>
        <w:t>- nastupe okolnosti koje za posljedicu imaju bitnu izmjenu ugovora koja iziskuje sprovođenje novog postupka javne nabavke, shodno članu 150 Zakona o javnim nabavkama;</w:t>
      </w:r>
    </w:p>
    <w:p>
      <w:pPr>
        <w:autoSpaceDE w:val="0"/>
        <w:autoSpaceDN w:val="0"/>
        <w:adjustRightInd w:val="0"/>
        <w:spacing w:after="0" w:line="240" w:lineRule="auto"/>
        <w:jc w:val="both"/>
        <w:rPr>
          <w:rFonts w:ascii="Arial" w:hAnsi="Arial" w:eastAsia="Calibri" w:cs="Arial"/>
          <w:sz w:val="24"/>
          <w:szCs w:val="24"/>
          <w:highlight w:val="none"/>
          <w:lang w:val="sr-Latn-ME"/>
        </w:rPr>
      </w:pPr>
      <w:r>
        <w:rPr>
          <w:rFonts w:ascii="Arial" w:hAnsi="Arial" w:eastAsia="Calibri" w:cs="Arial"/>
          <w:sz w:val="24"/>
          <w:szCs w:val="24"/>
          <w:highlight w:val="none"/>
          <w:lang w:val="sr-Latn-ME"/>
        </w:rPr>
        <w:t>- nastupi neki razlog koji predstavlja osnov za obavezno isključenje iz člana 108 Zakona o javnim nabavkama, a utvrđen ovom tenderskom dokumentacijom.</w:t>
      </w:r>
    </w:p>
    <w:p>
      <w:pPr>
        <w:spacing w:before="100" w:beforeAutospacing="1" w:after="0" w:line="240" w:lineRule="auto"/>
        <w:jc w:val="both"/>
        <w:rPr>
          <w:rFonts w:ascii="Arial" w:hAnsi="Arial" w:eastAsia="Calibri" w:cs="Arial"/>
          <w:color w:val="000000"/>
          <w:sz w:val="24"/>
          <w:szCs w:val="24"/>
          <w:highlight w:val="none"/>
        </w:rPr>
      </w:pPr>
      <w:r>
        <w:rPr>
          <w:rFonts w:ascii="Arial" w:hAnsi="Arial" w:eastAsia="Calibri" w:cs="Arial"/>
          <w:color w:val="000000"/>
          <w:sz w:val="24"/>
          <w:szCs w:val="24"/>
          <w:highlight w:val="none"/>
        </w:rPr>
        <w:t>Izvršilac ima pravo da jednostrano raskine Ugovor ako Naručilac ne plaća Izvršiocu u rokovima i na način predviđen Ugovorom.</w:t>
      </w:r>
    </w:p>
    <w:p>
      <w:pPr>
        <w:autoSpaceDE w:val="0"/>
        <w:autoSpaceDN w:val="0"/>
        <w:adjustRightInd w:val="0"/>
        <w:spacing w:after="0" w:line="240" w:lineRule="auto"/>
        <w:jc w:val="both"/>
        <w:rPr>
          <w:rFonts w:ascii="Arial" w:hAnsi="Arial" w:eastAsia="Calibri" w:cs="Arial"/>
          <w:sz w:val="24"/>
          <w:szCs w:val="24"/>
          <w:highlight w:val="none"/>
        </w:rPr>
      </w:pPr>
    </w:p>
    <w:p>
      <w:pPr>
        <w:spacing w:line="240" w:lineRule="auto"/>
        <w:jc w:val="both"/>
        <w:rPr>
          <w:rFonts w:ascii="Arial" w:hAnsi="Arial" w:eastAsia="PMingLiU" w:cs="Arial"/>
          <w:sz w:val="24"/>
          <w:szCs w:val="24"/>
          <w:highlight w:val="none"/>
          <w:lang w:val="sr-Latn-ME"/>
        </w:rPr>
      </w:pPr>
      <w:r>
        <w:rPr>
          <w:rFonts w:ascii="Arial" w:hAnsi="Arial" w:eastAsia="PMingLiU" w:cs="Arial"/>
          <w:sz w:val="24"/>
          <w:szCs w:val="24"/>
          <w:highlight w:val="none"/>
          <w:lang w:val="sr-Latn-ME"/>
        </w:rPr>
        <w:t xml:space="preserve">U bilo kom slučaju prestanka važenja Ugovora iz ovog člana, otkazni rok je 15 dana od dana </w:t>
      </w:r>
      <w:r>
        <w:rPr>
          <w:rFonts w:ascii="Arial" w:hAnsi="Arial" w:eastAsia="Calibri" w:cs="Arial"/>
          <w:sz w:val="24"/>
          <w:szCs w:val="24"/>
          <w:highlight w:val="none"/>
          <w:lang w:val="sr-Latn-ME"/>
        </w:rPr>
        <w:t>prijema</w:t>
      </w:r>
      <w:r>
        <w:rPr>
          <w:rFonts w:ascii="Arial" w:hAnsi="Arial" w:eastAsia="PMingLiU" w:cs="Arial"/>
          <w:sz w:val="24"/>
          <w:szCs w:val="24"/>
          <w:highlight w:val="none"/>
          <w:lang w:val="sr-Latn-ME"/>
        </w:rPr>
        <w:t xml:space="preserve"> obavještenja o raskidu Ugovora, u kom su oba ugovarača dužna da izvršavaju svoje ugovorene obaveze do isteka otkaznog roka.</w:t>
      </w:r>
    </w:p>
    <w:p>
      <w:pPr>
        <w:spacing w:line="240" w:lineRule="auto"/>
        <w:jc w:val="both"/>
        <w:rPr>
          <w:rFonts w:ascii="Arial" w:hAnsi="Arial" w:eastAsia="PMingLiU" w:cs="Arial"/>
          <w:sz w:val="24"/>
          <w:szCs w:val="24"/>
          <w:highlight w:val="none"/>
          <w:lang w:val="sr-Latn-ME"/>
        </w:rPr>
      </w:pPr>
      <w:r>
        <w:rPr>
          <w:rFonts w:ascii="Arial" w:hAnsi="Arial" w:eastAsia="PMingLiU" w:cs="Arial"/>
          <w:sz w:val="24"/>
          <w:szCs w:val="24"/>
          <w:highlight w:val="none"/>
          <w:lang w:val="sr-Latn-ME"/>
        </w:rPr>
        <w:t>Ako strane Ugovora sporazumno raskinu ugovor, sporazumom o raskidu ugovora utvrđuju se međusobna prava i obaveze koje proističu iz ugovora.</w:t>
      </w:r>
    </w:p>
    <w:p>
      <w:pPr>
        <w:autoSpaceDE w:val="0"/>
        <w:autoSpaceDN w:val="0"/>
        <w:adjustRightInd w:val="0"/>
        <w:spacing w:after="0" w:line="240" w:lineRule="auto"/>
        <w:jc w:val="both"/>
        <w:rPr>
          <w:rFonts w:ascii="Arial" w:hAnsi="Arial" w:eastAsia="Calibri" w:cs="Arial"/>
          <w:sz w:val="24"/>
          <w:szCs w:val="24"/>
          <w:highlight w:val="none"/>
        </w:rPr>
      </w:pPr>
    </w:p>
    <w:p>
      <w:pPr>
        <w:spacing w:line="240" w:lineRule="auto"/>
        <w:jc w:val="both"/>
        <w:rPr>
          <w:rFonts w:ascii="Arial" w:hAnsi="Arial" w:eastAsia="PMingLiU" w:cs="Arial"/>
          <w:sz w:val="24"/>
          <w:szCs w:val="24"/>
          <w:highlight w:val="none"/>
          <w:u w:val="single"/>
          <w:lang w:val="sr-Latn-ME"/>
        </w:rPr>
      </w:pPr>
      <w:r>
        <w:rPr>
          <w:rFonts w:ascii="Arial" w:hAnsi="Arial" w:eastAsia="PMingLiU" w:cs="Arial"/>
          <w:sz w:val="24"/>
          <w:szCs w:val="24"/>
          <w:highlight w:val="none"/>
          <w:u w:val="single"/>
          <w:lang w:val="sr-Latn-ME"/>
        </w:rPr>
        <w:t>Zaštita poslovnih interesa i čuvanje poslovne tajne</w:t>
      </w:r>
    </w:p>
    <w:p>
      <w:pPr>
        <w:spacing w:line="240" w:lineRule="auto"/>
        <w:jc w:val="both"/>
        <w:rPr>
          <w:rFonts w:ascii="Arial" w:hAnsi="Arial" w:eastAsia="PMingLiU" w:cs="Arial"/>
          <w:sz w:val="24"/>
          <w:szCs w:val="24"/>
          <w:highlight w:val="none"/>
          <w:lang w:val="sr-Latn-ME"/>
        </w:rPr>
      </w:pPr>
      <w:r>
        <w:rPr>
          <w:rFonts w:ascii="Arial" w:hAnsi="Arial" w:eastAsia="PMingLiU" w:cs="Arial"/>
          <w:sz w:val="24"/>
          <w:szCs w:val="24"/>
          <w:highlight w:val="none"/>
          <w:lang w:val="sr-Latn-ME"/>
        </w:rPr>
        <w:t>Ugovorne strane se obavezuju da sa pažnjom dobrog privrednika čuvaju i štite poslovne interese druge ugovorne strane, koje proizilaze iz ovog Ugovora, kao i da u obostranom interesu rade na unapređenju svojih odnosa.</w:t>
      </w:r>
    </w:p>
    <w:p>
      <w:pPr>
        <w:spacing w:line="240" w:lineRule="auto"/>
        <w:jc w:val="both"/>
        <w:rPr>
          <w:rFonts w:ascii="Arial" w:hAnsi="Arial" w:eastAsia="PMingLiU" w:cs="Arial"/>
          <w:sz w:val="24"/>
          <w:szCs w:val="24"/>
          <w:highlight w:val="none"/>
          <w:lang w:val="sr-Latn-ME"/>
        </w:rPr>
      </w:pPr>
      <w:r>
        <w:rPr>
          <w:rFonts w:ascii="Arial" w:hAnsi="Arial" w:eastAsia="PMingLiU" w:cs="Arial"/>
          <w:sz w:val="24"/>
          <w:szCs w:val="24"/>
          <w:highlight w:val="none"/>
          <w:lang w:val="sr-Latn-ME"/>
        </w:rPr>
        <w:t>Izvršilac se obavezuje na čuvanje svih podataka iz predmeta nabavke, te da iste ni na koji način neće učiniti dostupnim trećim licima bez saglasnosti Naručioca.</w:t>
      </w:r>
    </w:p>
    <w:p>
      <w:pPr>
        <w:spacing w:line="240" w:lineRule="auto"/>
        <w:jc w:val="both"/>
        <w:rPr>
          <w:rFonts w:ascii="Arial" w:hAnsi="Arial" w:eastAsia="PMingLiU" w:cs="Arial"/>
          <w:sz w:val="24"/>
          <w:szCs w:val="24"/>
          <w:highlight w:val="none"/>
          <w:u w:val="single"/>
          <w:lang w:val="sr-Latn-ME"/>
        </w:rPr>
      </w:pPr>
      <w:r>
        <w:rPr>
          <w:rFonts w:ascii="Arial" w:hAnsi="Arial" w:eastAsia="PMingLiU" w:cs="Arial"/>
          <w:sz w:val="24"/>
          <w:szCs w:val="24"/>
          <w:highlight w:val="none"/>
          <w:u w:val="single"/>
          <w:lang w:val="sr-Latn-ME"/>
        </w:rPr>
        <w:t>Ostali elementi ugovora</w:t>
      </w:r>
    </w:p>
    <w:p>
      <w:pPr>
        <w:spacing w:after="0" w:line="276" w:lineRule="auto"/>
        <w:jc w:val="both"/>
        <w:rPr>
          <w:rFonts w:ascii="Arial" w:hAnsi="Arial" w:eastAsia="Calibri" w:cs="Arial"/>
          <w:color w:val="000000"/>
          <w:sz w:val="24"/>
          <w:szCs w:val="24"/>
          <w:highlight w:val="none"/>
          <w:lang w:val="sl-SI"/>
        </w:rPr>
      </w:pPr>
      <w:r>
        <w:rPr>
          <w:rFonts w:ascii="Arial" w:hAnsi="Arial" w:eastAsia="Calibri" w:cs="Arial"/>
          <w:color w:val="000000"/>
          <w:sz w:val="24"/>
          <w:szCs w:val="24"/>
          <w:highlight w:val="none"/>
          <w:lang w:val="sl-SI"/>
        </w:rPr>
        <w:t>Ugovor o javnoj nabavci koji je zaključen uz kršenje antikorupcijskih pravila u skladu sa odredbama člana 38 Zakona o javnim nabavkama ništav je.</w:t>
      </w:r>
    </w:p>
    <w:p>
      <w:pPr>
        <w:spacing w:after="0" w:line="240" w:lineRule="auto"/>
        <w:jc w:val="both"/>
        <w:rPr>
          <w:rFonts w:ascii="Arial" w:hAnsi="Arial" w:eastAsia="Calibri" w:cs="Arial"/>
          <w:bCs/>
          <w:color w:val="000000"/>
          <w:sz w:val="24"/>
          <w:szCs w:val="24"/>
          <w:highlight w:val="none"/>
          <w:lang w:val="sr-Latn-CS"/>
        </w:rPr>
      </w:pPr>
    </w:p>
    <w:p>
      <w:pPr>
        <w:jc w:val="both"/>
        <w:rPr>
          <w:rFonts w:ascii="Arial" w:hAnsi="Arial" w:eastAsia="Calibri" w:cs="Arial"/>
          <w:sz w:val="24"/>
          <w:szCs w:val="24"/>
          <w:highlight w:val="none"/>
          <w:lang w:val="sl-SI"/>
        </w:rPr>
      </w:pPr>
      <w:r>
        <w:rPr>
          <w:rFonts w:ascii="Arial" w:hAnsi="Arial" w:eastAsia="Calibri" w:cs="Arial"/>
          <w:sz w:val="24"/>
          <w:szCs w:val="24"/>
          <w:highlight w:val="none"/>
          <w:lang w:val="sl-SI"/>
        </w:rPr>
        <w:t>Za sve što nije definisano ovim ugovorom primjenjivaće se odredbe Zakona o obligacionim odnosima.</w:t>
      </w:r>
    </w:p>
    <w:p>
      <w:pPr>
        <w:jc w:val="both"/>
        <w:rPr>
          <w:rFonts w:ascii="Arial" w:hAnsi="Arial" w:eastAsia="Calibri" w:cs="Arial"/>
          <w:color w:val="000000"/>
          <w:sz w:val="24"/>
          <w:szCs w:val="24"/>
          <w:highlight w:val="none"/>
          <w:lang w:val="sl-SI"/>
        </w:rPr>
      </w:pPr>
      <w:r>
        <w:rPr>
          <w:rFonts w:ascii="Arial" w:hAnsi="Arial" w:eastAsia="Calibri" w:cs="Arial"/>
          <w:color w:val="000000"/>
          <w:sz w:val="24"/>
          <w:szCs w:val="24"/>
          <w:highlight w:val="none"/>
          <w:lang w:val="sl-SI"/>
        </w:rPr>
        <w:t>Eventualne nesporazume koji mogu da se pojave u vezi ovog Ugovora ugovorne strane će pokušati da  riješe sporazumno. Sve sporove koji nasta</w:t>
      </w:r>
      <w:r>
        <w:rPr>
          <w:rFonts w:ascii="Arial" w:hAnsi="Arial" w:eastAsia="Calibri" w:cs="Arial"/>
          <w:color w:val="000000"/>
          <w:sz w:val="24"/>
          <w:szCs w:val="24"/>
          <w:highlight w:val="none"/>
          <w:lang w:val="sr-Latn-CS"/>
        </w:rPr>
        <w:t>nu</w:t>
      </w:r>
      <w:r>
        <w:rPr>
          <w:rFonts w:ascii="Arial" w:hAnsi="Arial" w:eastAsia="Calibri" w:cs="Arial"/>
          <w:color w:val="000000"/>
          <w:sz w:val="24"/>
          <w:szCs w:val="24"/>
          <w:highlight w:val="none"/>
          <w:lang w:val="sl-SI"/>
        </w:rPr>
        <w:t xml:space="preserve"> u vezi ovog Ugovora rješavaće nadležni sud u Podgorici.</w:t>
      </w: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sym w:font="Wingdings" w:char="F078"/>
      </w:r>
      <w:r>
        <w:rPr>
          <w:rFonts w:ascii="Arial" w:hAnsi="Arial" w:eastAsia="Times New Roman" w:cs="Arial"/>
          <w:color w:val="000000"/>
          <w:sz w:val="24"/>
          <w:szCs w:val="24"/>
          <w:highlight w:val="none"/>
          <w:lang w:val="sr-Latn-ME"/>
        </w:rPr>
        <w:t xml:space="preserve"> </w:t>
      </w:r>
      <w:r>
        <w:rPr>
          <w:rFonts w:ascii="Arial" w:hAnsi="Arial" w:eastAsia="Times New Roman" w:cs="Arial"/>
          <w:color w:val="000000"/>
          <w:sz w:val="24"/>
          <w:szCs w:val="24"/>
          <w:highlight w:val="none"/>
          <w:u w:val="single"/>
          <w:lang w:val="sr-Latn-ME"/>
        </w:rPr>
        <w:t>Izmjena ugovora</w:t>
      </w:r>
      <w:r>
        <w:rPr>
          <w:rFonts w:ascii="Arial" w:hAnsi="Arial" w:eastAsia="Times New Roman" w:cs="Arial"/>
          <w:color w:val="000000"/>
          <w:sz w:val="24"/>
          <w:szCs w:val="24"/>
          <w:highlight w:val="none"/>
          <w:lang w:val="sr-Latn-ME"/>
        </w:rPr>
        <w:t>:</w:t>
      </w:r>
    </w:p>
    <w:p>
      <w:pPr>
        <w:spacing w:after="0" w:line="240" w:lineRule="auto"/>
        <w:jc w:val="both"/>
        <w:rPr>
          <w:rFonts w:ascii="Arial" w:hAnsi="Arial" w:eastAsia="Times New Roman" w:cs="Arial"/>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hint="default" w:ascii="Arial" w:hAnsi="Arial" w:eastAsia="Times New Roman"/>
          <w:color w:val="000000"/>
          <w:sz w:val="24"/>
          <w:szCs w:val="24"/>
          <w:highlight w:val="none"/>
          <w:lang w:val="sr-Latn-ME"/>
        </w:rPr>
        <w:t>Ugovor o javnoj nabavci tokom njegovog trajanja može da se izmijeni bez sprovođenja novog postupka javne nabavke u skladu sa članom 151 Zakona o javnim nabavkama: kada je potreba za izmjenom ugovora nastala zbog okolnosti koje naručilac u vrijeme zaključivanja ugovora nije mogao da predvidi, a izmjenom se ne mijenja priroda ugovora a povećanje vrijednosti ugovora nije veće od 20% vrijednosti prvobitnog ugovora.</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6"/>
      <w:r>
        <w:rPr>
          <w:rFonts w:ascii="Arial" w:hAnsi="Arial" w:eastAsia="Times New Roman" w:cs="Times New Roman"/>
          <w:b/>
          <w:sz w:val="24"/>
          <w:szCs w:val="32"/>
          <w:highlight w:val="none"/>
          <w:lang w:val="sr-Latn-ME"/>
        </w:rPr>
        <w:t>13. ZAHTJ</w:t>
      </w:r>
      <w:r>
        <w:rPr>
          <w:rFonts w:ascii="Arial" w:hAnsi="Arial" w:eastAsia="Times New Roman" w:cs="Times New Roman"/>
          <w:b/>
          <w:sz w:val="24"/>
          <w:szCs w:val="32"/>
          <w:lang w:val="sr-Latn-ME"/>
        </w:rPr>
        <w:t>EV ZA POJAŠNJENJE ILI IZMJENU I DOPUNU TENDERSKE DOKUMENTACIJE</w:t>
      </w:r>
      <w:bookmarkEnd w:id="11"/>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bookmarkStart w:id="16" w:name="_GoBack"/>
      <w:bookmarkEnd w:id="16"/>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2" w:name="_Toc508349235"/>
      <w:bookmarkStart w:id="13" w:name="_Toc416180136"/>
      <w:bookmarkStart w:id="14" w:name="_Toc62730567"/>
      <w:r>
        <w:rPr>
          <w:rFonts w:ascii="Arial" w:hAnsi="Arial" w:eastAsia="Times New Roman" w:cs="Times New Roman"/>
          <w:b/>
          <w:sz w:val="24"/>
          <w:szCs w:val="32"/>
          <w:lang w:val="sr-Latn-ME"/>
        </w:rPr>
        <w:t>14. IZJAVA NARUČIOCA O NEPOSTOJANJU SUKOBA INTERESA</w:t>
      </w:r>
      <w:bookmarkEnd w:id="12"/>
      <w:bookmarkEnd w:id="13"/>
      <w:bookmarkEnd w:id="14"/>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851"/>
          <w:tab w:val="right" w:pos="3402"/>
        </w:tabs>
        <w:spacing w:after="0" w:line="240" w:lineRule="auto"/>
        <w:jc w:val="both"/>
        <w:rPr>
          <w:rFonts w:ascii="Arial" w:hAnsi="Arial" w:eastAsia="Calibri" w:cs="Arial"/>
          <w:color w:val="000000"/>
          <w:sz w:val="24"/>
          <w:szCs w:val="24"/>
          <w:lang w:val="pl-PL"/>
        </w:rPr>
      </w:pPr>
      <w:bookmarkStart w:id="15" w:name="_Toc62730568"/>
      <w:r>
        <w:rPr>
          <w:rFonts w:ascii="Arial" w:hAnsi="Arial" w:eastAsia="Calibri" w:cs="Arial"/>
          <w:color w:val="000000"/>
          <w:sz w:val="24"/>
          <w:szCs w:val="24"/>
          <w:lang w:val="pl-PL"/>
        </w:rPr>
        <w:t xml:space="preserve">Naručilac: Ministarstvo finansija </w:t>
      </w:r>
    </w:p>
    <w:p>
      <w:pPr>
        <w:tabs>
          <w:tab w:val="right" w:pos="3402"/>
        </w:tabs>
        <w:spacing w:after="0" w:line="240" w:lineRule="auto"/>
        <w:jc w:val="both"/>
        <w:rPr>
          <w:rFonts w:hint="default" w:ascii="Arial" w:hAnsi="Arial" w:eastAsia="Calibri" w:cs="Arial"/>
          <w:sz w:val="24"/>
          <w:szCs w:val="24"/>
          <w:lang w:val="sr-Latn-ME"/>
        </w:rPr>
      </w:pPr>
      <w:r>
        <w:rPr>
          <w:rFonts w:ascii="Arial" w:hAnsi="Arial" w:eastAsia="Calibri" w:cs="Arial"/>
          <w:sz w:val="24"/>
          <w:szCs w:val="24"/>
          <w:lang w:val="pl-PL"/>
        </w:rPr>
        <w:t xml:space="preserve">Broj: </w:t>
      </w:r>
      <w:r>
        <w:rPr>
          <w:rFonts w:hint="default" w:ascii="Arial" w:hAnsi="Arial" w:eastAsia="Calibri" w:cs="Arial"/>
          <w:sz w:val="24"/>
          <w:szCs w:val="24"/>
          <w:lang w:val="sr-Latn-ME"/>
        </w:rPr>
        <w:t>21/2-426/25-44956/2</w:t>
      </w:r>
    </w:p>
    <w:p>
      <w:pPr>
        <w:tabs>
          <w:tab w:val="right" w:pos="3402"/>
        </w:tabs>
        <w:spacing w:after="0" w:line="240" w:lineRule="auto"/>
        <w:rPr>
          <w:rFonts w:ascii="Arial" w:hAnsi="Arial" w:eastAsia="Calibri" w:cs="Arial"/>
          <w:sz w:val="24"/>
          <w:szCs w:val="24"/>
          <w:lang w:val="pl-PL"/>
        </w:rPr>
      </w:pPr>
      <w:r>
        <w:rPr>
          <w:rFonts w:ascii="Arial" w:hAnsi="Arial" w:eastAsia="Calibri" w:cs="Arial"/>
          <w:sz w:val="24"/>
          <w:szCs w:val="24"/>
          <w:lang w:val="pl-PL"/>
        </w:rPr>
        <w:t>Podgorica,</w:t>
      </w:r>
      <w:r>
        <w:rPr>
          <w:rFonts w:hint="default" w:ascii="Arial" w:hAnsi="Arial" w:eastAsia="Calibri" w:cs="Arial"/>
          <w:sz w:val="24"/>
          <w:szCs w:val="24"/>
          <w:lang w:val="sr-Latn-ME"/>
        </w:rPr>
        <w:t xml:space="preserve"> </w:t>
      </w:r>
      <w:r>
        <w:rPr>
          <w:rFonts w:hint="default" w:ascii="Arial" w:hAnsi="Arial" w:eastAsia="Calibri" w:cs="Arial"/>
          <w:sz w:val="24"/>
          <w:szCs w:val="24"/>
          <w:lang w:val="sr-Latn-RS"/>
        </w:rPr>
        <w:t>1</w:t>
      </w:r>
      <w:r>
        <w:rPr>
          <w:rFonts w:hint="default" w:ascii="Arial" w:hAnsi="Arial" w:eastAsia="Calibri" w:cs="Arial"/>
          <w:sz w:val="24"/>
          <w:szCs w:val="24"/>
          <w:lang w:val="sr-Latn-ME"/>
        </w:rPr>
        <w:t>7.1</w:t>
      </w:r>
      <w:r>
        <w:rPr>
          <w:rFonts w:hint="default" w:ascii="Arial" w:hAnsi="Arial" w:eastAsia="Calibri" w:cs="Arial"/>
          <w:sz w:val="24"/>
          <w:szCs w:val="24"/>
          <w:lang w:val="sr-Latn-RS"/>
        </w:rPr>
        <w:t>2</w:t>
      </w:r>
      <w:r>
        <w:rPr>
          <w:rFonts w:hint="default" w:ascii="Arial" w:hAnsi="Arial" w:eastAsia="Calibri" w:cs="Arial"/>
          <w:sz w:val="24"/>
          <w:szCs w:val="24"/>
          <w:lang w:val="sr-Latn-ME"/>
        </w:rPr>
        <w:t>.2025</w:t>
      </w:r>
      <w:r>
        <w:rPr>
          <w:rFonts w:ascii="Arial" w:hAnsi="Arial" w:eastAsia="Calibri" w:cs="Arial"/>
          <w:sz w:val="24"/>
          <w:szCs w:val="24"/>
          <w:lang w:val="pl-PL"/>
        </w:rPr>
        <w:t>. godine</w:t>
      </w:r>
    </w:p>
    <w:p>
      <w:pPr>
        <w:spacing w:after="0" w:line="240" w:lineRule="auto"/>
        <w:jc w:val="both"/>
        <w:rPr>
          <w:rFonts w:ascii="Arial" w:hAnsi="Arial" w:eastAsia="Times New Roman" w:cs="Arial"/>
          <w:b/>
          <w:bCs/>
          <w:color w:val="000000"/>
          <w:sz w:val="24"/>
          <w:szCs w:val="24"/>
          <w:lang w:val="sr-Latn-ME"/>
        </w:rPr>
      </w:pPr>
    </w:p>
    <w:p>
      <w:pPr>
        <w:tabs>
          <w:tab w:val="left" w:pos="3290"/>
        </w:tabs>
        <w:spacing w:after="0" w:line="240" w:lineRule="auto"/>
        <w:ind w:firstLine="708"/>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 skladu sa članom 43 stav 1 Zakona o javnim nabavkama („Službeni list CG”, br.74/19, 3/23, 11/23 i 84/24 -drugi zakon), </w:t>
      </w:r>
    </w:p>
    <w:p>
      <w:pPr>
        <w:tabs>
          <w:tab w:val="left" w:pos="3290"/>
        </w:tabs>
        <w:spacing w:after="0" w:line="240" w:lineRule="auto"/>
        <w:jc w:val="both"/>
        <w:rPr>
          <w:rFonts w:ascii="Arial" w:hAnsi="Arial" w:eastAsia="Times New Roman" w:cs="Arial"/>
          <w:color w:val="000000"/>
          <w:sz w:val="24"/>
          <w:szCs w:val="24"/>
          <w:lang w:val="sr-Latn-ME"/>
        </w:rPr>
      </w:pPr>
    </w:p>
    <w:p>
      <w:pPr>
        <w:tabs>
          <w:tab w:val="left" w:pos="3290"/>
        </w:tabs>
        <w:spacing w:after="0" w:line="240" w:lineRule="auto"/>
        <w:jc w:val="both"/>
        <w:rPr>
          <w:rFonts w:ascii="Arial" w:hAnsi="Arial" w:eastAsia="Times New Roman" w:cs="Arial"/>
          <w:color w:val="000000"/>
          <w:sz w:val="24"/>
          <w:szCs w:val="24"/>
          <w:lang w:val="sr-Latn-ME"/>
        </w:rPr>
      </w:pPr>
    </w:p>
    <w:p>
      <w:pPr>
        <w:tabs>
          <w:tab w:val="left" w:pos="3290"/>
        </w:tabs>
        <w:spacing w:after="0" w:line="240" w:lineRule="auto"/>
        <w:jc w:val="center"/>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Izjavljujem</w:t>
      </w:r>
    </w:p>
    <w:p>
      <w:pPr>
        <w:tabs>
          <w:tab w:val="left" w:pos="3290"/>
        </w:tabs>
        <w:spacing w:after="0" w:line="240" w:lineRule="auto"/>
        <w:jc w:val="center"/>
        <w:rPr>
          <w:rFonts w:ascii="Arial" w:hAnsi="Arial" w:eastAsia="Times New Roman" w:cs="Arial"/>
          <w:b/>
          <w:bCs/>
          <w:color w:val="000000"/>
          <w:sz w:val="24"/>
          <w:szCs w:val="24"/>
          <w:lang w:val="sr-Latn-ME"/>
        </w:rPr>
      </w:pPr>
    </w:p>
    <w:p>
      <w:pPr>
        <w:tabs>
          <w:tab w:val="left" w:pos="329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da u postupku javne nabavke redni broj </w:t>
      </w:r>
      <w:r>
        <w:rPr>
          <w:rFonts w:hint="default" w:ascii="Arial" w:hAnsi="Arial" w:eastAsia="Times New Roman" w:cs="Arial"/>
          <w:color w:val="000000"/>
          <w:sz w:val="24"/>
          <w:szCs w:val="24"/>
          <w:lang w:val="sr-Latn-RS"/>
        </w:rPr>
        <w:t>26</w:t>
      </w:r>
      <w:r>
        <w:rPr>
          <w:rFonts w:ascii="Arial" w:hAnsi="Arial" w:eastAsia="Times New Roman" w:cs="Arial"/>
          <w:color w:val="000000"/>
          <w:sz w:val="24"/>
          <w:szCs w:val="24"/>
          <w:lang w:val="sr-Latn-ME"/>
        </w:rPr>
        <w:t xml:space="preserve"> iz Plana javnih nabavki</w:t>
      </w:r>
      <w:r>
        <w:rPr>
          <w:rFonts w:ascii="Arial" w:hAnsi="Arial" w:eastAsia="Calibri" w:cs="Arial"/>
          <w:sz w:val="24"/>
          <w:szCs w:val="24"/>
          <w:lang w:val="sr-Latn-RS"/>
        </w:rPr>
        <w:t xml:space="preserve"> Ministarstva finansija</w:t>
      </w:r>
      <w:r>
        <w:rPr>
          <w:rFonts w:ascii="Arial" w:hAnsi="Arial" w:eastAsia="Calibri" w:cs="Arial"/>
          <w:sz w:val="24"/>
          <w:szCs w:val="24"/>
          <w:lang w:val="sr-Latn-CS"/>
        </w:rPr>
        <w:t>, šifra plana 21746,</w:t>
      </w:r>
      <w:r>
        <w:rPr>
          <w:rFonts w:ascii="Arial" w:hAnsi="Arial" w:eastAsia="Times New Roman" w:cs="Arial"/>
          <w:color w:val="000000"/>
          <w:sz w:val="24"/>
          <w:szCs w:val="24"/>
          <w:lang w:val="sr-Latn-ME"/>
        </w:rPr>
        <w:t xml:space="preserve"> poslednja objava </w:t>
      </w:r>
      <w:r>
        <w:rPr>
          <w:rFonts w:hint="default" w:ascii="Arial" w:hAnsi="Arial" w:eastAsia="Times New Roman" w:cs="Arial"/>
          <w:color w:val="000000"/>
          <w:sz w:val="24"/>
          <w:szCs w:val="24"/>
          <w:lang w:val="sr-Latn-RS"/>
        </w:rPr>
        <w:t>01.12.2025</w:t>
      </w:r>
      <w:r>
        <w:rPr>
          <w:rFonts w:ascii="Arial" w:hAnsi="Arial" w:eastAsia="Times New Roman" w:cs="Arial"/>
          <w:color w:val="000000"/>
          <w:sz w:val="24"/>
          <w:szCs w:val="24"/>
          <w:lang w:val="sr-Latn-ME"/>
        </w:rPr>
        <w:t xml:space="preserve">. godine, za </w:t>
      </w:r>
      <w:r>
        <w:rPr>
          <w:rFonts w:ascii="Arial" w:hAnsi="Arial" w:eastAsia="Calibri" w:cs="Arial"/>
          <w:sz w:val="24"/>
          <w:szCs w:val="24"/>
          <w:lang w:val="sr-Latn-CS"/>
        </w:rPr>
        <w:t>nabavku</w:t>
      </w:r>
      <w:r>
        <w:rPr>
          <w:rFonts w:ascii="Arial" w:hAnsi="Arial" w:eastAsia="Calibri" w:cs="Arial"/>
          <w:sz w:val="24"/>
          <w:szCs w:val="24"/>
        </w:rPr>
        <w:t xml:space="preserve"> </w:t>
      </w:r>
      <w:r>
        <w:rPr>
          <w:rFonts w:hint="default" w:ascii="Arial" w:hAnsi="Arial" w:eastAsia="Calibri"/>
          <w:sz w:val="24"/>
          <w:szCs w:val="24"/>
        </w:rPr>
        <w:t>usluga sprovođenja istraživanja među domaćinstvima i preduzećima, sa ciljem utvrđivanja obima i strukture neformalne ekonomije u Crnoj Gori</w:t>
      </w:r>
      <w:r>
        <w:rPr>
          <w:rFonts w:ascii="Arial" w:hAnsi="Arial" w:eastAsia="Times New Roman"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sz w:val="24"/>
          <w:szCs w:val="24"/>
          <w:lang w:val="sr-Latn-CS"/>
        </w:rPr>
      </w:pPr>
    </w:p>
    <w:p>
      <w:pPr>
        <w:tabs>
          <w:tab w:val="left" w:pos="3290"/>
        </w:tabs>
        <w:spacing w:after="0" w:line="240" w:lineRule="auto"/>
        <w:jc w:val="both"/>
        <w:rPr>
          <w:rFonts w:ascii="Arial" w:hAnsi="Arial" w:eastAsia="Times New Roman" w:cs="Arial"/>
          <w:color w:val="000000"/>
          <w:lang w:val="sr-Latn-ME"/>
        </w:rPr>
      </w:pPr>
    </w:p>
    <w:p>
      <w:pPr>
        <w:spacing w:after="0" w:line="240" w:lineRule="auto"/>
        <w:rPr>
          <w:rFonts w:ascii="Arial" w:hAnsi="Arial" w:eastAsia="Calibri" w:cs="Arial"/>
          <w:i/>
          <w:color w:val="000000"/>
          <w:sz w:val="24"/>
          <w:szCs w:val="24"/>
          <w:lang w:val="sr-Latn-CS"/>
        </w:rPr>
      </w:pPr>
      <w:r>
        <w:rPr>
          <w:rFonts w:ascii="Arial" w:hAnsi="Arial" w:eastAsia="Times New Roman" w:cs="Arial"/>
          <w:color w:val="000000"/>
          <w:lang w:val="sr-Latn-ME"/>
        </w:rPr>
        <w:t xml:space="preserve">                                                                        </w:t>
      </w:r>
      <w:r>
        <w:rPr>
          <w:rFonts w:ascii="Arial" w:hAnsi="Arial" w:eastAsia="Times New Roman" w:cs="Arial"/>
          <w:color w:val="000000"/>
          <w:sz w:val="24"/>
          <w:szCs w:val="24"/>
          <w:lang w:val="sr-Latn-ME"/>
        </w:rPr>
        <w:t xml:space="preserve">           </w:t>
      </w:r>
      <w:r>
        <w:rPr>
          <w:rFonts w:ascii="Arial" w:hAnsi="Arial" w:eastAsia="Calibri" w:cs="Arial"/>
          <w:color w:val="000000"/>
          <w:sz w:val="24"/>
          <w:szCs w:val="24"/>
          <w:lang w:val="sr-Latn-CS"/>
        </w:rPr>
        <w:t>Ovlašćeno lice naručioca:</w:t>
      </w:r>
      <w:r>
        <w:rPr>
          <w:rFonts w:ascii="Arial" w:hAnsi="Arial" w:eastAsia="Calibri" w:cs="Arial"/>
          <w:color w:val="000000"/>
          <w:sz w:val="24"/>
          <w:szCs w:val="24"/>
          <w:lang w:val="sr-Latn-CS"/>
        </w:rPr>
        <w:tab/>
      </w:r>
    </w:p>
    <w:p>
      <w:pPr>
        <w:spacing w:after="0" w:line="240" w:lineRule="auto"/>
        <w:ind w:firstLine="1134"/>
        <w:rPr>
          <w:rFonts w:ascii="Arial" w:hAnsi="Arial" w:eastAsia="Calibri" w:cs="Arial"/>
          <w:color w:val="000000"/>
          <w:sz w:val="24"/>
          <w:szCs w:val="24"/>
          <w:lang w:val="sr-Latn-CS"/>
        </w:rPr>
      </w:pPr>
      <w:r>
        <w:rPr>
          <w:rFonts w:ascii="Arial" w:hAnsi="Arial" w:eastAsia="Calibri" w:cs="Arial"/>
          <w:color w:val="000000"/>
          <w:sz w:val="24"/>
          <w:szCs w:val="24"/>
          <w:lang w:val="sr-Latn-CS"/>
        </w:rPr>
        <w:t xml:space="preserve">                                   </w:t>
      </w:r>
    </w:p>
    <w:p>
      <w:pPr>
        <w:spacing w:after="0" w:line="240" w:lineRule="auto"/>
        <w:ind w:firstLine="1134"/>
        <w:jc w:val="right"/>
        <w:rPr>
          <w:rFonts w:ascii="Arial" w:hAnsi="Arial" w:eastAsia="Calibri" w:cs="Arial"/>
          <w:color w:val="000000"/>
          <w:sz w:val="24"/>
          <w:szCs w:val="24"/>
          <w:lang w:val="sr-Latn-CS"/>
        </w:rPr>
      </w:pPr>
      <w:r>
        <w:rPr>
          <w:rFonts w:ascii="Arial" w:hAnsi="Arial" w:eastAsia="Calibri" w:cs="Arial"/>
          <w:color w:val="000000"/>
          <w:sz w:val="24"/>
          <w:szCs w:val="24"/>
          <w:lang w:val="sr-Latn-CS"/>
        </w:rPr>
        <w:t xml:space="preserve">                                                                          sekretarka Maja Mitrović,</w:t>
      </w:r>
    </w:p>
    <w:p>
      <w:pPr>
        <w:spacing w:after="0" w:line="240" w:lineRule="auto"/>
        <w:ind w:firstLine="1134"/>
        <w:jc w:val="center"/>
        <w:rPr>
          <w:rFonts w:ascii="Arial" w:hAnsi="Arial" w:eastAsia="Calibri" w:cs="Arial"/>
          <w:i/>
          <w:color w:val="000000"/>
          <w:sz w:val="24"/>
          <w:szCs w:val="24"/>
          <w:lang w:val="sr-Latn-CS"/>
        </w:rPr>
      </w:pPr>
      <w:r>
        <w:rPr>
          <w:rFonts w:hint="default" w:ascii="Arial" w:hAnsi="Arial" w:eastAsia="Calibri" w:cs="Arial"/>
          <w:color w:val="000000"/>
          <w:sz w:val="24"/>
          <w:szCs w:val="24"/>
          <w:lang w:val="sr-Latn-RS"/>
        </w:rPr>
        <w:t xml:space="preserve">                                                                                      </w:t>
      </w:r>
      <w:r>
        <w:rPr>
          <w:rFonts w:ascii="Arial" w:hAnsi="Arial" w:eastAsia="Calibri" w:cs="Arial"/>
          <w:color w:val="000000"/>
          <w:sz w:val="24"/>
          <w:szCs w:val="24"/>
          <w:lang w:val="sr-Latn-CS"/>
        </w:rPr>
        <w:t xml:space="preserve"> </w:t>
      </w:r>
      <w:r>
        <w:rPr>
          <w:rFonts w:ascii="Arial" w:hAnsi="Arial" w:eastAsia="Calibri" w:cs="Arial"/>
          <w:i/>
          <w:color w:val="000000"/>
          <w:sz w:val="24"/>
          <w:szCs w:val="24"/>
          <w:lang w:val="sr-Latn-CS"/>
        </w:rPr>
        <w:t>s.r.</w:t>
      </w:r>
    </w:p>
    <w:p>
      <w:pPr>
        <w:spacing w:after="0" w:line="240" w:lineRule="auto"/>
        <w:ind w:firstLine="1134"/>
        <w:jc w:val="right"/>
        <w:rPr>
          <w:rFonts w:ascii="Arial" w:hAnsi="Arial" w:eastAsia="Calibri" w:cs="Arial"/>
          <w:i/>
          <w:color w:val="000000"/>
          <w:sz w:val="24"/>
          <w:szCs w:val="24"/>
          <w:lang w:val="sr-Latn-CS"/>
        </w:rPr>
      </w:pPr>
    </w:p>
    <w:p>
      <w:pPr>
        <w:tabs>
          <w:tab w:val="left" w:pos="8160"/>
        </w:tabs>
        <w:spacing w:after="0" w:line="240" w:lineRule="auto"/>
        <w:jc w:val="both"/>
        <w:rPr>
          <w:rFonts w:ascii="Arial" w:hAnsi="Arial" w:eastAsia="Calibri" w:cs="Arial"/>
          <w:i/>
          <w:color w:val="000000"/>
          <w:sz w:val="24"/>
          <w:szCs w:val="24"/>
        </w:rPr>
      </w:pPr>
    </w:p>
    <w:p>
      <w:pPr>
        <w:tabs>
          <w:tab w:val="left" w:pos="6405"/>
        </w:tabs>
        <w:spacing w:after="0" w:line="240" w:lineRule="auto"/>
        <w:rPr>
          <w:rFonts w:ascii="Arial" w:hAnsi="Arial" w:eastAsia="Calibri" w:cs="Arial"/>
          <w:color w:val="000000"/>
          <w:sz w:val="24"/>
          <w:szCs w:val="24"/>
        </w:rPr>
      </w:pPr>
      <w:r>
        <w:rPr>
          <w:rFonts w:ascii="Arial" w:hAnsi="Arial" w:eastAsia="Calibri" w:cs="Arial"/>
          <w:color w:val="000000"/>
          <w:sz w:val="24"/>
          <w:szCs w:val="24"/>
        </w:rPr>
        <w:t xml:space="preserve">                                          Lica koja su učestvovala u planiranju javne nabavke:</w:t>
      </w:r>
    </w:p>
    <w:p>
      <w:pPr>
        <w:tabs>
          <w:tab w:val="left" w:pos="6405"/>
        </w:tabs>
        <w:spacing w:after="0" w:line="240" w:lineRule="auto"/>
        <w:rPr>
          <w:rFonts w:ascii="Arial" w:hAnsi="Arial" w:eastAsia="Calibri" w:cs="Arial"/>
          <w:color w:val="000000"/>
          <w:sz w:val="24"/>
          <w:szCs w:val="24"/>
        </w:rPr>
      </w:pPr>
    </w:p>
    <w:p>
      <w:pPr>
        <w:tabs>
          <w:tab w:val="left" w:pos="6405"/>
        </w:tabs>
        <w:spacing w:after="0" w:line="240" w:lineRule="auto"/>
        <w:jc w:val="right"/>
        <w:rPr>
          <w:rFonts w:hint="default" w:ascii="Arial" w:hAnsi="Arial" w:eastAsia="Calibri"/>
          <w:color w:val="000000"/>
          <w:sz w:val="24"/>
          <w:szCs w:val="24"/>
          <w:lang w:val="it-IT"/>
        </w:rPr>
      </w:pPr>
      <w:r>
        <w:rPr>
          <w:rFonts w:ascii="Arial" w:hAnsi="Arial" w:eastAsia="Calibri" w:cs="Arial"/>
          <w:color w:val="000000"/>
          <w:sz w:val="24"/>
          <w:szCs w:val="24"/>
        </w:rPr>
        <w:t xml:space="preserve">                                         g</w:t>
      </w:r>
      <w:r>
        <w:rPr>
          <w:rFonts w:ascii="Arial" w:hAnsi="Arial" w:eastAsia="Calibri" w:cs="Arial"/>
          <w:color w:val="000000"/>
          <w:sz w:val="24"/>
          <w:szCs w:val="24"/>
          <w:lang w:val="it-IT"/>
        </w:rPr>
        <w:t xml:space="preserve">eneralni direktor </w:t>
      </w:r>
      <w:r>
        <w:rPr>
          <w:rFonts w:hint="default" w:ascii="Arial" w:hAnsi="Arial" w:eastAsia="Calibri"/>
          <w:color w:val="000000"/>
          <w:sz w:val="24"/>
          <w:szCs w:val="24"/>
          <w:lang w:val="it-IT"/>
        </w:rPr>
        <w:t>Direktorat</w:t>
      </w:r>
      <w:r>
        <w:rPr>
          <w:rFonts w:hint="default" w:ascii="Arial" w:hAnsi="Arial" w:eastAsia="Calibri"/>
          <w:color w:val="000000"/>
          <w:sz w:val="24"/>
          <w:szCs w:val="24"/>
          <w:lang w:val="sr-Latn-RS"/>
        </w:rPr>
        <w:t>a</w:t>
      </w:r>
      <w:r>
        <w:rPr>
          <w:rFonts w:hint="default" w:ascii="Arial" w:hAnsi="Arial" w:eastAsia="Calibri"/>
          <w:color w:val="000000"/>
          <w:sz w:val="24"/>
          <w:szCs w:val="24"/>
          <w:lang w:val="it-IT"/>
        </w:rPr>
        <w:t xml:space="preserve"> za igre na sreću, koordinaciju i izvještavanje o neformalnoj ekonomiji i državnu pomoć</w:t>
      </w:r>
    </w:p>
    <w:p>
      <w:pPr>
        <w:tabs>
          <w:tab w:val="left" w:pos="6405"/>
        </w:tabs>
        <w:spacing w:after="0" w:line="240" w:lineRule="auto"/>
        <w:jc w:val="right"/>
        <w:rPr>
          <w:rFonts w:hint="default" w:ascii="Arial" w:hAnsi="Arial" w:eastAsia="Calibri"/>
          <w:color w:val="000000"/>
          <w:sz w:val="24"/>
          <w:szCs w:val="24"/>
          <w:lang w:val="it-IT"/>
        </w:rPr>
      </w:pPr>
    </w:p>
    <w:p>
      <w:pPr>
        <w:tabs>
          <w:tab w:val="left" w:pos="6405"/>
          <w:tab w:val="left" w:pos="8235"/>
          <w:tab w:val="right" w:pos="9360"/>
        </w:tabs>
        <w:spacing w:after="0" w:line="240" w:lineRule="auto"/>
        <w:ind w:left="8280" w:hanging="8280" w:hangingChars="3450"/>
        <w:rPr>
          <w:rFonts w:ascii="Arial" w:hAnsi="Arial" w:eastAsia="Calibri" w:cs="Arial"/>
          <w:color w:val="000000"/>
          <w:sz w:val="24"/>
          <w:szCs w:val="24"/>
          <w:lang w:val="it-IT"/>
        </w:rPr>
      </w:pPr>
      <w:r>
        <w:rPr>
          <w:rFonts w:ascii="Arial" w:hAnsi="Arial" w:eastAsia="Calibri" w:cs="Arial"/>
          <w:color w:val="000000"/>
          <w:sz w:val="24"/>
          <w:szCs w:val="24"/>
          <w:lang w:val="it-IT"/>
        </w:rPr>
        <w:t xml:space="preserve">                                                                                                           D</w:t>
      </w:r>
      <w:r>
        <w:rPr>
          <w:rFonts w:hint="default" w:ascii="Arial" w:hAnsi="Arial" w:eastAsia="Calibri" w:cs="Arial"/>
          <w:color w:val="000000"/>
          <w:sz w:val="24"/>
          <w:szCs w:val="24"/>
          <w:lang w:val="sr-Latn-RS"/>
        </w:rPr>
        <w:t>anko Dragovi</w:t>
      </w:r>
      <w:r>
        <w:rPr>
          <w:rFonts w:ascii="Arial" w:hAnsi="Arial" w:eastAsia="Calibri" w:cs="Arial"/>
          <w:color w:val="000000"/>
          <w:sz w:val="24"/>
          <w:szCs w:val="24"/>
          <w:lang w:val="it-IT"/>
        </w:rPr>
        <w:t xml:space="preserve">ć, </w:t>
      </w:r>
    </w:p>
    <w:p>
      <w:pPr>
        <w:tabs>
          <w:tab w:val="left" w:pos="6405"/>
          <w:tab w:val="left" w:pos="8235"/>
          <w:tab w:val="right" w:pos="9360"/>
        </w:tabs>
        <w:spacing w:after="0" w:line="240" w:lineRule="auto"/>
        <w:ind w:left="12233" w:leftChars="3597" w:hanging="4320" w:hangingChars="1800"/>
        <w:rPr>
          <w:rFonts w:ascii="Arial" w:hAnsi="Arial" w:eastAsia="Calibri" w:cs="Arial"/>
          <w:color w:val="000000"/>
          <w:sz w:val="24"/>
          <w:szCs w:val="24"/>
          <w:lang w:val="it-IT"/>
        </w:rPr>
      </w:pPr>
      <w:r>
        <w:rPr>
          <w:rFonts w:ascii="Arial" w:hAnsi="Arial" w:eastAsia="Calibri" w:cs="Arial"/>
          <w:i/>
          <w:color w:val="000000"/>
          <w:sz w:val="24"/>
          <w:szCs w:val="24"/>
          <w:lang w:val="it-IT"/>
        </w:rPr>
        <w:t>s.r.</w:t>
      </w:r>
    </w:p>
    <w:p>
      <w:pPr>
        <w:tabs>
          <w:tab w:val="left" w:pos="6405"/>
          <w:tab w:val="left" w:pos="6480"/>
          <w:tab w:val="left" w:pos="7200"/>
        </w:tabs>
        <w:spacing w:after="0" w:line="240" w:lineRule="auto"/>
        <w:rPr>
          <w:rFonts w:ascii="Arial" w:hAnsi="Arial" w:eastAsia="Calibri" w:cs="Arial"/>
          <w:i/>
          <w:color w:val="000000"/>
          <w:sz w:val="24"/>
          <w:szCs w:val="24"/>
          <w:lang w:val="it-IT"/>
        </w:rPr>
      </w:pPr>
      <w:r>
        <w:rPr>
          <w:rFonts w:ascii="Arial" w:hAnsi="Arial" w:eastAsia="Calibri" w:cs="Arial"/>
          <w:color w:val="000000"/>
          <w:sz w:val="24"/>
          <w:szCs w:val="24"/>
          <w:lang w:val="it-IT"/>
        </w:rPr>
        <w:t xml:space="preserve">                  </w:t>
      </w:r>
      <w:r>
        <w:rPr>
          <w:rFonts w:ascii="Arial" w:hAnsi="Arial" w:eastAsia="Calibri" w:cs="Arial"/>
          <w:color w:val="000000"/>
          <w:sz w:val="24"/>
          <w:szCs w:val="24"/>
          <w:lang w:val="it-IT"/>
        </w:rPr>
        <w:tab/>
      </w:r>
    </w:p>
    <w:p>
      <w:pPr>
        <w:tabs>
          <w:tab w:val="left" w:pos="6405"/>
        </w:tabs>
        <w:spacing w:after="0" w:line="240" w:lineRule="auto"/>
        <w:rPr>
          <w:rFonts w:ascii="Arial" w:hAnsi="Arial" w:eastAsia="Times New Roman" w:cs="Arial"/>
          <w:iCs/>
          <w:color w:val="000000"/>
          <w:sz w:val="24"/>
          <w:szCs w:val="24"/>
        </w:rPr>
      </w:pPr>
      <w:r>
        <w:rPr>
          <w:rFonts w:ascii="Arial" w:hAnsi="Arial" w:eastAsia="Calibri" w:cs="Arial"/>
          <w:color w:val="000000"/>
          <w:sz w:val="24"/>
          <w:szCs w:val="24"/>
          <w:lang w:val="it-IT"/>
        </w:rPr>
        <w:t xml:space="preserve">                                                                                              </w:t>
      </w:r>
      <w:r>
        <w:rPr>
          <w:rFonts w:ascii="Arial" w:hAnsi="Arial" w:eastAsia="Times New Roman" w:cs="Arial"/>
          <w:iCs/>
          <w:color w:val="000000"/>
          <w:sz w:val="24"/>
          <w:szCs w:val="24"/>
        </w:rPr>
        <w:t xml:space="preserve">       </w:t>
      </w:r>
    </w:p>
    <w:p>
      <w:pPr>
        <w:tabs>
          <w:tab w:val="left" w:pos="3290"/>
        </w:tabs>
        <w:spacing w:after="0" w:line="240" w:lineRule="auto"/>
        <w:ind w:left="8040" w:hanging="8040" w:hangingChars="3350"/>
        <w:rPr>
          <w:rFonts w:ascii="Arial" w:hAnsi="Arial" w:eastAsia="Times New Roman" w:cs="Arial"/>
          <w:iCs/>
          <w:color w:val="000000"/>
          <w:sz w:val="24"/>
          <w:szCs w:val="24"/>
        </w:rPr>
      </w:pPr>
      <w:r>
        <w:rPr>
          <w:rFonts w:ascii="Arial" w:hAnsi="Arial" w:eastAsia="Times New Roman" w:cs="Arial"/>
          <w:iCs/>
          <w:color w:val="000000"/>
          <w:sz w:val="24"/>
          <w:szCs w:val="24"/>
        </w:rPr>
        <w:t xml:space="preserve">           </w:t>
      </w:r>
      <w:r>
        <w:rPr>
          <w:rFonts w:hint="default" w:ascii="Arial" w:hAnsi="Arial" w:eastAsia="Times New Roman" w:cs="Arial"/>
          <w:iCs/>
          <w:color w:val="000000"/>
          <w:sz w:val="24"/>
          <w:szCs w:val="24"/>
          <w:lang w:val="sr-Latn-RS"/>
        </w:rPr>
        <w:t>Predsjednik</w:t>
      </w:r>
      <w:r>
        <w:rPr>
          <w:rFonts w:ascii="Arial" w:hAnsi="Arial" w:eastAsia="Times New Roman" w:cs="Arial"/>
          <w:iCs/>
          <w:color w:val="000000"/>
          <w:sz w:val="24"/>
          <w:szCs w:val="24"/>
        </w:rPr>
        <w:t xml:space="preserve"> komisije </w:t>
      </w:r>
      <w:r>
        <w:rPr>
          <w:rFonts w:ascii="Arial" w:hAnsi="Arial" w:eastAsia="Times New Roman" w:cs="Arial"/>
          <w:sz w:val="24"/>
          <w:szCs w:val="24"/>
        </w:rPr>
        <w:t>za sprovođenje postupka javne nabavk</w:t>
      </w:r>
      <w:r>
        <w:rPr>
          <w:rFonts w:ascii="Arial" w:hAnsi="Arial" w:eastAsia="Times New Roman" w:cs="Arial"/>
          <w:iCs/>
          <w:color w:val="000000"/>
          <w:sz w:val="24"/>
          <w:szCs w:val="24"/>
        </w:rPr>
        <w:t xml:space="preserve">e: </w:t>
      </w:r>
      <w:r>
        <w:rPr>
          <w:rFonts w:hint="default" w:ascii="Arial" w:hAnsi="Arial" w:eastAsia="Times New Roman" w:cs="Arial"/>
          <w:iCs/>
          <w:color w:val="000000"/>
          <w:sz w:val="24"/>
          <w:szCs w:val="24"/>
          <w:lang w:val="sr-Latn-RS"/>
        </w:rPr>
        <w:t>Danko Dragovi</w:t>
      </w:r>
      <w:r>
        <w:rPr>
          <w:rFonts w:hint="default" w:ascii="Arial" w:hAnsi="Arial" w:eastAsia="Times New Roman" w:cs="Arial"/>
          <w:iCs/>
          <w:color w:val="000000"/>
          <w:sz w:val="24"/>
          <w:szCs w:val="24"/>
          <w:lang w:val="sr-Latn-ME"/>
        </w:rPr>
        <w:t>ć</w:t>
      </w:r>
      <w:r>
        <w:rPr>
          <w:rFonts w:ascii="Arial" w:hAnsi="Arial" w:eastAsia="Times New Roman" w:cs="Arial"/>
          <w:iCs/>
          <w:color w:val="000000"/>
          <w:sz w:val="24"/>
          <w:szCs w:val="24"/>
        </w:rPr>
        <w:t xml:space="preserve">, </w:t>
      </w:r>
      <w:r>
        <w:rPr>
          <w:rFonts w:ascii="Arial" w:hAnsi="Arial" w:eastAsia="Times New Roman" w:cs="Arial"/>
          <w:i/>
          <w:iCs/>
          <w:color w:val="000000"/>
          <w:sz w:val="24"/>
          <w:szCs w:val="24"/>
        </w:rPr>
        <w:t>s.r.</w:t>
      </w: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sz w:val="24"/>
          <w:szCs w:val="24"/>
        </w:rPr>
      </w:pP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sz w:val="24"/>
          <w:szCs w:val="24"/>
        </w:rPr>
      </w:pPr>
    </w:p>
    <w:p>
      <w:pPr>
        <w:tabs>
          <w:tab w:val="left" w:pos="3290"/>
        </w:tabs>
        <w:spacing w:after="0" w:line="240" w:lineRule="auto"/>
        <w:jc w:val="center"/>
        <w:rPr>
          <w:rFonts w:ascii="Arial" w:hAnsi="Arial" w:eastAsia="Times New Roman" w:cs="Arial"/>
          <w:iCs/>
          <w:color w:val="000000"/>
          <w:sz w:val="24"/>
          <w:szCs w:val="24"/>
        </w:rPr>
      </w:pPr>
      <w:r>
        <w:rPr>
          <w:rFonts w:ascii="Arial" w:hAnsi="Arial" w:eastAsia="Times New Roman" w:cs="Arial"/>
          <w:iCs/>
          <w:color w:val="000000"/>
          <w:sz w:val="24"/>
          <w:szCs w:val="24"/>
        </w:rPr>
        <w:t xml:space="preserve"> Član komisije </w:t>
      </w:r>
      <w:r>
        <w:rPr>
          <w:rFonts w:ascii="Arial" w:hAnsi="Arial" w:eastAsia="Times New Roman" w:cs="Arial"/>
          <w:sz w:val="24"/>
          <w:szCs w:val="24"/>
        </w:rPr>
        <w:t>za sprovođenje postupka javne nabavk</w:t>
      </w:r>
      <w:r>
        <w:rPr>
          <w:rFonts w:ascii="Arial" w:hAnsi="Arial" w:eastAsia="Times New Roman" w:cs="Arial"/>
          <w:iCs/>
          <w:color w:val="000000"/>
          <w:sz w:val="24"/>
          <w:szCs w:val="24"/>
        </w:rPr>
        <w:t xml:space="preserve">e: </w:t>
      </w:r>
      <w:r>
        <w:rPr>
          <w:rFonts w:hint="default" w:ascii="Arial" w:hAnsi="Arial" w:eastAsia="Times New Roman" w:cs="Arial"/>
          <w:iCs/>
          <w:color w:val="000000"/>
          <w:sz w:val="24"/>
          <w:szCs w:val="24"/>
          <w:lang w:val="sr-Latn-ME"/>
        </w:rPr>
        <w:t>Sabina Metđonaj</w:t>
      </w:r>
      <w:r>
        <w:rPr>
          <w:rFonts w:ascii="Arial" w:hAnsi="Arial" w:eastAsia="Times New Roman" w:cs="Arial"/>
          <w:iCs/>
          <w:color w:val="000000"/>
          <w:sz w:val="24"/>
          <w:szCs w:val="24"/>
        </w:rPr>
        <w:t xml:space="preserve">, </w:t>
      </w:r>
    </w:p>
    <w:p>
      <w:pPr>
        <w:tabs>
          <w:tab w:val="left" w:pos="3290"/>
        </w:tabs>
        <w:spacing w:after="0" w:line="240" w:lineRule="auto"/>
        <w:jc w:val="center"/>
        <w:rPr>
          <w:rFonts w:ascii="Arial" w:hAnsi="Arial" w:eastAsia="Times New Roman" w:cs="Arial"/>
          <w:b/>
          <w:bCs/>
          <w:color w:val="000000"/>
          <w:sz w:val="24"/>
          <w:szCs w:val="24"/>
          <w:lang w:val="sr-Latn-ME"/>
        </w:rPr>
      </w:pPr>
      <w:r>
        <w:rPr>
          <w:rFonts w:hint="default" w:ascii="Arial" w:hAnsi="Arial" w:eastAsia="Times New Roman" w:cs="Arial"/>
          <w:iCs/>
          <w:color w:val="000000"/>
          <w:sz w:val="24"/>
          <w:szCs w:val="24"/>
          <w:lang w:val="sr-Latn-ME"/>
        </w:rPr>
        <w:t xml:space="preserve">                                                                                                          </w:t>
      </w:r>
      <w:r>
        <w:rPr>
          <w:rFonts w:ascii="Arial" w:hAnsi="Arial" w:eastAsia="Times New Roman" w:cs="Arial"/>
          <w:i/>
          <w:iCs/>
          <w:color w:val="000000"/>
          <w:sz w:val="24"/>
          <w:szCs w:val="24"/>
        </w:rPr>
        <w:t>s.r.</w:t>
      </w:r>
      <w:r>
        <w:rPr>
          <w:rFonts w:ascii="Arial" w:hAnsi="Arial" w:eastAsia="Times New Roman" w:cs="Arial"/>
          <w:iCs/>
          <w:color w:val="000000"/>
          <w:sz w:val="24"/>
          <w:szCs w:val="24"/>
        </w:rPr>
        <w:t xml:space="preserve">    </w:t>
      </w:r>
    </w:p>
    <w:p>
      <w:pPr>
        <w:tabs>
          <w:tab w:val="left" w:pos="3290"/>
        </w:tabs>
        <w:spacing w:after="0" w:line="240" w:lineRule="auto"/>
        <w:jc w:val="both"/>
        <w:rPr>
          <w:rFonts w:ascii="Arial" w:hAnsi="Arial" w:eastAsia="Times New Roman" w:cs="Arial"/>
          <w:color w:val="000000"/>
          <w:sz w:val="24"/>
          <w:szCs w:val="24"/>
          <w:lang w:val="sr-Latn-ME"/>
        </w:rPr>
      </w:pPr>
    </w:p>
    <w:p>
      <w:pPr>
        <w:tabs>
          <w:tab w:val="left" w:pos="3290"/>
        </w:tabs>
        <w:spacing w:after="0" w:line="480" w:lineRule="auto"/>
        <w:ind w:firstLine="720" w:firstLineChars="300"/>
        <w:rPr>
          <w:rFonts w:ascii="Arial" w:hAnsi="Arial" w:eastAsia="Times New Roman" w:cs="Arial"/>
          <w:iCs/>
          <w:color w:val="000000"/>
          <w:sz w:val="24"/>
          <w:szCs w:val="24"/>
        </w:rPr>
      </w:pPr>
      <w:r>
        <w:rPr>
          <w:rFonts w:ascii="Arial" w:hAnsi="Arial" w:eastAsia="Times New Roman" w:cs="Arial"/>
          <w:iCs/>
          <w:color w:val="000000"/>
          <w:sz w:val="24"/>
          <w:szCs w:val="24"/>
        </w:rPr>
        <w:t xml:space="preserve">Član komisije </w:t>
      </w:r>
      <w:r>
        <w:rPr>
          <w:rFonts w:ascii="Arial" w:hAnsi="Arial" w:eastAsia="Times New Roman" w:cs="Arial"/>
          <w:sz w:val="24"/>
          <w:szCs w:val="24"/>
        </w:rPr>
        <w:t>za sprovođenje postupka javne nabavk</w:t>
      </w:r>
      <w:r>
        <w:rPr>
          <w:rFonts w:ascii="Arial" w:hAnsi="Arial" w:eastAsia="Times New Roman" w:cs="Arial"/>
          <w:iCs/>
          <w:color w:val="000000"/>
          <w:sz w:val="24"/>
          <w:szCs w:val="24"/>
        </w:rPr>
        <w:t xml:space="preserve">e: </w:t>
      </w:r>
      <w:r>
        <w:rPr>
          <w:rFonts w:hint="default" w:ascii="Arial" w:hAnsi="Arial" w:eastAsia="Times New Roman" w:cs="Arial"/>
          <w:iCs/>
          <w:color w:val="000000"/>
          <w:sz w:val="24"/>
          <w:szCs w:val="24"/>
          <w:lang w:val="sr-Latn-ME"/>
        </w:rPr>
        <w:t>Milica Simović</w:t>
      </w:r>
      <w:r>
        <w:rPr>
          <w:rFonts w:ascii="Arial" w:hAnsi="Arial" w:eastAsia="Times New Roman" w:cs="Arial"/>
          <w:iCs/>
          <w:color w:val="000000"/>
          <w:sz w:val="24"/>
          <w:szCs w:val="24"/>
        </w:rPr>
        <w:t xml:space="preserve">, </w:t>
      </w:r>
    </w:p>
    <w:p>
      <w:pPr>
        <w:tabs>
          <w:tab w:val="left" w:pos="3290"/>
        </w:tabs>
        <w:spacing w:after="0" w:line="480" w:lineRule="auto"/>
        <w:jc w:val="center"/>
        <w:rPr>
          <w:rFonts w:ascii="Arial" w:hAnsi="Arial" w:eastAsia="Times New Roman" w:cs="Arial"/>
          <w:color w:val="000000"/>
          <w:sz w:val="24"/>
          <w:szCs w:val="24"/>
          <w:lang w:val="sr-Latn-ME"/>
        </w:rPr>
      </w:pPr>
      <w:r>
        <w:rPr>
          <w:rFonts w:hint="default" w:ascii="Arial" w:hAnsi="Arial" w:eastAsia="Times New Roman" w:cs="Arial"/>
          <w:i/>
          <w:iCs/>
          <w:color w:val="000000"/>
          <w:sz w:val="24"/>
          <w:szCs w:val="24"/>
          <w:lang w:val="sr-Latn-ME"/>
        </w:rPr>
        <w:t xml:space="preserve">                                                                                                       </w:t>
      </w:r>
      <w:r>
        <w:rPr>
          <w:rFonts w:ascii="Arial" w:hAnsi="Arial" w:eastAsia="Times New Roman" w:cs="Arial"/>
          <w:i/>
          <w:iCs/>
          <w:color w:val="000000"/>
          <w:sz w:val="24"/>
          <w:szCs w:val="24"/>
        </w:rPr>
        <w:t>s.r.,</w:t>
      </w:r>
    </w:p>
    <w:p>
      <w:pPr>
        <w:tabs>
          <w:tab w:val="left" w:pos="3290"/>
        </w:tabs>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r>
        <w:rPr>
          <w:rFonts w:ascii="Arial" w:hAnsi="Arial" w:eastAsia="Times New Roman" w:cs="Times New Roman"/>
          <w:b/>
          <w:sz w:val="24"/>
          <w:szCs w:val="24"/>
          <w:lang w:val="sr-Latn-ME"/>
        </w:rPr>
        <w:t>15. UPUTSTVO O PRAVNOM SREDSTVU</w:t>
      </w:r>
      <w:bookmarkEnd w:id="15"/>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10"/>
        <w:jc w:val="both"/>
        <w:rPr>
          <w:rFonts w:ascii="Arial" w:hAnsi="Arial" w:cs="Arial"/>
          <w:sz w:val="16"/>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10"/>
        <w:jc w:val="both"/>
        <w:rPr>
          <w:rFonts w:ascii="Arial" w:hAnsi="Arial" w:cs="Arial"/>
          <w:sz w:val="14"/>
          <w:szCs w:val="14"/>
          <w:lang w:val="sr-Latn-ME"/>
        </w:rPr>
      </w:pPr>
      <w:r>
        <w:rPr>
          <w:rStyle w:val="9"/>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cs="Arial"/>
          <w:color w:val="000000"/>
          <w:sz w:val="16"/>
          <w:szCs w:val="16"/>
        </w:rPr>
      </w:pPr>
      <w:r>
        <w:rPr>
          <w:rStyle w:val="9"/>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77579F6D"/>
    <w:multiLevelType w:val="singleLevel"/>
    <w:tmpl w:val="77579F6D"/>
    <w:lvl w:ilvl="0" w:tentative="0">
      <w:start w:val="2"/>
      <w:numFmt w:val="decimal"/>
      <w:suff w:val="space"/>
      <w:lvlText w:val="%1)"/>
      <w:lvlJc w:val="left"/>
    </w:lvl>
  </w:abstractNum>
  <w:num w:numId="1">
    <w:abstractNumId w:val="0"/>
  </w:num>
  <w:num w:numId="2">
    <w:abstractNumId w:val="2"/>
  </w:num>
  <w:num w:numId="3">
    <w:abstractNumId w:val="3"/>
  </w:num>
  <w:num w:numId="4">
    <w:abstractNumId w:val="4"/>
  </w:num>
  <w:num w:numId="5">
    <w:abstractNumId w:val="6"/>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hyphenationZone w:val="425"/>
  <w:characterSpacingControl w:val="doNotCompress"/>
  <w:footnotePr>
    <w:footnote w:id="16"/>
    <w:footnote w:id="1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14123"/>
    <w:rsid w:val="00041399"/>
    <w:rsid w:val="00051E7D"/>
    <w:rsid w:val="00061B98"/>
    <w:rsid w:val="00064CB2"/>
    <w:rsid w:val="000829C9"/>
    <w:rsid w:val="0008393F"/>
    <w:rsid w:val="00086C7C"/>
    <w:rsid w:val="00094244"/>
    <w:rsid w:val="00095E6A"/>
    <w:rsid w:val="000A1F38"/>
    <w:rsid w:val="000A2E6B"/>
    <w:rsid w:val="000B1411"/>
    <w:rsid w:val="000C07FE"/>
    <w:rsid w:val="000C35C2"/>
    <w:rsid w:val="000D5266"/>
    <w:rsid w:val="000D6330"/>
    <w:rsid w:val="000E27FE"/>
    <w:rsid w:val="000E5130"/>
    <w:rsid w:val="000F1933"/>
    <w:rsid w:val="000F7444"/>
    <w:rsid w:val="00102DCC"/>
    <w:rsid w:val="00103ED2"/>
    <w:rsid w:val="00110DB6"/>
    <w:rsid w:val="00113DB2"/>
    <w:rsid w:val="00113ECC"/>
    <w:rsid w:val="001252CA"/>
    <w:rsid w:val="00141904"/>
    <w:rsid w:val="001629FC"/>
    <w:rsid w:val="001637BB"/>
    <w:rsid w:val="00194F62"/>
    <w:rsid w:val="001A02EB"/>
    <w:rsid w:val="001B5949"/>
    <w:rsid w:val="001C00F8"/>
    <w:rsid w:val="001C16A1"/>
    <w:rsid w:val="001C1C59"/>
    <w:rsid w:val="001D3749"/>
    <w:rsid w:val="001D64EA"/>
    <w:rsid w:val="001F2AD9"/>
    <w:rsid w:val="001F54F1"/>
    <w:rsid w:val="00223C35"/>
    <w:rsid w:val="00226103"/>
    <w:rsid w:val="002401A8"/>
    <w:rsid w:val="00246961"/>
    <w:rsid w:val="0025046E"/>
    <w:rsid w:val="00254CF2"/>
    <w:rsid w:val="00261773"/>
    <w:rsid w:val="0026331D"/>
    <w:rsid w:val="00265B90"/>
    <w:rsid w:val="00272FFB"/>
    <w:rsid w:val="002812FB"/>
    <w:rsid w:val="0028395A"/>
    <w:rsid w:val="00285E8F"/>
    <w:rsid w:val="002A4077"/>
    <w:rsid w:val="002B070B"/>
    <w:rsid w:val="002B30D8"/>
    <w:rsid w:val="002C08BB"/>
    <w:rsid w:val="002D3267"/>
    <w:rsid w:val="002E3120"/>
    <w:rsid w:val="0030364F"/>
    <w:rsid w:val="0030418F"/>
    <w:rsid w:val="00306EE1"/>
    <w:rsid w:val="00313602"/>
    <w:rsid w:val="003137DB"/>
    <w:rsid w:val="00322095"/>
    <w:rsid w:val="00347864"/>
    <w:rsid w:val="00352698"/>
    <w:rsid w:val="0035493E"/>
    <w:rsid w:val="00354C1A"/>
    <w:rsid w:val="00360EEF"/>
    <w:rsid w:val="003865E5"/>
    <w:rsid w:val="003A2AF7"/>
    <w:rsid w:val="003B0FA7"/>
    <w:rsid w:val="003C16FE"/>
    <w:rsid w:val="003D252F"/>
    <w:rsid w:val="003D26E5"/>
    <w:rsid w:val="003E0703"/>
    <w:rsid w:val="003E4931"/>
    <w:rsid w:val="003F6787"/>
    <w:rsid w:val="00412386"/>
    <w:rsid w:val="00413720"/>
    <w:rsid w:val="00416A86"/>
    <w:rsid w:val="00421AD3"/>
    <w:rsid w:val="00425D13"/>
    <w:rsid w:val="00443ADF"/>
    <w:rsid w:val="00445F5A"/>
    <w:rsid w:val="0045709C"/>
    <w:rsid w:val="00457C21"/>
    <w:rsid w:val="00463786"/>
    <w:rsid w:val="00463E1B"/>
    <w:rsid w:val="004A6D3C"/>
    <w:rsid w:val="004B7984"/>
    <w:rsid w:val="004C2D42"/>
    <w:rsid w:val="004D13A4"/>
    <w:rsid w:val="004D2E26"/>
    <w:rsid w:val="004E5ED9"/>
    <w:rsid w:val="004E7352"/>
    <w:rsid w:val="0050148D"/>
    <w:rsid w:val="00517D9C"/>
    <w:rsid w:val="00545B4A"/>
    <w:rsid w:val="005509AA"/>
    <w:rsid w:val="0055551F"/>
    <w:rsid w:val="005623C2"/>
    <w:rsid w:val="005670DD"/>
    <w:rsid w:val="005811D6"/>
    <w:rsid w:val="00583BFC"/>
    <w:rsid w:val="00590064"/>
    <w:rsid w:val="00596EC5"/>
    <w:rsid w:val="005A1673"/>
    <w:rsid w:val="005B30E9"/>
    <w:rsid w:val="005C2C04"/>
    <w:rsid w:val="005E379F"/>
    <w:rsid w:val="006136AC"/>
    <w:rsid w:val="00615BD8"/>
    <w:rsid w:val="0064013C"/>
    <w:rsid w:val="006411AB"/>
    <w:rsid w:val="00657AE4"/>
    <w:rsid w:val="00662770"/>
    <w:rsid w:val="00672E37"/>
    <w:rsid w:val="00680489"/>
    <w:rsid w:val="006A212B"/>
    <w:rsid w:val="006B3DD6"/>
    <w:rsid w:val="006B7DA8"/>
    <w:rsid w:val="006D41C0"/>
    <w:rsid w:val="0070535D"/>
    <w:rsid w:val="00734F9F"/>
    <w:rsid w:val="007416F2"/>
    <w:rsid w:val="0078302A"/>
    <w:rsid w:val="007867ED"/>
    <w:rsid w:val="00793085"/>
    <w:rsid w:val="00795128"/>
    <w:rsid w:val="007959B1"/>
    <w:rsid w:val="007B326E"/>
    <w:rsid w:val="007B43D6"/>
    <w:rsid w:val="007B5FFB"/>
    <w:rsid w:val="007D1D53"/>
    <w:rsid w:val="007D3F9B"/>
    <w:rsid w:val="007E4B8E"/>
    <w:rsid w:val="007F016B"/>
    <w:rsid w:val="007F064D"/>
    <w:rsid w:val="007F0910"/>
    <w:rsid w:val="007F099B"/>
    <w:rsid w:val="007F7336"/>
    <w:rsid w:val="008005EE"/>
    <w:rsid w:val="00811C08"/>
    <w:rsid w:val="00830ED1"/>
    <w:rsid w:val="0083691F"/>
    <w:rsid w:val="00840992"/>
    <w:rsid w:val="0084411B"/>
    <w:rsid w:val="00851857"/>
    <w:rsid w:val="00871A3A"/>
    <w:rsid w:val="008C1281"/>
    <w:rsid w:val="008C7411"/>
    <w:rsid w:val="008C76B4"/>
    <w:rsid w:val="008D1F99"/>
    <w:rsid w:val="008D568B"/>
    <w:rsid w:val="008F60A6"/>
    <w:rsid w:val="009103F8"/>
    <w:rsid w:val="00930A55"/>
    <w:rsid w:val="00935A3C"/>
    <w:rsid w:val="00957E51"/>
    <w:rsid w:val="00964B62"/>
    <w:rsid w:val="009673A6"/>
    <w:rsid w:val="00971177"/>
    <w:rsid w:val="009722D6"/>
    <w:rsid w:val="00977C56"/>
    <w:rsid w:val="00977F8F"/>
    <w:rsid w:val="0098135C"/>
    <w:rsid w:val="0098197B"/>
    <w:rsid w:val="00995A49"/>
    <w:rsid w:val="009C37C1"/>
    <w:rsid w:val="009C4391"/>
    <w:rsid w:val="009E0AF6"/>
    <w:rsid w:val="009E763E"/>
    <w:rsid w:val="009F1184"/>
    <w:rsid w:val="009F2E7F"/>
    <w:rsid w:val="009F3410"/>
    <w:rsid w:val="00A03E4A"/>
    <w:rsid w:val="00A06A1D"/>
    <w:rsid w:val="00A21879"/>
    <w:rsid w:val="00A369BE"/>
    <w:rsid w:val="00A44B78"/>
    <w:rsid w:val="00A46DFB"/>
    <w:rsid w:val="00A54BE0"/>
    <w:rsid w:val="00A5772F"/>
    <w:rsid w:val="00A670D7"/>
    <w:rsid w:val="00A81CC3"/>
    <w:rsid w:val="00A967CE"/>
    <w:rsid w:val="00AB48E5"/>
    <w:rsid w:val="00AC3619"/>
    <w:rsid w:val="00AC73A6"/>
    <w:rsid w:val="00AD4B09"/>
    <w:rsid w:val="00AD6ECA"/>
    <w:rsid w:val="00AE1A06"/>
    <w:rsid w:val="00AE7923"/>
    <w:rsid w:val="00AF385F"/>
    <w:rsid w:val="00B02F55"/>
    <w:rsid w:val="00B22AF1"/>
    <w:rsid w:val="00B3146B"/>
    <w:rsid w:val="00B4041F"/>
    <w:rsid w:val="00B43933"/>
    <w:rsid w:val="00B45485"/>
    <w:rsid w:val="00B50606"/>
    <w:rsid w:val="00B60EB8"/>
    <w:rsid w:val="00B640BF"/>
    <w:rsid w:val="00B76CEA"/>
    <w:rsid w:val="00B76F8F"/>
    <w:rsid w:val="00B96C31"/>
    <w:rsid w:val="00B9733D"/>
    <w:rsid w:val="00BB42D7"/>
    <w:rsid w:val="00BD4DFF"/>
    <w:rsid w:val="00BD62E4"/>
    <w:rsid w:val="00BE0BBC"/>
    <w:rsid w:val="00BE2F98"/>
    <w:rsid w:val="00BE731E"/>
    <w:rsid w:val="00BF221D"/>
    <w:rsid w:val="00BF2E70"/>
    <w:rsid w:val="00BF51E2"/>
    <w:rsid w:val="00C038F9"/>
    <w:rsid w:val="00C1405B"/>
    <w:rsid w:val="00C142EF"/>
    <w:rsid w:val="00C25853"/>
    <w:rsid w:val="00C4104E"/>
    <w:rsid w:val="00C437C3"/>
    <w:rsid w:val="00C451F1"/>
    <w:rsid w:val="00C4628F"/>
    <w:rsid w:val="00C47618"/>
    <w:rsid w:val="00C5199D"/>
    <w:rsid w:val="00C53C6C"/>
    <w:rsid w:val="00C56232"/>
    <w:rsid w:val="00C5658A"/>
    <w:rsid w:val="00C56723"/>
    <w:rsid w:val="00C717B4"/>
    <w:rsid w:val="00CA129B"/>
    <w:rsid w:val="00CC1376"/>
    <w:rsid w:val="00CC7355"/>
    <w:rsid w:val="00CD769D"/>
    <w:rsid w:val="00CD7799"/>
    <w:rsid w:val="00CE1B09"/>
    <w:rsid w:val="00CF380C"/>
    <w:rsid w:val="00D0318B"/>
    <w:rsid w:val="00D16305"/>
    <w:rsid w:val="00D17344"/>
    <w:rsid w:val="00D3362D"/>
    <w:rsid w:val="00D4539F"/>
    <w:rsid w:val="00D55B8E"/>
    <w:rsid w:val="00D709B3"/>
    <w:rsid w:val="00D82C2B"/>
    <w:rsid w:val="00D82D9D"/>
    <w:rsid w:val="00D85340"/>
    <w:rsid w:val="00DA6A21"/>
    <w:rsid w:val="00DA7618"/>
    <w:rsid w:val="00DB6289"/>
    <w:rsid w:val="00DC37E9"/>
    <w:rsid w:val="00DD4AD8"/>
    <w:rsid w:val="00DD4F37"/>
    <w:rsid w:val="00DD5A43"/>
    <w:rsid w:val="00DE34BF"/>
    <w:rsid w:val="00DE37A4"/>
    <w:rsid w:val="00E03B04"/>
    <w:rsid w:val="00E03D5A"/>
    <w:rsid w:val="00E12DC6"/>
    <w:rsid w:val="00E15A9C"/>
    <w:rsid w:val="00E270ED"/>
    <w:rsid w:val="00E2754E"/>
    <w:rsid w:val="00E369E8"/>
    <w:rsid w:val="00E45D35"/>
    <w:rsid w:val="00E53679"/>
    <w:rsid w:val="00E60A6A"/>
    <w:rsid w:val="00E62B12"/>
    <w:rsid w:val="00E665A8"/>
    <w:rsid w:val="00E845FE"/>
    <w:rsid w:val="00EA30DD"/>
    <w:rsid w:val="00EA7F59"/>
    <w:rsid w:val="00EB7A1A"/>
    <w:rsid w:val="00EE1B13"/>
    <w:rsid w:val="00EE5AFE"/>
    <w:rsid w:val="00F25324"/>
    <w:rsid w:val="00F3566E"/>
    <w:rsid w:val="00F47A85"/>
    <w:rsid w:val="00F75C7D"/>
    <w:rsid w:val="00F80A87"/>
    <w:rsid w:val="00FC6EE6"/>
    <w:rsid w:val="00FD4599"/>
    <w:rsid w:val="00FE1841"/>
    <w:rsid w:val="00FE24AE"/>
    <w:rsid w:val="105D7394"/>
    <w:rsid w:val="31187955"/>
    <w:rsid w:val="322411E7"/>
    <w:rsid w:val="4B2F4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16"/>
    <w:semiHidden/>
    <w:unhideWhenUsed/>
    <w:qFormat/>
    <w:uiPriority w:val="99"/>
    <w:pPr>
      <w:spacing w:line="240" w:lineRule="auto"/>
    </w:pPr>
    <w:rPr>
      <w:sz w:val="20"/>
      <w:szCs w:val="20"/>
    </w:rPr>
  </w:style>
  <w:style w:type="paragraph" w:styleId="7">
    <w:name w:val="annotation subject"/>
    <w:basedOn w:val="6"/>
    <w:next w:val="6"/>
    <w:link w:val="17"/>
    <w:semiHidden/>
    <w:unhideWhenUsed/>
    <w:uiPriority w:val="99"/>
    <w:rPr>
      <w:b/>
      <w:bCs/>
    </w:rPr>
  </w:style>
  <w:style w:type="paragraph" w:styleId="8">
    <w:name w:val="footer"/>
    <w:basedOn w:val="1"/>
    <w:link w:val="15"/>
    <w:unhideWhenUsed/>
    <w:uiPriority w:val="99"/>
    <w:pPr>
      <w:tabs>
        <w:tab w:val="center" w:pos="4680"/>
        <w:tab w:val="right" w:pos="9360"/>
      </w:tabs>
      <w:spacing w:after="0" w:line="240" w:lineRule="auto"/>
    </w:pPr>
  </w:style>
  <w:style w:type="character" w:styleId="9">
    <w:name w:val="footnote reference"/>
    <w:unhideWhenUsed/>
    <w:uiPriority w:val="99"/>
    <w:rPr>
      <w:vertAlign w:val="superscript"/>
    </w:rPr>
  </w:style>
  <w:style w:type="paragraph" w:styleId="10">
    <w:name w:val="footnote text"/>
    <w:basedOn w:val="1"/>
    <w:link w:val="12"/>
    <w:unhideWhenUsed/>
    <w:uiPriority w:val="99"/>
    <w:pPr>
      <w:spacing w:after="0" w:line="240" w:lineRule="auto"/>
    </w:pPr>
    <w:rPr>
      <w:rFonts w:ascii="Calibri" w:hAnsi="Calibri" w:eastAsia="Calibri" w:cs="Times New Roman"/>
      <w:sz w:val="20"/>
      <w:szCs w:val="20"/>
    </w:rPr>
  </w:style>
  <w:style w:type="paragraph" w:styleId="11">
    <w:name w:val="header"/>
    <w:basedOn w:val="1"/>
    <w:link w:val="14"/>
    <w:unhideWhenUsed/>
    <w:qFormat/>
    <w:uiPriority w:val="99"/>
    <w:pPr>
      <w:tabs>
        <w:tab w:val="center" w:pos="4680"/>
        <w:tab w:val="right" w:pos="9360"/>
      </w:tabs>
      <w:spacing w:after="0" w:line="240" w:lineRule="auto"/>
    </w:pPr>
  </w:style>
  <w:style w:type="character" w:customStyle="1" w:styleId="12">
    <w:name w:val="Footnote Text Char"/>
    <w:basedOn w:val="2"/>
    <w:link w:val="10"/>
    <w:qFormat/>
    <w:uiPriority w:val="99"/>
    <w:rPr>
      <w:rFonts w:ascii="Calibri" w:hAnsi="Calibri" w:eastAsia="Calibri" w:cs="Times New Roman"/>
      <w:sz w:val="20"/>
      <w:szCs w:val="20"/>
    </w:rPr>
  </w:style>
  <w:style w:type="paragraph" w:styleId="13">
    <w:name w:val="List Paragraph"/>
    <w:basedOn w:val="1"/>
    <w:qFormat/>
    <w:uiPriority w:val="34"/>
    <w:pPr>
      <w:ind w:left="720"/>
      <w:contextualSpacing/>
    </w:pPr>
  </w:style>
  <w:style w:type="character" w:customStyle="1" w:styleId="14">
    <w:name w:val="Header Char"/>
    <w:basedOn w:val="2"/>
    <w:link w:val="11"/>
    <w:uiPriority w:val="99"/>
  </w:style>
  <w:style w:type="character" w:customStyle="1" w:styleId="15">
    <w:name w:val="Footer Char"/>
    <w:basedOn w:val="2"/>
    <w:link w:val="8"/>
    <w:uiPriority w:val="99"/>
  </w:style>
  <w:style w:type="character" w:customStyle="1" w:styleId="16">
    <w:name w:val="Comment Text Char"/>
    <w:basedOn w:val="2"/>
    <w:link w:val="6"/>
    <w:semiHidden/>
    <w:uiPriority w:val="99"/>
    <w:rPr>
      <w:sz w:val="20"/>
      <w:szCs w:val="20"/>
    </w:rPr>
  </w:style>
  <w:style w:type="character" w:customStyle="1" w:styleId="17">
    <w:name w:val="Comment Subject Char"/>
    <w:basedOn w:val="16"/>
    <w:link w:val="7"/>
    <w:semiHidden/>
    <w:uiPriority w:val="99"/>
    <w:rPr>
      <w:b/>
      <w:bCs/>
      <w:sz w:val="20"/>
      <w:szCs w:val="20"/>
    </w:rPr>
  </w:style>
  <w:style w:type="character" w:customStyle="1" w:styleId="18">
    <w:name w:val="Balloon Text Char"/>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6AE81-2129-4112-9ED1-AAA6AD38D590}">
  <ds:schemaRefs/>
</ds:datastoreItem>
</file>

<file path=docProps/app.xml><?xml version="1.0" encoding="utf-8"?>
<Properties xmlns="http://schemas.openxmlformats.org/officeDocument/2006/extended-properties" xmlns:vt="http://schemas.openxmlformats.org/officeDocument/2006/docPropsVTypes">
  <Template>Normal</Template>
  <Pages>14</Pages>
  <Words>3985</Words>
  <Characters>22720</Characters>
  <Lines>189</Lines>
  <Paragraphs>53</Paragraphs>
  <TotalTime>1</TotalTime>
  <ScaleCrop>false</ScaleCrop>
  <LinksUpToDate>false</LinksUpToDate>
  <CharactersWithSpaces>26652</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Dragan Prenkic</cp:lastModifiedBy>
  <dcterms:modified xsi:type="dcterms:W3CDTF">2025-12-17T20:40:40Z</dcterms:modified>
  <cp:revision>227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E9A48250ACFD4480A2097CB2D283489F</vt:lpwstr>
  </property>
</Properties>
</file>