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7DF958">
      <w:pPr>
        <w:spacing w:after="160" w:line="276" w:lineRule="auto"/>
        <w:rPr>
          <w:rFonts w:ascii="Arial" w:hAnsi="Arial" w:cs="Arial"/>
          <w:b/>
        </w:rPr>
      </w:pPr>
    </w:p>
    <w:p w14:paraId="30D36FF9">
      <w:pPr>
        <w:jc w:val="right"/>
        <w:rPr>
          <w:rFonts w:ascii="Arial" w:hAnsi="Arial" w:cs="Arial"/>
          <w:b/>
          <w:color w:val="000000"/>
        </w:rPr>
      </w:pPr>
    </w:p>
    <w:p w14:paraId="3A7B767A">
      <w:pPr>
        <w:jc w:val="right"/>
        <w:rPr>
          <w:rFonts w:ascii="Arial" w:hAnsi="Arial" w:cs="Arial"/>
          <w:b/>
          <w:color w:val="000000"/>
        </w:rPr>
      </w:pPr>
      <w:r>
        <w:rPr>
          <w:rFonts w:ascii="Arial" w:hAnsi="Arial" w:cs="Arial"/>
          <w:b/>
          <w:color w:val="000000"/>
        </w:rPr>
        <w:t xml:space="preserve"> OBRAZAC 1  </w:t>
      </w:r>
    </w:p>
    <w:p w14:paraId="2D7D0A0D">
      <w:pPr>
        <w:tabs>
          <w:tab w:val="left" w:pos="1701"/>
          <w:tab w:val="left" w:pos="4820"/>
        </w:tabs>
        <w:jc w:val="both"/>
        <w:rPr>
          <w:rFonts w:ascii="Arial" w:hAnsi="Arial" w:cs="Arial"/>
          <w:color w:val="000000"/>
        </w:rPr>
      </w:pPr>
      <w:r>
        <w:rPr>
          <w:rFonts w:ascii="Arial" w:hAnsi="Arial" w:cs="Arial"/>
          <w:color w:val="000000"/>
        </w:rPr>
        <w:t>DOO “Komunalno Andrijevica”</w:t>
      </w:r>
    </w:p>
    <w:p w14:paraId="30F7657F">
      <w:pPr>
        <w:jc w:val="both"/>
        <w:rPr>
          <w:rFonts w:hint="default" w:ascii="Arial" w:hAnsi="Arial" w:cs="Arial"/>
          <w:lang w:val="en-US"/>
        </w:rPr>
      </w:pPr>
      <w:r>
        <w:rPr>
          <w:rFonts w:ascii="Arial" w:hAnsi="Arial" w:cs="Arial"/>
        </w:rPr>
        <w:t xml:space="preserve">Broj iz evidencije postupaka javnih nabavki: </w:t>
      </w:r>
      <w:r>
        <w:rPr>
          <w:rFonts w:ascii="Arial" w:hAnsi="Arial" w:cs="Arial"/>
          <w:color w:val="222222"/>
          <w:shd w:val="clear" w:color="auto" w:fill="FFFFFF"/>
        </w:rPr>
        <w:t xml:space="preserve"> </w:t>
      </w:r>
      <w:r>
        <w:rPr>
          <w:rFonts w:hint="default" w:ascii="Arial" w:hAnsi="Arial" w:cs="Arial"/>
          <w:color w:val="222222"/>
          <w:shd w:val="clear" w:color="auto" w:fill="FFFFFF"/>
          <w:lang w:val="en-US"/>
        </w:rPr>
        <w:t>02-147/25-522</w:t>
      </w:r>
      <w:bookmarkStart w:id="19" w:name="_GoBack"/>
      <w:bookmarkEnd w:id="19"/>
    </w:p>
    <w:p w14:paraId="1DFD8BA3">
      <w:pPr>
        <w:jc w:val="both"/>
        <w:rPr>
          <w:rFonts w:ascii="Arial" w:hAnsi="Arial" w:cs="Arial"/>
          <w:color w:val="000000"/>
        </w:rPr>
      </w:pPr>
      <w:r>
        <w:rPr>
          <w:rFonts w:ascii="Arial" w:hAnsi="Arial" w:cs="Arial"/>
          <w:color w:val="000000"/>
        </w:rPr>
        <w:t>Redni broj iz Plana javnih nabavki : 9</w:t>
      </w:r>
    </w:p>
    <w:p w14:paraId="22E29F2B">
      <w:pPr>
        <w:jc w:val="both"/>
        <w:rPr>
          <w:rFonts w:ascii="Arial" w:hAnsi="Arial" w:cs="Arial"/>
          <w:b/>
          <w:bCs/>
          <w:color w:val="000000"/>
        </w:rPr>
      </w:pPr>
      <w:r>
        <w:rPr>
          <w:rFonts w:ascii="Arial" w:hAnsi="Arial" w:cs="Arial"/>
          <w:color w:val="000000"/>
        </w:rPr>
        <w:t>Andrijevica, 2</w:t>
      </w:r>
      <w:r>
        <w:rPr>
          <w:rFonts w:hint="default" w:ascii="Arial" w:hAnsi="Arial" w:cs="Arial"/>
          <w:color w:val="000000"/>
          <w:lang w:val="sr-Latn-RS"/>
        </w:rPr>
        <w:t>8</w:t>
      </w:r>
      <w:r>
        <w:rPr>
          <w:rFonts w:ascii="Arial" w:hAnsi="Arial" w:cs="Arial"/>
          <w:color w:val="000000"/>
        </w:rPr>
        <w:t>.</w:t>
      </w:r>
      <w:r>
        <w:rPr>
          <w:rFonts w:hint="default" w:ascii="Arial" w:hAnsi="Arial" w:cs="Arial"/>
          <w:color w:val="000000"/>
          <w:lang w:val="sr-Latn-RS"/>
        </w:rPr>
        <w:t>11</w:t>
      </w:r>
      <w:r>
        <w:rPr>
          <w:rFonts w:ascii="Arial" w:hAnsi="Arial" w:cs="Arial"/>
          <w:color w:val="000000"/>
        </w:rPr>
        <w:t>.202</w:t>
      </w:r>
      <w:r>
        <w:rPr>
          <w:rFonts w:hint="default" w:ascii="Arial" w:hAnsi="Arial" w:cs="Arial"/>
          <w:color w:val="000000"/>
          <w:lang w:val="sr-Latn-RS"/>
        </w:rPr>
        <w:t>5</w:t>
      </w:r>
      <w:r>
        <w:rPr>
          <w:rFonts w:ascii="Arial" w:hAnsi="Arial" w:cs="Arial"/>
          <w:color w:val="000000"/>
        </w:rPr>
        <w:t>. god</w:t>
      </w:r>
    </w:p>
    <w:p w14:paraId="6B00FBE0">
      <w:pPr>
        <w:rPr>
          <w:rFonts w:ascii="Arial" w:hAnsi="Arial" w:cs="Arial"/>
        </w:rPr>
      </w:pPr>
    </w:p>
    <w:p w14:paraId="1FCBB69D">
      <w:pPr>
        <w:rPr>
          <w:rFonts w:ascii="Arial" w:hAnsi="Arial" w:cs="Arial"/>
        </w:rPr>
      </w:pPr>
    </w:p>
    <w:p w14:paraId="652970C9">
      <w:pPr>
        <w:rPr>
          <w:rFonts w:ascii="Arial" w:hAnsi="Arial" w:cs="Arial"/>
        </w:rPr>
      </w:pPr>
    </w:p>
    <w:p w14:paraId="444E9081">
      <w:pPr>
        <w:tabs>
          <w:tab w:val="left" w:pos="1701"/>
          <w:tab w:val="left" w:pos="4820"/>
        </w:tabs>
        <w:jc w:val="both"/>
        <w:rPr>
          <w:rFonts w:ascii="Arial" w:hAnsi="Arial" w:cs="Arial"/>
          <w:color w:val="000000"/>
        </w:rPr>
      </w:pPr>
      <w:r>
        <w:rPr>
          <w:rFonts w:ascii="Arial" w:hAnsi="Arial" w:cs="Arial"/>
        </w:rPr>
        <w:t xml:space="preserve">Na osnovu člana 53 stav 3 Zakona o javnim nabavkama („Službeni list CG“, br. 74/19 i 3/23) </w:t>
      </w:r>
      <w:r>
        <w:rPr>
          <w:rFonts w:ascii="Arial" w:hAnsi="Arial" w:cs="Arial"/>
          <w:color w:val="000000"/>
        </w:rPr>
        <w:t>DOO “Komunalno Andrijevica”</w:t>
      </w:r>
    </w:p>
    <w:p w14:paraId="01D8C15D">
      <w:pPr>
        <w:tabs>
          <w:tab w:val="left" w:pos="1276"/>
          <w:tab w:val="left" w:pos="3261"/>
        </w:tabs>
        <w:jc w:val="both"/>
        <w:rPr>
          <w:rFonts w:ascii="Arial" w:hAnsi="Arial" w:cs="Arial"/>
          <w:b/>
          <w:bCs/>
          <w:color w:val="000000"/>
        </w:rPr>
      </w:pPr>
      <w:r>
        <w:rPr>
          <w:rFonts w:ascii="Arial" w:hAnsi="Arial" w:cs="Arial"/>
        </w:rPr>
        <w:t xml:space="preserve">   objavljuje</w:t>
      </w:r>
    </w:p>
    <w:p w14:paraId="737EC74D">
      <w:pPr>
        <w:tabs>
          <w:tab w:val="left" w:pos="1276"/>
          <w:tab w:val="left" w:pos="3261"/>
        </w:tabs>
        <w:jc w:val="both"/>
        <w:rPr>
          <w:rFonts w:ascii="Arial" w:hAnsi="Arial" w:cs="Arial"/>
          <w:b/>
          <w:bCs/>
          <w:color w:val="000000"/>
        </w:rPr>
      </w:pPr>
    </w:p>
    <w:p w14:paraId="61B0CFDB">
      <w:pPr>
        <w:tabs>
          <w:tab w:val="left" w:pos="1276"/>
          <w:tab w:val="left" w:pos="3261"/>
        </w:tabs>
        <w:jc w:val="both"/>
        <w:rPr>
          <w:rFonts w:ascii="Arial" w:hAnsi="Arial" w:cs="Arial"/>
          <w:b/>
          <w:bCs/>
          <w:color w:val="000000"/>
        </w:rPr>
      </w:pPr>
    </w:p>
    <w:p w14:paraId="5722F147">
      <w:pPr>
        <w:tabs>
          <w:tab w:val="left" w:pos="1276"/>
          <w:tab w:val="left" w:pos="3261"/>
        </w:tabs>
        <w:jc w:val="both"/>
        <w:rPr>
          <w:rFonts w:ascii="Arial" w:hAnsi="Arial" w:cs="Arial"/>
          <w:b/>
          <w:bCs/>
          <w:color w:val="000000"/>
        </w:rPr>
      </w:pPr>
    </w:p>
    <w:p w14:paraId="728F2022">
      <w:pPr>
        <w:tabs>
          <w:tab w:val="left" w:pos="1276"/>
          <w:tab w:val="left" w:pos="3261"/>
        </w:tabs>
        <w:jc w:val="both"/>
        <w:rPr>
          <w:rFonts w:ascii="Arial" w:hAnsi="Arial" w:cs="Arial"/>
          <w:b/>
          <w:bCs/>
          <w:color w:val="000000"/>
        </w:rPr>
      </w:pPr>
    </w:p>
    <w:p w14:paraId="77D0B567">
      <w:pPr>
        <w:tabs>
          <w:tab w:val="left" w:pos="1276"/>
          <w:tab w:val="left" w:pos="3261"/>
        </w:tabs>
        <w:jc w:val="both"/>
        <w:rPr>
          <w:rFonts w:ascii="Arial" w:hAnsi="Arial" w:cs="Arial"/>
          <w:b/>
          <w:bCs/>
          <w:color w:val="000000"/>
        </w:rPr>
      </w:pPr>
    </w:p>
    <w:p w14:paraId="1CCC36C4">
      <w:pPr>
        <w:tabs>
          <w:tab w:val="left" w:pos="1276"/>
          <w:tab w:val="left" w:pos="3261"/>
        </w:tabs>
        <w:jc w:val="both"/>
        <w:rPr>
          <w:rFonts w:ascii="Arial" w:hAnsi="Arial" w:cs="Arial"/>
        </w:rPr>
      </w:pPr>
      <w:r>
        <w:rPr>
          <w:rFonts w:ascii="Arial" w:hAnsi="Arial" w:cs="Arial"/>
          <w:b/>
          <w:bCs/>
          <w:color w:val="000000"/>
        </w:rPr>
        <w:tab/>
      </w:r>
    </w:p>
    <w:p w14:paraId="615DCAE7">
      <w:pPr>
        <w:keepNext/>
        <w:jc w:val="center"/>
        <w:outlineLvl w:val="0"/>
        <w:rPr>
          <w:rFonts w:ascii="Arial" w:hAnsi="Arial" w:cs="Arial"/>
          <w:b/>
          <w:bCs/>
          <w:color w:val="000000"/>
        </w:rPr>
      </w:pPr>
    </w:p>
    <w:p w14:paraId="663DE79E">
      <w:pPr>
        <w:jc w:val="center"/>
        <w:rPr>
          <w:rFonts w:ascii="Arial" w:hAnsi="Arial" w:cs="Arial"/>
          <w:b/>
          <w:bCs/>
          <w:color w:val="000000"/>
          <w:sz w:val="28"/>
          <w:szCs w:val="28"/>
        </w:rPr>
      </w:pPr>
      <w:r>
        <w:rPr>
          <w:rFonts w:ascii="Arial" w:hAnsi="Arial" w:cs="Arial"/>
          <w:b/>
          <w:bCs/>
          <w:color w:val="000000"/>
          <w:sz w:val="28"/>
          <w:szCs w:val="28"/>
        </w:rPr>
        <w:t>TENDERSKU DOKUMENTACIJU</w:t>
      </w:r>
    </w:p>
    <w:p w14:paraId="6FEB8138">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14:paraId="38C945F8">
      <w:pPr>
        <w:jc w:val="center"/>
        <w:rPr>
          <w:rFonts w:ascii="Arial" w:hAnsi="Arial" w:cs="Arial"/>
          <w:b/>
          <w:bCs/>
          <w:color w:val="000000"/>
          <w:sz w:val="28"/>
          <w:szCs w:val="28"/>
        </w:rPr>
      </w:pPr>
    </w:p>
    <w:p w14:paraId="1C8E020E">
      <w:pPr>
        <w:jc w:val="center"/>
        <w:rPr>
          <w:rFonts w:ascii="Arial" w:hAnsi="Arial" w:cs="Arial"/>
          <w:color w:val="000000"/>
        </w:rPr>
      </w:pPr>
      <w:r>
        <w:rPr>
          <w:rFonts w:ascii="Arial" w:hAnsi="Arial" w:cs="Arial"/>
          <w:color w:val="000000"/>
        </w:rPr>
        <w:t>Nabavka goriva</w:t>
      </w:r>
    </w:p>
    <w:p w14:paraId="0EF18717">
      <w:pPr>
        <w:rPr>
          <w:rFonts w:ascii="Arial" w:hAnsi="Arial" w:cs="Arial"/>
        </w:rPr>
      </w:pPr>
    </w:p>
    <w:p w14:paraId="62D83314">
      <w:pPr>
        <w:jc w:val="both"/>
        <w:rPr>
          <w:rFonts w:ascii="Arial" w:hAnsi="Arial" w:cs="Arial"/>
          <w:color w:val="000000"/>
        </w:rPr>
      </w:pPr>
      <w:r>
        <w:rPr>
          <w:rFonts w:ascii="Arial" w:hAnsi="Arial" w:cs="Arial"/>
          <w:color w:val="000000"/>
        </w:rPr>
        <w:t>Predmet nabavke se nabavlja:</w:t>
      </w:r>
    </w:p>
    <w:p w14:paraId="1B2C692C">
      <w:pPr>
        <w:jc w:val="both"/>
        <w:rPr>
          <w:rFonts w:ascii="Arial" w:hAnsi="Arial" w:cs="Arial"/>
          <w:color w:val="000000"/>
        </w:rPr>
      </w:pPr>
    </w:p>
    <w:p w14:paraId="11CB8DD6">
      <w:pPr>
        <w:jc w:val="both"/>
        <w:rPr>
          <w:rFonts w:ascii="Arial" w:hAnsi="Arial" w:cs="Arial"/>
          <w:color w:val="000000"/>
        </w:rPr>
      </w:pPr>
      <m:oMath>
        <m:r>
          <w:rPr>
            <w:rFonts w:ascii="Cambria Math" w:hAnsi="Cambria Math" w:cs="Arial"/>
            <w:color w:val="000000"/>
          </w:rPr>
          <w:sym w:font="Wingdings" w:char="F078"/>
        </m:r>
      </m:oMath>
      <w:r>
        <w:rPr>
          <w:rFonts w:ascii="Arial" w:hAnsi="Arial" w:cs="Arial"/>
          <w:color w:val="000000"/>
        </w:rPr>
        <w:t xml:space="preserve"> kao cjelina </w:t>
      </w:r>
    </w:p>
    <w:p w14:paraId="490CFDD8">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po partijama</w:t>
      </w:r>
    </w:p>
    <w:p w14:paraId="12731CAA">
      <w:pPr>
        <w:rPr>
          <w:rFonts w:ascii="Arial" w:hAnsi="Arial" w:cs="Arial"/>
          <w:color w:val="000000"/>
        </w:rPr>
      </w:pPr>
    </w:p>
    <w:p w14:paraId="651F6D63">
      <w:pPr>
        <w:rPr>
          <w:rFonts w:ascii="Arial" w:hAnsi="Arial" w:cs="Arial"/>
          <w:color w:val="000000"/>
        </w:rPr>
      </w:pPr>
    </w:p>
    <w:p w14:paraId="01B461AF">
      <w:pPr>
        <w:rPr>
          <w:rFonts w:ascii="Arial" w:hAnsi="Arial" w:cs="Arial"/>
          <w:color w:val="000000"/>
        </w:rPr>
      </w:pPr>
    </w:p>
    <w:p w14:paraId="00142D93">
      <w:pPr>
        <w:rPr>
          <w:rFonts w:ascii="Arial" w:hAnsi="Arial" w:cs="Arial"/>
          <w:color w:val="000000"/>
        </w:rPr>
      </w:pPr>
    </w:p>
    <w:p w14:paraId="21252052">
      <w:pPr>
        <w:rPr>
          <w:rFonts w:ascii="Arial" w:hAnsi="Arial" w:cs="Arial"/>
          <w:color w:val="000000"/>
        </w:rPr>
      </w:pPr>
    </w:p>
    <w:p w14:paraId="2855B1F1">
      <w:pPr>
        <w:rPr>
          <w:rFonts w:ascii="Arial" w:hAnsi="Arial" w:cs="Arial"/>
          <w:color w:val="000000"/>
        </w:rPr>
      </w:pPr>
    </w:p>
    <w:p w14:paraId="7A983058">
      <w:pPr>
        <w:rPr>
          <w:rFonts w:ascii="Arial" w:hAnsi="Arial" w:cs="Arial"/>
          <w:color w:val="000000"/>
        </w:rPr>
      </w:pPr>
    </w:p>
    <w:p w14:paraId="3B839498">
      <w:pPr>
        <w:rPr>
          <w:rFonts w:ascii="Arial" w:hAnsi="Arial" w:cs="Arial"/>
          <w:color w:val="000000"/>
        </w:rPr>
      </w:pPr>
    </w:p>
    <w:p w14:paraId="41E86DC0">
      <w:pPr>
        <w:rPr>
          <w:rFonts w:ascii="Arial" w:hAnsi="Arial" w:cs="Arial"/>
          <w:color w:val="000000"/>
        </w:rPr>
      </w:pPr>
    </w:p>
    <w:p w14:paraId="0CC7331F">
      <w:pPr>
        <w:rPr>
          <w:rFonts w:ascii="Arial" w:hAnsi="Arial" w:cs="Arial"/>
          <w:color w:val="000000"/>
        </w:rPr>
      </w:pPr>
    </w:p>
    <w:p w14:paraId="5100F3F8">
      <w:pPr>
        <w:rPr>
          <w:rFonts w:ascii="Arial" w:hAnsi="Arial" w:cs="Arial"/>
          <w:color w:val="000000"/>
        </w:rPr>
      </w:pPr>
    </w:p>
    <w:p w14:paraId="2C9C446A">
      <w:pPr>
        <w:rPr>
          <w:rFonts w:ascii="Arial" w:hAnsi="Arial" w:cs="Arial"/>
          <w:color w:val="000000"/>
        </w:rPr>
      </w:pPr>
    </w:p>
    <w:p w14:paraId="01F96FC0">
      <w:pPr>
        <w:rPr>
          <w:rFonts w:ascii="Arial" w:hAnsi="Arial" w:cs="Arial"/>
          <w:color w:val="000000"/>
        </w:rPr>
      </w:pPr>
    </w:p>
    <w:p w14:paraId="5940D90A">
      <w:pPr>
        <w:rPr>
          <w:rFonts w:ascii="Arial" w:hAnsi="Arial" w:cs="Arial"/>
          <w:color w:val="000000"/>
        </w:rPr>
      </w:pPr>
    </w:p>
    <w:p w14:paraId="27D328A2">
      <w:pPr>
        <w:rPr>
          <w:rFonts w:ascii="Arial" w:hAnsi="Arial" w:cs="Arial"/>
          <w:color w:val="000000"/>
        </w:rPr>
      </w:pPr>
    </w:p>
    <w:p w14:paraId="6ACA8AB8">
      <w:pPr>
        <w:rPr>
          <w:rFonts w:ascii="Arial" w:hAnsi="Arial" w:cs="Arial"/>
          <w:color w:val="000000"/>
        </w:rPr>
      </w:pPr>
    </w:p>
    <w:p w14:paraId="773893B3">
      <w:pPr>
        <w:rPr>
          <w:rFonts w:ascii="Arial" w:hAnsi="Arial" w:cs="Arial"/>
          <w:color w:val="000000"/>
        </w:rPr>
      </w:pPr>
    </w:p>
    <w:p w14:paraId="508738BB">
      <w:pPr>
        <w:rPr>
          <w:rFonts w:ascii="Arial" w:hAnsi="Arial" w:cs="Arial"/>
          <w:color w:val="000000"/>
        </w:rPr>
      </w:pPr>
    </w:p>
    <w:p w14:paraId="6E983DC4">
      <w:pPr>
        <w:rPr>
          <w:rFonts w:ascii="Arial" w:hAnsi="Arial" w:cs="Arial"/>
          <w:color w:val="000000"/>
        </w:rPr>
      </w:pPr>
    </w:p>
    <w:p w14:paraId="61866E41">
      <w:pPr>
        <w:rPr>
          <w:rFonts w:ascii="Arial" w:hAnsi="Arial" w:cs="Arial"/>
          <w:color w:val="000000"/>
        </w:rPr>
      </w:pPr>
    </w:p>
    <w:p w14:paraId="7D409CBC">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0" w:name="_Toc62730553"/>
      <w:r>
        <w:rPr>
          <w:rFonts w:ascii="Arial" w:hAnsi="Arial"/>
          <w:b/>
          <w:color w:val="000000"/>
          <w:szCs w:val="32"/>
        </w:rPr>
        <w:t>POZIV ZA NADMETANJE</w:t>
      </w:r>
      <w:r>
        <w:rPr>
          <w:rFonts w:ascii="Arial" w:hAnsi="Arial"/>
          <w:b/>
          <w:color w:val="000000"/>
          <w:szCs w:val="32"/>
          <w:vertAlign w:val="superscript"/>
        </w:rPr>
        <w:footnoteReference w:id="0"/>
      </w:r>
      <w:bookmarkEnd w:id="0"/>
    </w:p>
    <w:p w14:paraId="32C9D26E">
      <w:pPr>
        <w:rPr>
          <w:rFonts w:ascii="Arial" w:hAnsi="Arial" w:cs="Arial"/>
          <w:b/>
          <w:bCs/>
          <w:color w:val="000000"/>
        </w:rPr>
      </w:pPr>
      <w:r>
        <w:rPr>
          <w:rFonts w:ascii="Arial" w:hAnsi="Arial" w:cs="Arial"/>
          <w:b/>
          <w:bCs/>
          <w:color w:val="000000"/>
        </w:rPr>
        <w:tab/>
      </w:r>
    </w:p>
    <w:p w14:paraId="039AA2CD">
      <w:pPr>
        <w:ind w:left="360"/>
        <w:jc w:val="center"/>
        <w:rPr>
          <w:rFonts w:ascii="Arial" w:hAnsi="Arial" w:cs="Arial"/>
          <w:b/>
          <w:bCs/>
          <w:color w:val="000000"/>
        </w:rPr>
      </w:pPr>
    </w:p>
    <w:p w14:paraId="5E6447F8">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14:paraId="4829E975">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14:paraId="0AEE0AB8">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14:paraId="691DE6D2">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14:paraId="3B2CE60C">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14:paraId="44823972">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14:paraId="52E29125">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14:paraId="58E72443">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14:paraId="366706CA">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14:paraId="297C552A">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14:paraId="21DC07AC">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14:paraId="111F1C0B">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14:paraId="71837B34">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14:paraId="5C1A7658">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14:paraId="7E3B02EE">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14:paraId="38EC530E">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14:paraId="5D3B1DD2">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14:paraId="3FF3E40B">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14:paraId="0A806346">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14:paraId="7A6D2FC5">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14:paraId="49CE9360">
      <w:pPr>
        <w:rPr>
          <w:rFonts w:ascii="Calibri" w:hAnsi="Calibri" w:eastAsia="Calibri"/>
          <w:color w:val="000000"/>
          <w:sz w:val="22"/>
          <w:szCs w:val="22"/>
        </w:rPr>
      </w:pPr>
    </w:p>
    <w:p w14:paraId="14F898A1">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rFonts w:ascii="Arial" w:hAnsi="Arial"/>
          <w:b/>
          <w:color w:val="000000"/>
          <w:szCs w:val="32"/>
          <w:vertAlign w:val="superscript"/>
        </w:rPr>
        <w:footnoteReference w:id="2"/>
      </w:r>
      <w:bookmarkEnd w:id="1"/>
    </w:p>
    <w:p w14:paraId="2004084B">
      <w:pPr>
        <w:rPr>
          <w:rFonts w:ascii="Calibri" w:hAnsi="Calibri" w:eastAsia="Calibri"/>
          <w:color w:val="000000"/>
          <w:sz w:val="22"/>
          <w:szCs w:val="22"/>
        </w:rPr>
      </w:pPr>
    </w:p>
    <w:p w14:paraId="55BEFABD">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14:paraId="1AA6082B">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14:paraId="6E94157C">
      <w:pPr>
        <w:rPr>
          <w:rFonts w:ascii="Calibri" w:hAnsi="Calibri" w:eastAsia="Calibri"/>
          <w:color w:val="000000"/>
          <w:sz w:val="22"/>
          <w:szCs w:val="22"/>
        </w:rPr>
      </w:pPr>
    </w:p>
    <w:p w14:paraId="42093B4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rFonts w:ascii="Arial" w:hAnsi="Arial"/>
          <w:b/>
          <w:color w:val="000000"/>
          <w:szCs w:val="32"/>
          <w:vertAlign w:val="superscript"/>
        </w:rPr>
        <w:footnoteReference w:id="3"/>
      </w:r>
      <w:bookmarkEnd w:id="2"/>
    </w:p>
    <w:p w14:paraId="77339E67">
      <w:pPr>
        <w:jc w:val="both"/>
        <w:rPr>
          <w:rFonts w:ascii="Arial" w:hAnsi="Arial" w:cs="Arial"/>
          <w:b/>
          <w:bCs/>
          <w:color w:val="000000"/>
        </w:rPr>
      </w:pPr>
    </w:p>
    <w:p w14:paraId="1250DB8B">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14:paraId="43031C5E">
      <w:pPr>
        <w:spacing w:after="160" w:line="259" w:lineRule="auto"/>
        <w:jc w:val="both"/>
        <w:rPr>
          <w:rFonts w:ascii="Arial" w:hAnsi="Arial" w:eastAsia="Calibri" w:cs="Arial"/>
          <w:color w:val="000000"/>
          <w:sz w:val="22"/>
          <w:szCs w:val="22"/>
        </w:rPr>
      </w:pPr>
    </w:p>
    <w:p w14:paraId="696416D1">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14:paraId="3FCC3381">
      <w:pPr>
        <w:spacing w:after="160" w:line="259" w:lineRule="auto"/>
        <w:jc w:val="both"/>
        <w:rPr>
          <w:rFonts w:ascii="Arial" w:hAnsi="Arial" w:eastAsia="Calibri" w:cs="Arial"/>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 kao cjeline je  80.000 eur  ugovor se potpisuje na procijenjenu vrijednost. </w:t>
      </w:r>
    </w:p>
    <w:p w14:paraId="24F4D18D">
      <w:pPr>
        <w:jc w:val="both"/>
        <w:rPr>
          <w:rFonts w:ascii="Arial" w:hAnsi="Arial" w:cs="Arial"/>
          <w:b/>
          <w:bCs/>
          <w:color w:val="000000"/>
        </w:rPr>
      </w:pPr>
    </w:p>
    <w:p w14:paraId="5F17E6C9">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5"/>
      </w:r>
    </w:p>
    <w:p w14:paraId="32FDA1AF">
      <w:pPr>
        <w:jc w:val="both"/>
        <w:rPr>
          <w:rFonts w:ascii="Arial" w:hAnsi="Arial" w:cs="Arial"/>
          <w:color w:val="000000"/>
        </w:rPr>
      </w:pPr>
      <w:r>
        <w:rPr>
          <w:rFonts w:ascii="Arial" w:hAnsi="Arial" w:cs="Arial"/>
          <w:color w:val="000000"/>
        </w:rPr>
        <w:t>Predneti se nabavljaju kao jedna funkicionalana cjelina</w:t>
      </w:r>
    </w:p>
    <w:p w14:paraId="4730894C">
      <w:pPr>
        <w:jc w:val="both"/>
        <w:rPr>
          <w:rFonts w:ascii="Arial" w:hAnsi="Arial" w:cs="Arial"/>
          <w:color w:val="000000"/>
        </w:rPr>
      </w:pPr>
    </w:p>
    <w:p w14:paraId="2C0FF078">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7A88E67C">
      <w:pPr>
        <w:jc w:val="both"/>
        <w:rPr>
          <w:rFonts w:ascii="Arial" w:hAnsi="Arial" w:cs="Arial"/>
          <w:color w:val="000000"/>
        </w:rPr>
      </w:pPr>
    </w:p>
    <w:p w14:paraId="70FF1A68">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14:paraId="05A4EF43">
      <w:pPr>
        <w:jc w:val="both"/>
        <w:rPr>
          <w:rFonts w:ascii="Arial" w:hAnsi="Arial" w:cs="Arial"/>
          <w:color w:val="000000"/>
        </w:rPr>
      </w:pPr>
    </w:p>
    <w:p w14:paraId="237B8AF9">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14:paraId="558F3DAF">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da </w:t>
      </w:r>
    </w:p>
    <w:p w14:paraId="733E4A7F">
      <w:pPr>
        <w:jc w:val="both"/>
        <w:rPr>
          <w:rFonts w:ascii="Arial" w:hAnsi="Arial" w:cs="Arial"/>
          <w:color w:val="000000"/>
        </w:rPr>
      </w:pPr>
    </w:p>
    <w:p w14:paraId="37BCE7DE">
      <w:pPr>
        <w:jc w:val="both"/>
        <w:rPr>
          <w:rFonts w:ascii="Arial" w:hAnsi="Arial" w:cs="Arial"/>
          <w:b/>
          <w:bCs/>
          <w:color w:val="FF0000"/>
        </w:rPr>
      </w:pPr>
    </w:p>
    <w:p w14:paraId="651801B1">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14:paraId="6505DF88">
      <w:pPr>
        <w:jc w:val="both"/>
        <w:rPr>
          <w:rFonts w:ascii="Arial" w:hAnsi="Arial" w:cs="Arial"/>
          <w:b/>
          <w:bCs/>
          <w:color w:val="FF0000"/>
        </w:rPr>
      </w:pPr>
    </w:p>
    <w:p w14:paraId="2D5D4464">
      <w:pPr>
        <w:jc w:val="both"/>
        <w:rPr>
          <w:rFonts w:ascii="Arial" w:hAnsi="Arial" w:cs="Arial"/>
        </w:rPr>
      </w:pPr>
      <w:r>
        <w:rPr>
          <w:rFonts w:ascii="Arial" w:hAnsi="Arial" w:cs="Arial"/>
          <w:color w:val="000000"/>
        </w:rPr>
        <w:sym w:font="Wingdings" w:char="F0A8"/>
      </w:r>
      <w:r>
        <w:rPr>
          <w:rFonts w:ascii="Arial" w:hAnsi="Arial" w:cs="Arial"/>
        </w:rPr>
        <w:t>Da</w:t>
      </w:r>
    </w:p>
    <w:p w14:paraId="6E157DF4">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14:paraId="498DDA5F">
      <w:pPr>
        <w:jc w:val="both"/>
        <w:rPr>
          <w:rFonts w:ascii="Arial" w:hAnsi="Arial" w:cs="Arial"/>
          <w:b/>
          <w:bCs/>
          <w:color w:val="FF0000"/>
        </w:rPr>
      </w:pPr>
    </w:p>
    <w:p w14:paraId="61FF5B88">
      <w:pPr>
        <w:jc w:val="both"/>
        <w:rPr>
          <w:rFonts w:ascii="Arial" w:hAnsi="Arial" w:cs="Arial"/>
          <w:bCs/>
          <w:color w:val="000000"/>
        </w:rPr>
      </w:pPr>
      <w:r>
        <w:rPr>
          <w:rFonts w:ascii="Arial" w:hAnsi="Arial" w:cs="Arial"/>
          <w:bCs/>
          <w:color w:val="000000"/>
        </w:rPr>
        <w:t>Vrsta i uslovi rezervisane nabavke:__________________________ .</w:t>
      </w:r>
    </w:p>
    <w:p w14:paraId="1C67554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14:paraId="433EB18C">
      <w:pPr>
        <w:jc w:val="both"/>
        <w:rPr>
          <w:rFonts w:ascii="Arial" w:hAnsi="Arial" w:cs="Arial"/>
          <w:bCs/>
          <w:color w:val="FF0000"/>
        </w:rPr>
      </w:pPr>
    </w:p>
    <w:p w14:paraId="572E2944">
      <w:pPr>
        <w:jc w:val="both"/>
        <w:rPr>
          <w:rFonts w:ascii="Arial" w:hAnsi="Arial" w:cs="Arial"/>
          <w:bCs/>
          <w:color w:val="000000"/>
        </w:rPr>
      </w:pPr>
      <w:r>
        <w:rPr>
          <w:rFonts w:ascii="Arial" w:hAnsi="Arial" w:cs="Arial"/>
          <w:bCs/>
          <w:color w:val="000000"/>
        </w:rPr>
        <w:t>Način utvrđivanja ekvivalentnost  Nije primjenjivo</w:t>
      </w:r>
    </w:p>
    <w:p w14:paraId="20F1F4A4">
      <w:pPr>
        <w:jc w:val="both"/>
        <w:rPr>
          <w:rFonts w:ascii="Arial" w:hAnsi="Arial" w:cs="Arial"/>
          <w:bCs/>
          <w:color w:val="FF0000"/>
        </w:rPr>
      </w:pPr>
    </w:p>
    <w:p w14:paraId="7D42F05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14:paraId="0C0C6094">
      <w:pPr>
        <w:jc w:val="both"/>
        <w:rPr>
          <w:rFonts w:ascii="Arial" w:hAnsi="Arial" w:cs="Arial"/>
        </w:rPr>
      </w:pPr>
    </w:p>
    <w:p w14:paraId="51E1CF2D">
      <w:pPr>
        <w:rPr>
          <w:rFonts w:ascii="Arial" w:hAnsi="Arial" w:cs="Arial"/>
        </w:rPr>
      </w:pPr>
      <w:r>
        <w:rPr>
          <w:rFonts w:ascii="Arial" w:hAnsi="Arial" w:cs="Arial"/>
        </w:rPr>
        <w:t xml:space="preserve">Privredni subjekat će se isključiti iz postupka javne nabavke, ako: </w:t>
      </w:r>
    </w:p>
    <w:p w14:paraId="5ED5E124">
      <w:pPr>
        <w:numPr>
          <w:ilvl w:val="0"/>
          <w:numId w:val="6"/>
        </w:numPr>
        <w:rPr>
          <w:rFonts w:ascii="Arial" w:hAnsi="Arial" w:cs="Arial"/>
        </w:rPr>
      </w:pPr>
      <w:bookmarkStart w:id="5" w:name="_Toc62730558"/>
      <w:r>
        <w:rPr>
          <w:rFonts w:ascii="Arial" w:hAnsi="Arial" w:cs="Arial"/>
        </w:rPr>
        <w:t>je vršio neprimjeren uticaj u smislu člana 38 stav 2 tačka 1 ovog zakona;</w:t>
      </w:r>
    </w:p>
    <w:p w14:paraId="4E2AFC37">
      <w:pPr>
        <w:numPr>
          <w:ilvl w:val="0"/>
          <w:numId w:val="6"/>
        </w:numPr>
        <w:rPr>
          <w:rFonts w:ascii="Arial" w:hAnsi="Arial" w:cs="Arial"/>
        </w:rPr>
      </w:pPr>
      <w:r>
        <w:rPr>
          <w:rFonts w:ascii="Arial" w:hAnsi="Arial" w:cs="Arial"/>
        </w:rPr>
        <w:t>postoji sukob interesa iz člana 41 stav 1 tačka 2 ili člana 42 ovog zakona;</w:t>
      </w:r>
    </w:p>
    <w:p w14:paraId="621AB786">
      <w:pPr>
        <w:numPr>
          <w:ilvl w:val="0"/>
          <w:numId w:val="6"/>
        </w:numPr>
        <w:rPr>
          <w:rFonts w:ascii="Arial" w:hAnsi="Arial" w:cs="Arial"/>
        </w:rPr>
      </w:pPr>
      <w:r>
        <w:rPr>
          <w:rFonts w:ascii="Arial" w:hAnsi="Arial" w:cs="Arial"/>
        </w:rPr>
        <w:t>ne ispunjava uslov iz člana 99 ovog zakona;</w:t>
      </w:r>
    </w:p>
    <w:p w14:paraId="35FF7EF3">
      <w:pPr>
        <w:numPr>
          <w:ilvl w:val="0"/>
          <w:numId w:val="6"/>
        </w:numPr>
        <w:rPr>
          <w:rFonts w:ascii="Arial" w:hAnsi="Arial" w:cs="Arial"/>
        </w:rPr>
      </w:pPr>
      <w:r>
        <w:rPr>
          <w:rFonts w:ascii="Arial" w:hAnsi="Arial" w:cs="Arial"/>
        </w:rPr>
        <w:t>ne ispunjava uslov iz čl. 102, 104 ili 106 ovog zakona predviđen tenderskom dokumentacijom;</w:t>
      </w:r>
    </w:p>
    <w:p w14:paraId="25B60001">
      <w:pPr>
        <w:numPr>
          <w:ilvl w:val="0"/>
          <w:numId w:val="6"/>
        </w:numPr>
        <w:rPr>
          <w:rFonts w:ascii="Arial" w:hAnsi="Arial" w:cs="Arial"/>
        </w:rPr>
      </w:pPr>
      <w:r>
        <w:rPr>
          <w:rFonts w:ascii="Arial" w:hAnsi="Arial" w:cs="Arial"/>
        </w:rPr>
        <w:t>nije dostavio izjavu privrednog subjekta ili dostavljena izjava ne sadrži informacije i podatke tražene tenderskom dokumentacijom ili je nepravilno sačinjena;</w:t>
      </w:r>
    </w:p>
    <w:p w14:paraId="522AE407">
      <w:pPr>
        <w:numPr>
          <w:ilvl w:val="0"/>
          <w:numId w:val="6"/>
        </w:numPr>
        <w:rPr>
          <w:rFonts w:ascii="Arial" w:hAnsi="Arial" w:cs="Arial"/>
        </w:rPr>
      </w:pPr>
      <w:r>
        <w:rPr>
          <w:rFonts w:ascii="Arial" w:hAnsi="Arial" w:cs="Arial"/>
        </w:rPr>
        <w:t>postoji razlog na osnovu kojeg se smatra da je odustao od prijave, odnosno ponude, a koji je propisan članom 120 stav 15 ovog zakona;</w:t>
      </w:r>
    </w:p>
    <w:p w14:paraId="527ACD30">
      <w:pPr>
        <w:numPr>
          <w:ilvl w:val="0"/>
          <w:numId w:val="6"/>
        </w:numPr>
        <w:rPr>
          <w:rFonts w:ascii="Arial" w:hAnsi="Arial" w:cs="Arial"/>
        </w:rPr>
      </w:pPr>
      <w:r>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C1E92D0">
      <w:pPr>
        <w:numPr>
          <w:ilvl w:val="0"/>
          <w:numId w:val="6"/>
        </w:numPr>
        <w:rPr>
          <w:rFonts w:ascii="Arial" w:hAnsi="Arial" w:cs="Arial"/>
        </w:rPr>
      </w:pPr>
      <w:r>
        <w:rPr>
          <w:rFonts w:ascii="Arial" w:hAnsi="Arial" w:cs="Arial"/>
        </w:rPr>
        <w:t>postoji drugi razlog propisan ovim zakonom.</w:t>
      </w:r>
    </w:p>
    <w:p w14:paraId="4BF3106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r>
        <w:rPr>
          <w:rFonts w:ascii="Arial" w:hAnsi="Arial"/>
          <w:b/>
          <w:szCs w:val="32"/>
        </w:rPr>
        <w:t>SREDSTVA FINANSIJSKOG OBEZBJEĐENJA UGOVORA O JAVNOJ NABAVCI</w:t>
      </w:r>
      <w:bookmarkEnd w:id="5"/>
    </w:p>
    <w:p w14:paraId="46C81269">
      <w:pPr>
        <w:jc w:val="both"/>
        <w:rPr>
          <w:rFonts w:ascii="Arial" w:hAnsi="Arial" w:cs="Arial"/>
          <w:color w:val="000000"/>
        </w:rPr>
      </w:pPr>
    </w:p>
    <w:p w14:paraId="04771054">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66BA133F">
      <w:pPr>
        <w:jc w:val="both"/>
        <w:rPr>
          <w:rFonts w:ascii="Arial" w:hAnsi="Arial" w:cs="Arial"/>
        </w:rPr>
      </w:pPr>
      <w:r>
        <w:rPr>
          <w:rFonts w:ascii="Arial" w:hAnsi="Arial" w:cs="Arial"/>
          <w:color w:val="000000"/>
        </w:rPr>
        <w:sym w:font="Wingdings" w:char="F078"/>
      </w:r>
      <w:r>
        <w:rPr>
          <w:rFonts w:ascii="Arial" w:hAnsi="Arial" w:cs="Arial"/>
        </w:rPr>
        <w:t>garanciju za dobro izvršenje ugovora  ako su potpisnici dužni da ga izvršavaju</w:t>
      </w:r>
      <w:r>
        <w:rPr>
          <w:rFonts w:ascii="Arial" w:hAnsi="Arial" w:cs="Arial"/>
          <w:vertAlign w:val="superscript"/>
        </w:rPr>
        <w:footnoteReference w:id="7"/>
      </w:r>
      <w:r>
        <w:rPr>
          <w:rFonts w:ascii="Arial" w:hAnsi="Arial" w:cs="Arial"/>
        </w:rPr>
        <w:t xml:space="preserve">, za slučaj povrede ugovorenih obaveza </w:t>
      </w:r>
      <w:r>
        <w:rPr>
          <w:rFonts w:ascii="Arial" w:hAnsi="Arial" w:cs="Arial"/>
          <w:color w:val="000000"/>
        </w:rPr>
        <w:t>u iznosu od  5 % od vrijednosti ugovora</w:t>
      </w:r>
      <w:r>
        <w:rPr>
          <w:rFonts w:ascii="Arial" w:hAnsi="Arial" w:cs="Arial"/>
          <w:vertAlign w:val="superscript"/>
        </w:rPr>
        <w:footnoteReference w:id="8"/>
      </w:r>
    </w:p>
    <w:p w14:paraId="0B814297">
      <w:pPr>
        <w:jc w:val="both"/>
        <w:rPr>
          <w:rFonts w:ascii="Arial" w:hAnsi="Arial" w:cs="Arial"/>
        </w:rPr>
      </w:pPr>
      <w:r>
        <w:rPr>
          <w:rFonts w:ascii="Arial" w:hAnsi="Arial" w:cs="Arial"/>
          <w:color w:val="000000"/>
        </w:rPr>
        <w:sym w:font="Wingdings" w:char="F0A8"/>
      </w:r>
      <w:r>
        <w:rPr>
          <w:rFonts w:ascii="Arial" w:hAnsi="Arial" w:cs="Arial"/>
        </w:rPr>
        <w:t xml:space="preserve">avansnu garanciju, </w:t>
      </w:r>
      <w:r>
        <w:rPr>
          <w:rFonts w:ascii="Arial" w:hAnsi="Arial" w:cs="Arial"/>
          <w:color w:val="000000"/>
        </w:rPr>
        <w:t>za avansno plaćanje u iznosu ugovorenog avansa, sa rokom važenja za vrijeme ukupnog trajanja ugovora</w:t>
      </w:r>
    </w:p>
    <w:p w14:paraId="78E44124">
      <w:pPr>
        <w:jc w:val="both"/>
        <w:rPr>
          <w:rFonts w:ascii="Arial" w:hAnsi="Arial" w:cs="Arial"/>
        </w:rPr>
      </w:pPr>
      <w:r>
        <w:rPr>
          <w:rFonts w:ascii="Arial" w:hAnsi="Arial" w:cs="Arial"/>
          <w:color w:val="000000"/>
        </w:rPr>
        <w:sym w:font="Wingdings" w:char="F0A8"/>
      </w:r>
      <w:r>
        <w:rPr>
          <w:rFonts w:ascii="Arial" w:hAnsi="Arial" w:cs="Arial"/>
        </w:rPr>
        <w:t xml:space="preserve">garanciju za otklanjanje nedostataka u garantnom roku, za slučaj da izabrani ponuđač u garantnom roku ne ispuni obaveze na koje se garancija odnosi </w:t>
      </w:r>
      <w:r>
        <w:rPr>
          <w:rFonts w:ascii="Arial" w:hAnsi="Arial" w:cs="Arial"/>
          <w:color w:val="000000"/>
        </w:rPr>
        <w:t xml:space="preserve">u iznosu od _______% od vrijednosti ugovora </w:t>
      </w:r>
      <w:r>
        <w:rPr>
          <w:rFonts w:ascii="Arial" w:hAnsi="Arial" w:cs="Arial"/>
        </w:rPr>
        <w:t xml:space="preserve">sa rokom važenja od _________. </w:t>
      </w:r>
    </w:p>
    <w:p w14:paraId="67A3FB4F">
      <w:pPr>
        <w:jc w:val="both"/>
        <w:rPr>
          <w:rFonts w:ascii="Arial" w:hAnsi="Arial" w:cs="Arial"/>
        </w:rPr>
      </w:pPr>
      <w:r>
        <w:rPr>
          <w:rFonts w:ascii="Arial" w:hAnsi="Arial" w:cs="Arial"/>
          <w:color w:val="000000"/>
        </w:rPr>
        <w:sym w:font="Wingdings" w:char="F0A8"/>
      </w:r>
      <w:r>
        <w:rPr>
          <w:rFonts w:ascii="Arial" w:hAnsi="Arial" w:cs="Arial"/>
        </w:rPr>
        <w:t xml:space="preserve">polisu osiguranja od profesionalne odgovornosti u iznosu od ___________ eura sa rokom važenja od _________, u skladu sa zakonom; </w:t>
      </w:r>
    </w:p>
    <w:p w14:paraId="18ED0202">
      <w:pPr>
        <w:jc w:val="both"/>
        <w:rPr>
          <w:rFonts w:ascii="Arial" w:hAnsi="Arial" w:cs="Arial"/>
          <w:b/>
          <w:bCs/>
          <w:color w:val="000000"/>
        </w:rPr>
      </w:pPr>
      <w:r>
        <w:rPr>
          <w:rFonts w:ascii="Arial" w:hAnsi="Arial" w:cs="Arial"/>
          <w:color w:val="000000"/>
        </w:rPr>
        <w:sym w:font="Wingdings" w:char="F0A8"/>
      </w:r>
      <w:r>
        <w:rPr>
          <w:rFonts w:ascii="Arial" w:hAnsi="Arial" w:cs="Arial"/>
        </w:rPr>
        <w:t>druge vrste garancija u skladu sa zakonom:</w:t>
      </w:r>
    </w:p>
    <w:p w14:paraId="695537EE">
      <w:pPr>
        <w:jc w:val="both"/>
        <w:rPr>
          <w:rFonts w:ascii="Arial" w:hAnsi="Arial" w:eastAsia="Calibri" w:cs="Arial"/>
          <w:color w:val="000000"/>
        </w:rPr>
      </w:pPr>
    </w:p>
    <w:p w14:paraId="054F869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14:paraId="56EA5219">
      <w:pPr>
        <w:rPr>
          <w:rFonts w:ascii="Arial" w:hAnsi="Arial" w:cs="Arial"/>
        </w:rPr>
      </w:pPr>
    </w:p>
    <w:p w14:paraId="765C78B9">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9"/>
      </w:r>
      <w:r>
        <w:rPr>
          <w:rFonts w:ascii="Arial" w:hAnsi="Arial" w:cs="Arial"/>
        </w:rPr>
        <w:t xml:space="preserve">: </w:t>
      </w:r>
    </w:p>
    <w:p w14:paraId="549043C5">
      <w:pPr>
        <w:rPr>
          <w:rFonts w:ascii="Arial" w:hAnsi="Arial" w:cs="Arial"/>
        </w:rPr>
      </w:pPr>
      <w:r>
        <w:rPr>
          <w:rFonts w:ascii="Arial" w:hAnsi="Arial" w:cs="Arial"/>
          <w:color w:val="000000"/>
        </w:rPr>
        <w:sym w:font="Wingdings" w:char="F0A8"/>
      </w:r>
      <w:r>
        <w:rPr>
          <w:rFonts w:ascii="Arial" w:hAnsi="Arial" w:cs="Arial"/>
        </w:rPr>
        <w:t xml:space="preserve">cijena, </w:t>
      </w:r>
    </w:p>
    <w:p w14:paraId="3D84D26E">
      <w:pPr>
        <w:rPr>
          <w:rFonts w:ascii="Arial" w:hAnsi="Arial" w:cs="Arial"/>
        </w:rPr>
      </w:pPr>
      <w:r>
        <w:rPr>
          <w:rFonts w:ascii="Arial" w:hAnsi="Arial" w:cs="Arial"/>
          <w:color w:val="000000"/>
        </w:rPr>
        <w:sym w:font="Wingdings" w:char="F078"/>
      </w:r>
      <w:r>
        <w:rPr>
          <w:rFonts w:ascii="Arial" w:hAnsi="Arial" w:cs="Arial"/>
        </w:rPr>
        <w:t xml:space="preserve">odnos cijene i kvaliteta </w:t>
      </w:r>
    </w:p>
    <w:p w14:paraId="2B899516">
      <w:pPr>
        <w:rPr>
          <w:rFonts w:ascii="Arial" w:hAnsi="Arial" w:cs="Arial"/>
        </w:rPr>
      </w:pPr>
      <w:r>
        <w:rPr>
          <w:rFonts w:ascii="Arial" w:hAnsi="Arial" w:cs="Arial"/>
          <w:color w:val="000000"/>
        </w:rPr>
        <w:sym w:font="Wingdings" w:char="F0A8"/>
      </w:r>
      <w:r>
        <w:rPr>
          <w:rFonts w:ascii="Arial" w:hAnsi="Arial" w:cs="Arial"/>
        </w:rPr>
        <w:t>trošak životnog ciklusa.</w:t>
      </w:r>
    </w:p>
    <w:p w14:paraId="58293FA3">
      <w:pPr>
        <w:rPr>
          <w:rFonts w:ascii="Arial" w:hAnsi="Arial" w:cs="Arial"/>
        </w:rPr>
      </w:pPr>
    </w:p>
    <w:p w14:paraId="417B3777">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2F0BB59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Naručilac će u postupku javne nabavke izabrati ekonomski najpovoljniju ponudu, primjenom pristupa isplativosti, po osnovu kriterijuma : </w:t>
      </w:r>
    </w:p>
    <w:p w14:paraId="6F42F24B">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7656122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 odnos cijene i kvaliteta </w:t>
      </w:r>
    </w:p>
    <w:p w14:paraId="5F03DD40">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24BD42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Parametar: Cijena (C) ..................maksimalan broj bodova 90</w:t>
      </w:r>
    </w:p>
    <w:p w14:paraId="22172906">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Parametar: Kvalitet (K) .................maksimalan broj bodova 10</w:t>
      </w:r>
    </w:p>
    <w:p w14:paraId="6D8D95E1">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6BBBDC9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Ukupan broj bodova = broj bodova za ponuđenu cijenu (C) + broj bodova za kvalitet (K)</w:t>
      </w:r>
    </w:p>
    <w:p w14:paraId="210B40E3">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7C513D0">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Ponuđena cijena (C=90 bodova)</w:t>
      </w:r>
    </w:p>
    <w:p w14:paraId="6E95FA1C">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AA9056D">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kriterijum najniža ponuđena cijena iskazuje se na način što se najniže ponuđena  cijena podijeli sa ponuđenom cijenom i dobijeni količnik pomnoži sa brojem bodova (90 bodova) i to po formuli: </w:t>
      </w:r>
    </w:p>
    <w:p w14:paraId="1141E6D0">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2840869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C=(Cmin/Cp)x 90</w:t>
      </w:r>
    </w:p>
    <w:p w14:paraId="4E781E34">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Cmin-najniža ponuđena cijena (bez PDV-a)</w:t>
      </w:r>
    </w:p>
    <w:p w14:paraId="712B9870">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Cp-ponuđena cijena (bez PDV-a)</w:t>
      </w:r>
    </w:p>
    <w:p w14:paraId="308401F1">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7987A4F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2. Kvalitet (K) – rok izvršenja ugovora( 10 poena  </w:t>
      </w:r>
      <w:r>
        <w:t>Parametar kvalitet (K) vrednovaće se bodovanjem na osnovu Tehničke i tehnološke prednosti (broj stanica za snabdijevanje gorivom koje ponuđač ima na teritoriji opštine Andrijevica, sa radnim vremenom od 07-16 časa), i to na sljedeći način: Najvećim ponuđenim brojem stanica za snabdijevanje gorivom,koje ponuđač ima na teritoriji opštine Andrijevica sa radnim vremenom od 07-16 časa, dodjeljuje se maksimalni broj bodova - 10, dok se bodovi za ostale ponude obračunavaju u odnosu na najveći ponuđeni broj stanica za snabdijevanje gorivompo formuli: K = (Kp/ Kmax) x 10. - Kp – ponuđen broj stanica za snabdijevanje gorivom - Kmax – najveći ponuđeni broj stanica za snabdijevanje gorivom</w:t>
      </w:r>
    </w:p>
    <w:p w14:paraId="63D09250">
      <w:pPr>
        <w:pBdr>
          <w:top w:val="single" w:color="auto" w:sz="4" w:space="31"/>
          <w:left w:val="single" w:color="auto" w:sz="4" w:space="4"/>
          <w:bottom w:val="single" w:color="auto" w:sz="4" w:space="1"/>
          <w:right w:val="single" w:color="auto" w:sz="4" w:space="4"/>
        </w:pBdr>
        <w:jc w:val="both"/>
        <w:rPr>
          <w:rFonts w:ascii="Arial" w:hAnsi="Arial" w:cs="Arial"/>
          <w:i/>
          <w:color w:val="000000"/>
        </w:rPr>
      </w:pPr>
    </w:p>
    <w:p w14:paraId="5389E732">
      <w:pPr>
        <w:pBdr>
          <w:top w:val="single" w:color="auto" w:sz="4" w:space="31"/>
          <w:left w:val="single" w:color="auto" w:sz="4" w:space="4"/>
          <w:bottom w:val="single" w:color="auto" w:sz="4" w:space="1"/>
          <w:right w:val="single" w:color="auto" w:sz="4" w:space="4"/>
        </w:pBdr>
        <w:jc w:val="both"/>
        <w:rPr>
          <w:rFonts w:ascii="Arial" w:hAnsi="Arial" w:cs="Arial"/>
          <w:i/>
          <w:color w:val="000000"/>
        </w:rPr>
      </w:pPr>
    </w:p>
    <w:p w14:paraId="6C7744B9">
      <w:pPr>
        <w:jc w:val="both"/>
        <w:rPr>
          <w:rFonts w:ascii="Arial" w:hAnsi="Arial" w:cs="Arial"/>
          <w:color w:val="000000"/>
        </w:rPr>
      </w:pPr>
    </w:p>
    <w:p w14:paraId="36946C10">
      <w:pPr>
        <w:jc w:val="both"/>
        <w:rPr>
          <w:rFonts w:ascii="Arial" w:hAnsi="Arial" w:cs="Arial"/>
          <w:color w:val="000000"/>
        </w:rPr>
      </w:pPr>
    </w:p>
    <w:p w14:paraId="77026937">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7" w:name="_Toc62730560"/>
      <w:r>
        <w:rPr>
          <w:rFonts w:ascii="Arial" w:hAnsi="Arial"/>
          <w:b/>
          <w:szCs w:val="32"/>
        </w:rPr>
        <w:t>JEZIK PONUDE</w:t>
      </w:r>
      <w:bookmarkEnd w:id="7"/>
    </w:p>
    <w:p w14:paraId="328B6728">
      <w:pPr>
        <w:jc w:val="both"/>
        <w:rPr>
          <w:rFonts w:ascii="Arial" w:hAnsi="Arial" w:cs="Arial"/>
          <w:b/>
          <w:bCs/>
          <w:color w:val="000000"/>
        </w:rPr>
      </w:pPr>
    </w:p>
    <w:p w14:paraId="29012CE5">
      <w:pPr>
        <w:jc w:val="both"/>
        <w:rPr>
          <w:rFonts w:ascii="Arial" w:hAnsi="Arial" w:cs="Arial"/>
          <w:color w:val="000000"/>
        </w:rPr>
      </w:pPr>
      <w:r>
        <w:rPr>
          <w:rFonts w:ascii="Arial" w:hAnsi="Arial" w:cs="Arial"/>
          <w:color w:val="000000"/>
        </w:rPr>
        <w:t>Ponuda se sačinjava na:</w:t>
      </w:r>
    </w:p>
    <w:p w14:paraId="2D240BFC">
      <w:pPr>
        <w:jc w:val="both"/>
        <w:rPr>
          <w:rFonts w:ascii="Arial" w:hAnsi="Arial" w:cs="Arial"/>
          <w:b/>
          <w:bCs/>
          <w:color w:val="000000"/>
        </w:rPr>
      </w:pPr>
    </w:p>
    <w:p w14:paraId="5AEC7E43">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crnogorski jezik i drugi jezik koji je u službenoj upotrebi u Crnoj Gori, u skladu sa Ustavom i zakonom</w:t>
      </w:r>
    </w:p>
    <w:p w14:paraId="3DB4C7A0">
      <w:pPr>
        <w:jc w:val="both"/>
        <w:rPr>
          <w:rFonts w:ascii="Arial" w:hAnsi="Arial" w:cs="Arial"/>
        </w:rPr>
      </w:pPr>
    </w:p>
    <w:p w14:paraId="5B5B258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8" w:name="_Toc62730561"/>
      <w:r>
        <w:rPr>
          <w:rFonts w:ascii="Arial" w:hAnsi="Arial"/>
          <w:b/>
          <w:szCs w:val="32"/>
        </w:rPr>
        <w:t>NAČIN, MJESTO I VRIJEME PODNOŠENJA PONUDA I OTVARANJA PONUDA</w:t>
      </w:r>
      <w:bookmarkEnd w:id="8"/>
    </w:p>
    <w:p w14:paraId="52BCB005">
      <w:pPr>
        <w:jc w:val="both"/>
        <w:rPr>
          <w:rFonts w:ascii="Arial" w:hAnsi="Arial" w:cs="Arial"/>
          <w:b/>
          <w:bCs/>
          <w:color w:val="000000"/>
        </w:rPr>
      </w:pPr>
    </w:p>
    <w:p w14:paraId="2BB99E30">
      <w:pPr>
        <w:jc w:val="both"/>
        <w:rPr>
          <w:rFonts w:ascii="Arial" w:hAnsi="Arial" w:cs="Arial"/>
          <w:color w:val="000000"/>
        </w:rPr>
      </w:pPr>
      <w:r>
        <w:rPr>
          <w:rFonts w:ascii="Arial" w:hAnsi="Arial" w:cs="Arial"/>
          <w:color w:val="000000"/>
        </w:rPr>
        <w:t>Ponude se podnose preko ESJN-a zaključno sa danom 1</w:t>
      </w:r>
      <w:r>
        <w:rPr>
          <w:rFonts w:hint="default" w:ascii="Arial" w:hAnsi="Arial" w:cs="Arial"/>
          <w:color w:val="000000"/>
          <w:lang w:val="sr-Latn-RS"/>
        </w:rPr>
        <w:t>5</w:t>
      </w:r>
      <w:r>
        <w:rPr>
          <w:rFonts w:ascii="Arial" w:hAnsi="Arial" w:cs="Arial"/>
          <w:color w:val="000000"/>
        </w:rPr>
        <w:t>.</w:t>
      </w:r>
      <w:r>
        <w:rPr>
          <w:rFonts w:hint="default" w:ascii="Arial" w:hAnsi="Arial" w:cs="Arial"/>
          <w:color w:val="000000"/>
          <w:lang w:val="sr-Latn-RS"/>
        </w:rPr>
        <w:t>12</w:t>
      </w:r>
      <w:r>
        <w:rPr>
          <w:rFonts w:ascii="Arial" w:hAnsi="Arial" w:cs="Arial"/>
          <w:color w:val="000000"/>
        </w:rPr>
        <w:t>.202</w:t>
      </w:r>
      <w:r>
        <w:rPr>
          <w:rFonts w:hint="default" w:ascii="Arial" w:hAnsi="Arial" w:cs="Arial"/>
          <w:color w:val="000000"/>
          <w:lang w:val="sr-Latn-RS"/>
        </w:rPr>
        <w:t>5</w:t>
      </w:r>
      <w:r>
        <w:rPr>
          <w:rFonts w:ascii="Arial" w:hAnsi="Arial" w:cs="Arial"/>
          <w:color w:val="000000"/>
        </w:rPr>
        <w:t xml:space="preserve"> godine do </w:t>
      </w:r>
      <w:r>
        <w:rPr>
          <w:rFonts w:hint="default" w:ascii="Arial" w:hAnsi="Arial" w:cs="Arial"/>
          <w:color w:val="000000"/>
          <w:lang w:val="sr-Latn-RS"/>
        </w:rPr>
        <w:t>9</w:t>
      </w:r>
      <w:r>
        <w:rPr>
          <w:rFonts w:ascii="Arial" w:hAnsi="Arial" w:cs="Arial"/>
          <w:color w:val="000000"/>
        </w:rPr>
        <w:t xml:space="preserve"> sati.</w:t>
      </w:r>
    </w:p>
    <w:p w14:paraId="0AF66045">
      <w:pPr>
        <w:jc w:val="both"/>
        <w:rPr>
          <w:rFonts w:ascii="Arial" w:hAnsi="Arial" w:cs="Arial"/>
          <w:b/>
          <w:bCs/>
          <w:i/>
          <w:iCs/>
          <w:color w:val="000000"/>
        </w:rPr>
      </w:pPr>
    </w:p>
    <w:p w14:paraId="28D7FFD3">
      <w:pPr>
        <w:jc w:val="both"/>
        <w:rPr>
          <w:rFonts w:ascii="Arial" w:hAnsi="Arial" w:cs="Arial"/>
          <w:color w:val="000000"/>
        </w:rPr>
      </w:pPr>
      <w:r>
        <w:rPr>
          <w:rFonts w:ascii="Arial" w:hAnsi="Arial" w:cs="Arial"/>
          <w:color w:val="000000"/>
        </w:rPr>
        <w:t>Otvaranje ponuda održaće se dana  1</w:t>
      </w:r>
      <w:r>
        <w:rPr>
          <w:rFonts w:hint="default" w:ascii="Arial" w:hAnsi="Arial" w:cs="Arial"/>
          <w:color w:val="000000"/>
          <w:lang w:val="sr-Latn-RS"/>
        </w:rPr>
        <w:t>5</w:t>
      </w:r>
      <w:r>
        <w:rPr>
          <w:rFonts w:ascii="Arial" w:hAnsi="Arial" w:cs="Arial"/>
          <w:color w:val="000000"/>
        </w:rPr>
        <w:t>.</w:t>
      </w:r>
      <w:r>
        <w:rPr>
          <w:rFonts w:hint="default" w:ascii="Arial" w:hAnsi="Arial" w:cs="Arial"/>
          <w:color w:val="000000"/>
          <w:lang w:val="sr-Latn-RS"/>
        </w:rPr>
        <w:t>12</w:t>
      </w:r>
      <w:r>
        <w:rPr>
          <w:rFonts w:ascii="Arial" w:hAnsi="Arial" w:cs="Arial"/>
          <w:color w:val="000000"/>
        </w:rPr>
        <w:t>.202</w:t>
      </w:r>
      <w:r>
        <w:rPr>
          <w:rFonts w:hint="default" w:ascii="Arial" w:hAnsi="Arial" w:cs="Arial"/>
          <w:color w:val="000000"/>
          <w:lang w:val="sr-Latn-RS"/>
        </w:rPr>
        <w:t>5</w:t>
      </w:r>
      <w:r>
        <w:rPr>
          <w:rFonts w:ascii="Arial" w:hAnsi="Arial" w:cs="Arial"/>
          <w:color w:val="000000"/>
        </w:rPr>
        <w:t xml:space="preserve">. godine u </w:t>
      </w:r>
      <w:r>
        <w:rPr>
          <w:rFonts w:hint="default" w:ascii="Arial" w:hAnsi="Arial" w:cs="Arial"/>
          <w:color w:val="000000"/>
          <w:lang w:val="sr-Latn-RS"/>
        </w:rPr>
        <w:t>9</w:t>
      </w:r>
      <w:r>
        <w:rPr>
          <w:rFonts w:ascii="Arial" w:hAnsi="Arial" w:cs="Arial"/>
          <w:color w:val="000000"/>
        </w:rPr>
        <w:t xml:space="preserve"> sati. </w:t>
      </w:r>
    </w:p>
    <w:p w14:paraId="017E0372">
      <w:pPr>
        <w:jc w:val="both"/>
        <w:rPr>
          <w:rFonts w:ascii="Arial" w:hAnsi="Arial" w:cs="Arial"/>
          <w:color w:val="000000"/>
        </w:rPr>
      </w:pPr>
    </w:p>
    <w:p w14:paraId="5A56CBF5">
      <w:pPr>
        <w:pStyle w:val="8"/>
        <w:rPr>
          <w:rFonts w:ascii="Arial" w:hAnsi="Arial" w:cs="Arial"/>
          <w:sz w:val="24"/>
          <w:szCs w:val="24"/>
        </w:rPr>
      </w:pPr>
      <w:r>
        <w:rPr>
          <w:rFonts w:ascii="Arial" w:hAnsi="Arial" w:cs="Arial"/>
          <w:sz w:val="24"/>
          <w:szCs w:val="24"/>
        </w:rPr>
        <w:t>Izjava privrednog subjekta i garancija ponude podnose se u elektronskom obliku putem ESJN.</w:t>
      </w:r>
    </w:p>
    <w:p w14:paraId="4EDB61E7">
      <w:pPr>
        <w:jc w:val="both"/>
        <w:rPr>
          <w:rFonts w:ascii="Arial" w:hAnsi="Arial" w:cs="Arial"/>
          <w:shd w:val="clear" w:color="auto" w:fill="FFFFFF"/>
        </w:rPr>
      </w:pPr>
      <w:r>
        <w:rPr>
          <w:rFonts w:ascii="Arial" w:hAnsi="Arial" w:cs="Arial"/>
        </w:rPr>
        <w:t xml:space="preserve">Izuzetno ako ponuđač ne može da garanciju ponude podnese u elektronskom obliku, dužan je da putem ESJN dostavi kopiju garancije ponude, a da original garancije ponude dostavi, odnosno uruči naručiocu neposredno ili putem pošte </w:t>
      </w:r>
      <w:r>
        <w:rPr>
          <w:rFonts w:ascii="Arial" w:hAnsi="Arial" w:cs="Arial"/>
          <w:shd w:val="clear" w:color="auto" w:fill="FFFFFF"/>
        </w:rPr>
        <w:t xml:space="preserve">preporučenom pošiljkom sa povratnicom na adresi </w:t>
      </w:r>
      <w:bookmarkStart w:id="9" w:name="_Hlk159881216"/>
      <w:r>
        <w:rPr>
          <w:rFonts w:ascii="Arial" w:hAnsi="Arial" w:cs="Arial"/>
          <w:shd w:val="clear" w:color="auto" w:fill="FFFFFF"/>
        </w:rPr>
        <w:t xml:space="preserve">doo Komunalno Andrijevica, Gornjomalska bb </w:t>
      </w:r>
      <w:bookmarkEnd w:id="9"/>
      <w:r>
        <w:rPr>
          <w:rFonts w:ascii="Arial" w:hAnsi="Arial" w:cs="Arial"/>
          <w:shd w:val="clear" w:color="auto" w:fill="FFFFFF"/>
        </w:rPr>
        <w:t>tim što Garancija ponude mora biti uručena od strane poštanskog operatora najkasnije do roka određenog za podnošenje ponude, radnim danima od 8 do 14 sati, zaključno sa danom 1</w:t>
      </w:r>
      <w:r>
        <w:rPr>
          <w:rFonts w:hint="default" w:ascii="Arial" w:hAnsi="Arial" w:cs="Arial"/>
          <w:shd w:val="clear" w:color="auto" w:fill="FFFFFF"/>
          <w:lang w:val="sr-Latn-RS"/>
        </w:rPr>
        <w:t>5</w:t>
      </w:r>
      <w:r>
        <w:rPr>
          <w:rFonts w:ascii="Arial" w:hAnsi="Arial" w:cs="Arial"/>
          <w:shd w:val="clear" w:color="auto" w:fill="FFFFFF"/>
        </w:rPr>
        <w:t>.</w:t>
      </w:r>
      <w:r>
        <w:rPr>
          <w:rFonts w:hint="default" w:ascii="Arial" w:hAnsi="Arial" w:cs="Arial"/>
          <w:shd w:val="clear" w:color="auto" w:fill="FFFFFF"/>
          <w:lang w:val="sr-Latn-RS"/>
        </w:rPr>
        <w:t>12</w:t>
      </w:r>
      <w:r>
        <w:rPr>
          <w:rFonts w:ascii="Arial" w:hAnsi="Arial" w:cs="Arial"/>
          <w:shd w:val="clear" w:color="auto" w:fill="FFFFFF"/>
        </w:rPr>
        <w:t>.202</w:t>
      </w:r>
      <w:r>
        <w:rPr>
          <w:rFonts w:hint="default" w:ascii="Arial" w:hAnsi="Arial" w:cs="Arial"/>
          <w:shd w:val="clear" w:color="auto" w:fill="FFFFFF"/>
          <w:lang w:val="sr-Latn-RS"/>
        </w:rPr>
        <w:t>5</w:t>
      </w:r>
      <w:r>
        <w:rPr>
          <w:rFonts w:ascii="Arial" w:hAnsi="Arial" w:cs="Arial"/>
          <w:shd w:val="clear" w:color="auto" w:fill="FFFFFF"/>
        </w:rPr>
        <w:t>. godine do 0</w:t>
      </w:r>
      <w:r>
        <w:rPr>
          <w:rFonts w:hint="default" w:ascii="Arial" w:hAnsi="Arial" w:cs="Arial"/>
          <w:shd w:val="clear" w:color="auto" w:fill="FFFFFF"/>
          <w:lang w:val="sr-Latn-RS"/>
        </w:rPr>
        <w:t>9</w:t>
      </w:r>
      <w:r>
        <w:rPr>
          <w:rFonts w:ascii="Arial" w:hAnsi="Arial" w:cs="Arial"/>
          <w:shd w:val="clear" w:color="auto" w:fill="FFFFFF"/>
        </w:rPr>
        <w:t>:00 sati.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Pr>
          <w:rFonts w:ascii="Arial" w:hAnsi="Arial" w:cs="Arial"/>
          <w:shd w:val="clear" w:color="auto" w:fill="FFFFFF"/>
        </w:rPr>
        <w:sym w:font="Symbol" w:char="F0FC"/>
      </w:r>
      <w:r>
        <w:rPr>
          <w:rFonts w:ascii="Arial" w:hAnsi="Arial" w:cs="Arial"/>
          <w:shd w:val="clear" w:color="auto" w:fill="FFFFFF"/>
        </w:rPr>
        <w:t xml:space="preserve"> neposrednom predajom na arhivi naručioca na adresi  doo Komunalno Andrijevica, Gornjomalska bb, Andrijevica</w:t>
      </w:r>
    </w:p>
    <w:p w14:paraId="5147AF70">
      <w:pPr>
        <w:jc w:val="both"/>
        <w:rPr>
          <w:rFonts w:ascii="Arial" w:hAnsi="Arial" w:cs="Arial"/>
          <w:shd w:val="clear" w:color="auto" w:fill="FFFFFF"/>
        </w:rPr>
      </w:pPr>
    </w:p>
    <w:p w14:paraId="46223155">
      <w:pPr>
        <w:pStyle w:val="8"/>
        <w:rPr>
          <w:rFonts w:ascii="Arial" w:hAnsi="Arial" w:cs="Arial"/>
          <w:sz w:val="24"/>
          <w:szCs w:val="24"/>
        </w:rPr>
      </w:pPr>
      <w:r>
        <w:rPr>
          <w:rFonts w:ascii="Arial" w:hAnsi="Arial" w:cs="Arial"/>
          <w:sz w:val="24"/>
          <w:szCs w:val="24"/>
        </w:rPr>
        <w:t>Dokazi iz člana 120 stav 16 tač. 3, 4 i 5  Zakona o javnim nabavkama podnose se putem ESJN u elektronskom obliku ili kao skenirana kopija originala.</w:t>
      </w:r>
    </w:p>
    <w:p w14:paraId="28CB54F5">
      <w:pPr>
        <w:jc w:val="both"/>
        <w:rPr>
          <w:rFonts w:ascii="Arial" w:hAnsi="Arial" w:cs="Arial"/>
          <w:color w:val="000000"/>
        </w:rPr>
      </w:pPr>
    </w:p>
    <w:p w14:paraId="1B8714FF">
      <w:pPr>
        <w:jc w:val="both"/>
        <w:rPr>
          <w:rFonts w:ascii="Arial" w:hAnsi="Arial" w:cs="Arial"/>
          <w:color w:val="000000"/>
        </w:rPr>
      </w:pPr>
      <w:r>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p>
    <w:p w14:paraId="283D33E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0" w:name="_Toc62730562"/>
      <w:r>
        <w:rPr>
          <w:rFonts w:ascii="Arial" w:hAnsi="Arial"/>
          <w:b/>
          <w:szCs w:val="32"/>
        </w:rPr>
        <w:t>USLOVI ZA AKTIVIRANJE GARANCIJE PONUDE</w:t>
      </w:r>
      <w:r>
        <w:rPr>
          <w:rFonts w:ascii="Arial" w:hAnsi="Arial"/>
          <w:b/>
          <w:szCs w:val="32"/>
          <w:vertAlign w:val="superscript"/>
        </w:rPr>
        <w:footnoteReference w:id="10"/>
      </w:r>
      <w:bookmarkEnd w:id="10"/>
    </w:p>
    <w:p w14:paraId="4EFC3640">
      <w:pPr>
        <w:jc w:val="both"/>
        <w:rPr>
          <w:rFonts w:ascii="Arial" w:hAnsi="Arial" w:cs="Arial"/>
          <w:b/>
          <w:bCs/>
          <w:color w:val="000000"/>
        </w:rPr>
      </w:pPr>
    </w:p>
    <w:p w14:paraId="3CBA043A">
      <w:pPr>
        <w:jc w:val="both"/>
        <w:rPr>
          <w:rFonts w:ascii="Arial" w:hAnsi="Arial" w:cs="Arial"/>
        </w:rPr>
      </w:pPr>
      <w:r>
        <w:rPr>
          <w:rFonts w:ascii="Arial" w:hAnsi="Arial" w:cs="Arial"/>
        </w:rPr>
        <w:t xml:space="preserve">Garancija ponude će se aktivirati ako ponuđač: </w:t>
      </w:r>
    </w:p>
    <w:p w14:paraId="4740E9C8">
      <w:pPr>
        <w:pStyle w:val="8"/>
        <w:ind w:left="567" w:hanging="283"/>
        <w:rPr>
          <w:rFonts w:ascii="Arial" w:hAnsi="Arial" w:cs="Arial"/>
          <w:sz w:val="24"/>
          <w:szCs w:val="24"/>
        </w:rPr>
      </w:pPr>
      <w:r>
        <w:rPr>
          <w:rFonts w:ascii="Arial" w:hAnsi="Arial" w:cs="Arial"/>
          <w:sz w:val="24"/>
          <w:szCs w:val="24"/>
        </w:rPr>
        <w:t>1) odustane od ponude u roku važenja ponude i/ili</w:t>
      </w:r>
    </w:p>
    <w:p w14:paraId="205566CA">
      <w:pPr>
        <w:pStyle w:val="8"/>
        <w:rPr>
          <w:rFonts w:ascii="Arial" w:hAnsi="Arial" w:cs="Arial"/>
          <w:sz w:val="24"/>
          <w:szCs w:val="24"/>
        </w:rPr>
      </w:pPr>
      <w:r>
        <w:rPr>
          <w:rFonts w:ascii="Arial" w:hAnsi="Arial" w:cs="Arial"/>
          <w:sz w:val="24"/>
          <w:szCs w:val="24"/>
        </w:rPr>
        <w:t xml:space="preserve"> 2) odbije da zaključi ugovor o javnoj nabavci ili okvirni sporazum.</w:t>
      </w:r>
    </w:p>
    <w:p w14:paraId="075511A7">
      <w:pPr>
        <w:jc w:val="both"/>
        <w:rPr>
          <w:rFonts w:ascii="Arial" w:hAnsi="Arial" w:cs="Arial"/>
          <w:color w:val="000000"/>
        </w:rPr>
      </w:pPr>
    </w:p>
    <w:p w14:paraId="6592E4F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1" w:name="_Toc62730563"/>
      <w:r>
        <w:rPr>
          <w:rFonts w:ascii="Arial" w:hAnsi="Arial"/>
          <w:b/>
          <w:szCs w:val="32"/>
        </w:rPr>
        <w:t>TAJNOST PODATAKA</w:t>
      </w:r>
      <w:bookmarkEnd w:id="11"/>
    </w:p>
    <w:p w14:paraId="4F66EBDD">
      <w:pPr>
        <w:jc w:val="both"/>
        <w:rPr>
          <w:rFonts w:ascii="Arial" w:hAnsi="Arial" w:cs="Arial"/>
          <w:color w:val="000000"/>
        </w:rPr>
      </w:pPr>
    </w:p>
    <w:p w14:paraId="3A735B19">
      <w:pPr>
        <w:jc w:val="both"/>
        <w:rPr>
          <w:rFonts w:ascii="Arial" w:hAnsi="Arial" w:cs="Arial"/>
          <w:color w:val="000000"/>
        </w:rPr>
      </w:pPr>
      <w:r>
        <w:rPr>
          <w:rFonts w:ascii="Arial" w:hAnsi="Arial" w:cs="Arial"/>
          <w:color w:val="000000"/>
        </w:rPr>
        <w:t>Tenderska dokumentacija sadrži tajne podatke</w:t>
      </w:r>
    </w:p>
    <w:p w14:paraId="767A9171">
      <w:pPr>
        <w:jc w:val="both"/>
        <w:rPr>
          <w:rFonts w:ascii="Arial" w:hAnsi="Arial" w:cs="Arial"/>
          <w:color w:val="000000"/>
        </w:rPr>
      </w:pPr>
    </w:p>
    <w:p w14:paraId="572A8134">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14:paraId="14AB8A20">
      <w:pPr>
        <w:jc w:val="both"/>
        <w:rPr>
          <w:rFonts w:ascii="Arial" w:hAnsi="Arial" w:cs="Arial"/>
          <w:b/>
          <w:bCs/>
          <w:color w:val="000000"/>
        </w:rPr>
      </w:pPr>
      <w:r>
        <w:rPr>
          <w:rFonts w:ascii="Arial" w:hAnsi="Arial" w:cs="Arial"/>
          <w:color w:val="000000"/>
        </w:rPr>
        <w:sym w:font="Wingdings" w:char="F0A8"/>
      </w:r>
      <w:r>
        <w:rPr>
          <w:rFonts w:ascii="Arial" w:hAnsi="Arial" w:cs="Arial"/>
          <w:color w:val="000000"/>
        </w:rPr>
        <w:t xml:space="preserve"> da</w:t>
      </w:r>
    </w:p>
    <w:p w14:paraId="13DEA620">
      <w:pPr>
        <w:jc w:val="both"/>
        <w:rPr>
          <w:rFonts w:ascii="Arial" w:hAnsi="Arial" w:cs="Arial"/>
          <w:color w:val="000000"/>
        </w:rPr>
      </w:pPr>
    </w:p>
    <w:p w14:paraId="5F97CB73">
      <w:pPr>
        <w:jc w:val="both"/>
        <w:rPr>
          <w:rFonts w:ascii="Arial" w:hAnsi="Arial" w:cs="Arial"/>
        </w:rPr>
      </w:pPr>
      <w:r>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D64F2F6">
      <w:pPr>
        <w:rPr>
          <w:rFonts w:ascii="Arial" w:hAnsi="Arial" w:cs="Arial"/>
        </w:rPr>
      </w:pPr>
    </w:p>
    <w:p w14:paraId="04C9AEB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2" w:name="_Toc62730564"/>
      <w:r>
        <w:rPr>
          <w:rFonts w:ascii="Arial" w:hAnsi="Arial"/>
          <w:b/>
          <w:szCs w:val="32"/>
        </w:rPr>
        <w:t>UPUTSTVO ZA SAČINJAVANJE PONUDE</w:t>
      </w:r>
      <w:bookmarkEnd w:id="12"/>
    </w:p>
    <w:p w14:paraId="483FA8A6">
      <w:pPr>
        <w:rPr>
          <w:rFonts w:ascii="Arial" w:hAnsi="Arial" w:cs="Arial"/>
        </w:rPr>
      </w:pPr>
    </w:p>
    <w:p w14:paraId="4D35B4CE">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20662E23">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0B04AC64">
      <w:pPr>
        <w:jc w:val="both"/>
        <w:rPr>
          <w:rFonts w:ascii="Arial" w:hAnsi="Arial" w:cs="Arial"/>
          <w:i/>
          <w:iCs/>
          <w:color w:val="000000"/>
        </w:rPr>
      </w:pPr>
      <w:r>
        <w:rPr>
          <w:rFonts w:ascii="Arial" w:hAnsi="Arial" w:cs="Arial"/>
        </w:rPr>
        <w:t xml:space="preserve">Ponuđač je dužan da tačno, potpuno, pravilno i nedvosmisleno popuni </w:t>
      </w:r>
      <w:r>
        <w:rPr>
          <w:rFonts w:ascii="Arial" w:hAnsi="Arial" w:eastAsia="Calibri" w:cs="Arial"/>
        </w:rPr>
        <w:t>Izjavu privrednog subjekta u skladu sa zahtjevima iz tenderske dokumentacije.</w:t>
      </w:r>
    </w:p>
    <w:p w14:paraId="4D562A3B">
      <w:pPr>
        <w:jc w:val="both"/>
        <w:rPr>
          <w:rFonts w:ascii="Arial" w:hAnsi="Arial" w:cs="Arial"/>
          <w:b/>
          <w:bCs/>
          <w:color w:val="000000"/>
        </w:rPr>
      </w:pPr>
    </w:p>
    <w:p w14:paraId="7D9EF23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3" w:name="_Toc62730565"/>
      <w:r>
        <w:rPr>
          <w:rFonts w:ascii="Arial" w:hAnsi="Arial"/>
          <w:b/>
          <w:szCs w:val="32"/>
        </w:rPr>
        <w:t>NAČIN ZAKLJUČIVANJA I IZMJENE UGOVORA O JAVNOJ NABAVCI</w:t>
      </w:r>
      <w:bookmarkEnd w:id="13"/>
    </w:p>
    <w:p w14:paraId="55BF57E9">
      <w:pPr>
        <w:jc w:val="both"/>
        <w:rPr>
          <w:rFonts w:ascii="Arial" w:hAnsi="Arial" w:cs="Arial"/>
          <w:i/>
        </w:rPr>
      </w:pPr>
    </w:p>
    <w:p w14:paraId="289C725E">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14DC4922">
      <w:pPr>
        <w:jc w:val="both"/>
        <w:rPr>
          <w:rFonts w:ascii="Arial" w:hAnsi="Arial" w:cs="Arial"/>
        </w:rPr>
      </w:pPr>
    </w:p>
    <w:p w14:paraId="61EE4DAE">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0E26EC1F">
      <w:pPr>
        <w:jc w:val="both"/>
        <w:rPr>
          <w:rFonts w:ascii="Arial" w:hAnsi="Arial" w:cs="Arial"/>
        </w:rPr>
      </w:pPr>
    </w:p>
    <w:p w14:paraId="063D27EC">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1"/>
      </w:r>
    </w:p>
    <w:p w14:paraId="73314739">
      <w:pPr>
        <w:jc w:val="both"/>
        <w:rPr>
          <w:rFonts w:ascii="Arial" w:hAnsi="Arial" w:cs="Arial"/>
          <w:color w:val="000000"/>
        </w:rPr>
      </w:pPr>
    </w:p>
    <w:p w14:paraId="44864247">
      <w:pPr>
        <w:jc w:val="both"/>
        <w:rPr>
          <w:rFonts w:ascii="Arial" w:hAnsi="Arial" w:cs="Arial"/>
          <w:color w:val="000000"/>
        </w:rPr>
      </w:pPr>
      <w:r>
        <w:rPr>
          <w:rFonts w:ascii="Arial" w:hAnsi="Arial" w:cs="Arial"/>
          <w:color w:val="000000"/>
        </w:rPr>
        <w:t>___________________________________________</w:t>
      </w:r>
    </w:p>
    <w:p w14:paraId="6DA97F46">
      <w:pPr>
        <w:jc w:val="both"/>
        <w:rPr>
          <w:rFonts w:ascii="Arial" w:hAnsi="Arial" w:cs="Arial"/>
          <w:b/>
          <w:bCs/>
          <w:color w:val="000000"/>
        </w:rPr>
      </w:pPr>
    </w:p>
    <w:p w14:paraId="1A848656">
      <w:pPr>
        <w:autoSpaceDE w:val="0"/>
        <w:autoSpaceDN w:val="0"/>
        <w:adjustRightInd w:val="0"/>
        <w:rPr>
          <w:rFonts w:ascii="Arial" w:hAnsi="Arial" w:cs="Arial" w:eastAsiaTheme="minorHAnsi"/>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 </w:t>
      </w:r>
      <w:r>
        <w:rPr>
          <w:rFonts w:ascii="Arial" w:hAnsi="Arial" w:cs="Arial" w:eastAsiaTheme="minorHAnsi"/>
        </w:rPr>
        <w:t>1) ako su izmjene, bez obzira na njihovu vrijednost izraženu u novcu, predviđene tenderskom dokumentacijom i</w:t>
      </w:r>
    </w:p>
    <w:p w14:paraId="692245EA">
      <w:pPr>
        <w:autoSpaceDE w:val="0"/>
        <w:autoSpaceDN w:val="0"/>
        <w:adjustRightInd w:val="0"/>
        <w:rPr>
          <w:rFonts w:ascii="Arial" w:hAnsi="Arial" w:cs="Arial" w:eastAsiaTheme="minorHAnsi"/>
        </w:rPr>
      </w:pPr>
      <w:r>
        <w:rPr>
          <w:rFonts w:ascii="Arial" w:hAnsi="Arial" w:cs="Arial" w:eastAsiaTheme="minorHAnsi"/>
        </w:rPr>
        <w:t>ugovorom o javnoj nabavci i uključuju izmjenu cijene ili varijante, sa utvrđenim obimom i prirodom</w:t>
      </w:r>
    </w:p>
    <w:p w14:paraId="62E11672">
      <w:pPr>
        <w:autoSpaceDE w:val="0"/>
        <w:autoSpaceDN w:val="0"/>
        <w:adjustRightInd w:val="0"/>
        <w:rPr>
          <w:rFonts w:ascii="Arial" w:hAnsi="Arial" w:cs="Arial" w:eastAsiaTheme="minorHAnsi"/>
        </w:rPr>
      </w:pPr>
      <w:r>
        <w:rPr>
          <w:rFonts w:ascii="Arial" w:hAnsi="Arial" w:cs="Arial" w:eastAsiaTheme="minorHAnsi"/>
        </w:rPr>
        <w:t>mogućih izmjena ili varijanti, kao i uslovima u kojima se izmjene mogu vršiti, pod uslovom da se ugovorom</w:t>
      </w:r>
    </w:p>
    <w:p w14:paraId="7026F797">
      <w:pPr>
        <w:autoSpaceDE w:val="0"/>
        <w:autoSpaceDN w:val="0"/>
        <w:adjustRightInd w:val="0"/>
        <w:rPr>
          <w:rFonts w:ascii="Arial" w:hAnsi="Arial" w:cs="Arial" w:eastAsiaTheme="minorHAnsi"/>
        </w:rPr>
      </w:pPr>
      <w:r>
        <w:rPr>
          <w:rFonts w:ascii="Arial" w:hAnsi="Arial" w:cs="Arial" w:eastAsiaTheme="minorHAnsi"/>
        </w:rPr>
        <w:t>ne predviđaju izmjene kojima se mijenja ukupna priroda ugovora o javnoj nabavci, a povećanje vrijednosti</w:t>
      </w:r>
    </w:p>
    <w:p w14:paraId="21F55671">
      <w:pPr>
        <w:autoSpaceDE w:val="0"/>
        <w:autoSpaceDN w:val="0"/>
        <w:adjustRightInd w:val="0"/>
        <w:rPr>
          <w:rFonts w:ascii="Arial" w:hAnsi="Arial" w:cs="Arial" w:eastAsiaTheme="minorHAnsi"/>
        </w:rPr>
      </w:pPr>
      <w:r>
        <w:rPr>
          <w:rFonts w:ascii="Arial" w:hAnsi="Arial" w:cs="Arial" w:eastAsiaTheme="minorHAnsi"/>
        </w:rPr>
        <w:t>ugovora nije veće od 20% vrijednosti prvobitnog ugovora,</w:t>
      </w:r>
    </w:p>
    <w:p w14:paraId="5C01E6D2">
      <w:pPr>
        <w:autoSpaceDE w:val="0"/>
        <w:autoSpaceDN w:val="0"/>
        <w:adjustRightInd w:val="0"/>
        <w:rPr>
          <w:rFonts w:ascii="Arial" w:hAnsi="Arial" w:cs="Arial" w:eastAsiaTheme="minorHAnsi"/>
        </w:rPr>
      </w:pPr>
      <w:r>
        <w:rPr>
          <w:rFonts w:ascii="Arial" w:hAnsi="Arial" w:cs="Arial" w:eastAsiaTheme="minorHAnsi"/>
        </w:rPr>
        <w:t>2) radi nabavke dodatnih roba, usluga ili radova, koji su postali neophodni, a koji nijesu bili uključeni u</w:t>
      </w:r>
    </w:p>
    <w:p w14:paraId="5000E1DA">
      <w:pPr>
        <w:autoSpaceDE w:val="0"/>
        <w:autoSpaceDN w:val="0"/>
        <w:adjustRightInd w:val="0"/>
        <w:rPr>
          <w:rFonts w:ascii="Arial" w:hAnsi="Arial" w:cs="Arial" w:eastAsiaTheme="minorHAnsi"/>
        </w:rPr>
      </w:pPr>
      <w:r>
        <w:rPr>
          <w:rFonts w:ascii="Arial" w:hAnsi="Arial" w:cs="Arial" w:eastAsiaTheme="minorHAnsi"/>
        </w:rPr>
        <w:t>prvobitni ugovor o javnoj nabavci, ako promjena privrednog subjekta sa kojim je zaključen ugovor nije</w:t>
      </w:r>
    </w:p>
    <w:p w14:paraId="4CE540AF">
      <w:pPr>
        <w:autoSpaceDE w:val="0"/>
        <w:autoSpaceDN w:val="0"/>
        <w:adjustRightInd w:val="0"/>
        <w:rPr>
          <w:rFonts w:ascii="Arial" w:hAnsi="Arial" w:cs="Arial" w:eastAsiaTheme="minorHAnsi"/>
        </w:rPr>
      </w:pPr>
      <w:r>
        <w:rPr>
          <w:rFonts w:ascii="Arial" w:hAnsi="Arial" w:cs="Arial" w:eastAsiaTheme="minorHAnsi"/>
        </w:rPr>
        <w:t>moguća iz ekonomskih ili tehničkih razloga, kao što su zahtjevi kompatibilnosti sa postojećom opremom,</w:t>
      </w:r>
    </w:p>
    <w:p w14:paraId="11EF6746">
      <w:pPr>
        <w:autoSpaceDE w:val="0"/>
        <w:autoSpaceDN w:val="0"/>
        <w:adjustRightInd w:val="0"/>
        <w:rPr>
          <w:rFonts w:ascii="Arial" w:hAnsi="Arial" w:cs="Arial" w:eastAsiaTheme="minorHAnsi"/>
        </w:rPr>
      </w:pPr>
      <w:r>
        <w:rPr>
          <w:rFonts w:ascii="Arial" w:hAnsi="Arial" w:cs="Arial" w:eastAsiaTheme="minorHAnsi"/>
        </w:rPr>
        <w:t>uslugama ili radovima nabavljenim u okviru prvobitne nabavke i može da prouzrokuje značajne poteškoće ili</w:t>
      </w:r>
    </w:p>
    <w:p w14:paraId="285998E9">
      <w:pPr>
        <w:autoSpaceDE w:val="0"/>
        <w:autoSpaceDN w:val="0"/>
        <w:adjustRightInd w:val="0"/>
        <w:rPr>
          <w:rFonts w:ascii="Arial" w:hAnsi="Arial" w:cs="Arial" w:eastAsiaTheme="minorHAnsi"/>
        </w:rPr>
      </w:pPr>
      <w:r>
        <w:rPr>
          <w:rFonts w:ascii="Arial" w:hAnsi="Arial" w:cs="Arial" w:eastAsiaTheme="minorHAnsi"/>
        </w:rPr>
        <w:t>znatno povećavanje troškova za naručioca a povećanje vrijednosti ugovora nije veće od 20% vrijednosti</w:t>
      </w:r>
    </w:p>
    <w:p w14:paraId="104BEA21">
      <w:pPr>
        <w:autoSpaceDE w:val="0"/>
        <w:autoSpaceDN w:val="0"/>
        <w:adjustRightInd w:val="0"/>
        <w:rPr>
          <w:rFonts w:ascii="Arial" w:hAnsi="Arial" w:cs="Arial" w:eastAsiaTheme="minorHAnsi"/>
        </w:rPr>
      </w:pPr>
      <w:r>
        <w:rPr>
          <w:rFonts w:ascii="Arial" w:hAnsi="Arial" w:cs="Arial" w:eastAsiaTheme="minorHAnsi"/>
        </w:rPr>
        <w:t>prvobitnog ugovora,</w:t>
      </w:r>
    </w:p>
    <w:p w14:paraId="4B61B267">
      <w:pPr>
        <w:autoSpaceDE w:val="0"/>
        <w:autoSpaceDN w:val="0"/>
        <w:adjustRightInd w:val="0"/>
        <w:rPr>
          <w:rFonts w:ascii="Arial" w:hAnsi="Arial" w:cs="Arial" w:eastAsiaTheme="minorHAnsi"/>
        </w:rPr>
      </w:pPr>
      <w:r>
        <w:rPr>
          <w:rFonts w:ascii="Arial" w:hAnsi="Arial" w:cs="Arial" w:eastAsiaTheme="minorHAnsi"/>
        </w:rPr>
        <w:t>3) kada je potreba za izmjenom ugovora nastala zbog okolnosti koje naručilac u vrijeme zaključivanja ugovora</w:t>
      </w:r>
    </w:p>
    <w:p w14:paraId="7E05FF04">
      <w:pPr>
        <w:autoSpaceDE w:val="0"/>
        <w:autoSpaceDN w:val="0"/>
        <w:adjustRightInd w:val="0"/>
        <w:rPr>
          <w:rFonts w:ascii="Arial" w:hAnsi="Arial" w:cs="Arial" w:eastAsiaTheme="minorHAnsi"/>
        </w:rPr>
      </w:pPr>
      <w:r>
        <w:rPr>
          <w:rFonts w:ascii="Arial" w:hAnsi="Arial" w:cs="Arial" w:eastAsiaTheme="minorHAnsi"/>
        </w:rPr>
        <w:t>nije mogao da predvidi, a izmjenom se ne mijenja priroda ugovora a povećanje vrijednosti ugovora nije veće</w:t>
      </w:r>
    </w:p>
    <w:p w14:paraId="47154858">
      <w:pPr>
        <w:autoSpaceDE w:val="0"/>
        <w:autoSpaceDN w:val="0"/>
        <w:adjustRightInd w:val="0"/>
        <w:rPr>
          <w:rFonts w:ascii="Arial" w:hAnsi="Arial" w:cs="Arial" w:eastAsiaTheme="minorHAnsi"/>
        </w:rPr>
      </w:pPr>
      <w:r>
        <w:rPr>
          <w:rFonts w:ascii="Arial" w:hAnsi="Arial" w:cs="Arial" w:eastAsiaTheme="minorHAnsi"/>
        </w:rPr>
        <w:t>od 20% vrijednosti prvobitnog ugovora,</w:t>
      </w:r>
    </w:p>
    <w:p w14:paraId="1685369B">
      <w:pPr>
        <w:autoSpaceDE w:val="0"/>
        <w:autoSpaceDN w:val="0"/>
        <w:adjustRightInd w:val="0"/>
        <w:rPr>
          <w:rFonts w:ascii="Arial" w:hAnsi="Arial" w:cs="Arial" w:eastAsiaTheme="minorHAnsi"/>
        </w:rPr>
      </w:pPr>
      <w:r>
        <w:rPr>
          <w:rFonts w:ascii="Arial" w:hAnsi="Arial" w:cs="Arial" w:eastAsiaTheme="minorHAnsi"/>
        </w:rPr>
        <w:t>3a) kad je potreba za izmjenom ugovora nastala zbog okolnosti koje naručilac u vrijeme zaključivanja ugovora</w:t>
      </w:r>
    </w:p>
    <w:p w14:paraId="0F8C9B99">
      <w:pPr>
        <w:autoSpaceDE w:val="0"/>
        <w:autoSpaceDN w:val="0"/>
        <w:adjustRightInd w:val="0"/>
        <w:rPr>
          <w:rFonts w:ascii="Arial" w:hAnsi="Arial" w:cs="Arial" w:eastAsiaTheme="minorHAnsi"/>
        </w:rPr>
      </w:pPr>
      <w:r>
        <w:rPr>
          <w:rFonts w:ascii="Arial" w:hAnsi="Arial" w:cs="Arial" w:eastAsiaTheme="minorHAnsi"/>
        </w:rPr>
        <w:t>nije mogao da predvidi, a izmjenom se ne mijenja priroda ugovora već se vrši samo smanjenje ugovorene</w:t>
      </w:r>
    </w:p>
    <w:p w14:paraId="2039F468">
      <w:pPr>
        <w:autoSpaceDE w:val="0"/>
        <w:autoSpaceDN w:val="0"/>
        <w:adjustRightInd w:val="0"/>
        <w:rPr>
          <w:rFonts w:ascii="Arial" w:hAnsi="Arial" w:cs="Arial" w:eastAsiaTheme="minorHAnsi"/>
        </w:rPr>
      </w:pPr>
      <w:r>
        <w:rPr>
          <w:rFonts w:ascii="Arial" w:hAnsi="Arial" w:cs="Arial" w:eastAsiaTheme="minorHAnsi"/>
        </w:rPr>
        <w:t>vrijednosti,</w:t>
      </w:r>
    </w:p>
    <w:p w14:paraId="6A61F99E">
      <w:pPr>
        <w:autoSpaceDE w:val="0"/>
        <w:autoSpaceDN w:val="0"/>
        <w:adjustRightInd w:val="0"/>
        <w:rPr>
          <w:rFonts w:ascii="Arial" w:hAnsi="Arial" w:cs="Arial" w:eastAsiaTheme="minorHAnsi"/>
        </w:rPr>
      </w:pPr>
      <w:r>
        <w:rPr>
          <w:rFonts w:ascii="Arial" w:hAnsi="Arial" w:cs="Arial" w:eastAsiaTheme="minorHAnsi"/>
        </w:rPr>
        <w:t>3b) kad se vrši zamjena podugovarača, u skladu sa članom 128 st. 10, 11 i 12 ovog zakona,</w:t>
      </w:r>
    </w:p>
    <w:p w14:paraId="4BB2194F">
      <w:pPr>
        <w:autoSpaceDE w:val="0"/>
        <w:autoSpaceDN w:val="0"/>
        <w:adjustRightInd w:val="0"/>
        <w:rPr>
          <w:rFonts w:ascii="Arial" w:hAnsi="Arial" w:cs="Arial" w:eastAsiaTheme="minorHAnsi"/>
        </w:rPr>
      </w:pPr>
      <w:r>
        <w:rPr>
          <w:rFonts w:ascii="Arial" w:hAnsi="Arial" w:cs="Arial" w:eastAsiaTheme="minorHAnsi"/>
        </w:rPr>
        <w:t>4) ako privrednog subjekta nakon restrukturiranja, uključujući preuzimanje, spajanje, kupovinu ili stečaj,</w:t>
      </w:r>
    </w:p>
    <w:p w14:paraId="0A81CFA8">
      <w:pPr>
        <w:autoSpaceDE w:val="0"/>
        <w:autoSpaceDN w:val="0"/>
        <w:adjustRightInd w:val="0"/>
        <w:rPr>
          <w:rFonts w:ascii="Arial" w:hAnsi="Arial" w:cs="Arial" w:eastAsiaTheme="minorHAnsi"/>
        </w:rPr>
      </w:pPr>
      <w:r>
        <w:rPr>
          <w:rFonts w:ascii="Arial" w:hAnsi="Arial" w:cs="Arial" w:eastAsiaTheme="minorHAnsi"/>
        </w:rPr>
        <w:t>zamjenjuje u potpunosti ili djelimično novi pravni sljedbenik, odnosno privredni subjekat, koji ispunjava</w:t>
      </w:r>
    </w:p>
    <w:p w14:paraId="31081F59">
      <w:pPr>
        <w:autoSpaceDE w:val="0"/>
        <w:autoSpaceDN w:val="0"/>
        <w:adjustRightInd w:val="0"/>
        <w:rPr>
          <w:rFonts w:ascii="Arial" w:hAnsi="Arial" w:cs="Arial" w:eastAsiaTheme="minorHAnsi"/>
        </w:rPr>
      </w:pPr>
      <w:r>
        <w:rPr>
          <w:rFonts w:ascii="Arial" w:hAnsi="Arial" w:cs="Arial" w:eastAsiaTheme="minorHAnsi"/>
        </w:rPr>
        <w:t>prvobitno određene uslove zaključenog ugovora o javnoj nabavci, a izmjene su predviđene tenderskom</w:t>
      </w:r>
    </w:p>
    <w:p w14:paraId="1FA75F78">
      <w:pPr>
        <w:autoSpaceDE w:val="0"/>
        <w:autoSpaceDN w:val="0"/>
        <w:adjustRightInd w:val="0"/>
        <w:rPr>
          <w:rFonts w:ascii="Arial" w:hAnsi="Arial" w:cs="Arial" w:eastAsiaTheme="minorHAnsi"/>
        </w:rPr>
      </w:pPr>
      <w:r>
        <w:rPr>
          <w:rFonts w:ascii="Arial" w:hAnsi="Arial" w:cs="Arial" w:eastAsiaTheme="minorHAnsi"/>
        </w:rPr>
        <w:t>dokumentacijom, pod uslovom da se ne vrše druge bitne izmjene ugovora iz člana 150 stav 2 ovog zakona.</w:t>
      </w:r>
    </w:p>
    <w:p w14:paraId="730632AB">
      <w:pPr>
        <w:autoSpaceDE w:val="0"/>
        <w:autoSpaceDN w:val="0"/>
        <w:adjustRightInd w:val="0"/>
        <w:rPr>
          <w:rFonts w:ascii="Arial" w:hAnsi="Arial" w:cs="Arial" w:eastAsiaTheme="minorHAnsi"/>
        </w:rPr>
      </w:pPr>
      <w:r>
        <w:rPr>
          <w:rFonts w:ascii="Arial" w:hAnsi="Arial" w:cs="Arial" w:eastAsiaTheme="minorHAnsi"/>
        </w:rPr>
        <w:t>Ako je neophodno u ugovoru o javnoj nabavci vršiti bitne izmjene iz člana 150 stav 2 ovog zakona naručilac će</w:t>
      </w:r>
    </w:p>
    <w:p w14:paraId="4FD2AD2D">
      <w:pPr>
        <w:autoSpaceDE w:val="0"/>
        <w:autoSpaceDN w:val="0"/>
        <w:adjustRightInd w:val="0"/>
        <w:rPr>
          <w:rFonts w:ascii="Arial" w:hAnsi="Arial" w:cs="Arial" w:eastAsiaTheme="minorHAnsi"/>
        </w:rPr>
      </w:pPr>
      <w:r>
        <w:rPr>
          <w:rFonts w:ascii="Arial" w:hAnsi="Arial" w:cs="Arial" w:eastAsiaTheme="minorHAnsi"/>
        </w:rPr>
        <w:t>pokrenuti novi postupak dodjele ugovora.</w:t>
      </w:r>
    </w:p>
    <w:p w14:paraId="604A7648">
      <w:pPr>
        <w:autoSpaceDE w:val="0"/>
        <w:autoSpaceDN w:val="0"/>
        <w:adjustRightInd w:val="0"/>
        <w:rPr>
          <w:rFonts w:ascii="Arial" w:hAnsi="Arial" w:cs="Arial" w:eastAsiaTheme="minorHAnsi"/>
        </w:rPr>
      </w:pPr>
      <w:r>
        <w:rPr>
          <w:rFonts w:ascii="Arial" w:hAnsi="Arial" w:cs="Arial" w:eastAsiaTheme="minorHAnsi"/>
        </w:rPr>
        <w:t>Ako se vrši više izmjena, vrijednost ugovora o javnoj nabavci se procjenjuje na osnovu neto kumulativne</w:t>
      </w:r>
    </w:p>
    <w:p w14:paraId="23A88751">
      <w:pPr>
        <w:jc w:val="both"/>
        <w:rPr>
          <w:rFonts w:ascii="Arial" w:hAnsi="Arial" w:cs="Arial"/>
          <w:b/>
          <w:bCs/>
          <w:color w:val="FF0000"/>
        </w:rPr>
      </w:pPr>
      <w:r>
        <w:rPr>
          <w:rFonts w:ascii="Arial" w:hAnsi="Arial" w:cs="Arial" w:eastAsiaTheme="minorHAnsi"/>
        </w:rPr>
        <w:t>vrijednosti svih izmjena.</w:t>
      </w:r>
    </w:p>
    <w:p w14:paraId="135BFC21">
      <w:pPr>
        <w:jc w:val="both"/>
        <w:rPr>
          <w:rFonts w:ascii="Arial" w:hAnsi="Arial" w:cs="Arial"/>
          <w:b/>
          <w:bCs/>
          <w:color w:val="FF0000"/>
        </w:rPr>
      </w:pPr>
    </w:p>
    <w:p w14:paraId="4AE43F53">
      <w:pPr>
        <w:jc w:val="both"/>
        <w:rPr>
          <w:rFonts w:ascii="Arial" w:hAnsi="Arial" w:cs="Arial"/>
          <w:b/>
          <w:bCs/>
          <w:color w:val="FF0000"/>
        </w:rPr>
      </w:pPr>
    </w:p>
    <w:p w14:paraId="315E3BFA">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4" w:name="_Toc62730566"/>
      <w:r>
        <w:rPr>
          <w:rFonts w:ascii="Arial" w:hAnsi="Arial"/>
          <w:b/>
          <w:szCs w:val="32"/>
        </w:rPr>
        <w:t>ZAHTJEV ZA POJAŠNJENJE ILI IZMJENU I DOPUNU TENDERSKE DOKUMENTACIJE</w:t>
      </w:r>
      <w:bookmarkEnd w:id="14"/>
    </w:p>
    <w:p w14:paraId="072FC415">
      <w:pPr>
        <w:jc w:val="both"/>
        <w:rPr>
          <w:rFonts w:ascii="Arial" w:hAnsi="Arial" w:cs="Arial"/>
        </w:rPr>
      </w:pPr>
    </w:p>
    <w:p w14:paraId="4E822070">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123351D">
      <w:pPr>
        <w:jc w:val="both"/>
        <w:rPr>
          <w:rFonts w:ascii="Arial" w:hAnsi="Arial" w:cs="Arial"/>
        </w:rPr>
      </w:pPr>
    </w:p>
    <w:p w14:paraId="6EB97DDD">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5D1E6984">
      <w:pPr>
        <w:jc w:val="both"/>
        <w:rPr>
          <w:rFonts w:ascii="Arial" w:hAnsi="Arial" w:cs="Arial"/>
        </w:rPr>
      </w:pPr>
    </w:p>
    <w:p w14:paraId="72C2CBE2">
      <w:pPr>
        <w:jc w:val="both"/>
        <w:rPr>
          <w:rFonts w:ascii="Arial" w:hAnsi="Arial" w:cs="Arial"/>
          <w:color w:val="000000"/>
        </w:rPr>
      </w:pPr>
      <w:r>
        <w:rPr>
          <w:rFonts w:ascii="Arial" w:hAnsi="Arial" w:cs="Arial"/>
          <w:color w:val="000000"/>
        </w:rPr>
        <w:t>Zahtjev se podnosi isključivo putem ESJN-a.</w:t>
      </w:r>
    </w:p>
    <w:p w14:paraId="3614A2A0">
      <w:pPr>
        <w:jc w:val="both"/>
        <w:rPr>
          <w:rFonts w:ascii="Arial" w:hAnsi="Arial" w:cs="Arial"/>
          <w:color w:val="000000"/>
        </w:rPr>
      </w:pPr>
    </w:p>
    <w:p w14:paraId="50AFA1FA">
      <w:pPr>
        <w:jc w:val="both"/>
        <w:rPr>
          <w:rFonts w:ascii="Arial" w:hAnsi="Arial" w:cs="Arial"/>
          <w:color w:val="000000"/>
        </w:rPr>
      </w:pPr>
    </w:p>
    <w:p w14:paraId="7CE5C317">
      <w:pPr>
        <w:jc w:val="both"/>
        <w:rPr>
          <w:rFonts w:ascii="Arial" w:hAnsi="Arial" w:cs="Arial"/>
          <w:color w:val="000000"/>
        </w:rPr>
      </w:pPr>
    </w:p>
    <w:p w14:paraId="157A504E">
      <w:pPr>
        <w:jc w:val="both"/>
        <w:rPr>
          <w:rFonts w:ascii="Arial" w:hAnsi="Arial" w:cs="Arial"/>
          <w:color w:val="000000"/>
        </w:rPr>
      </w:pPr>
    </w:p>
    <w:p w14:paraId="72F9313D">
      <w:pPr>
        <w:jc w:val="both"/>
        <w:rPr>
          <w:rFonts w:ascii="Arial" w:hAnsi="Arial" w:cs="Arial"/>
          <w:color w:val="000000"/>
        </w:rPr>
      </w:pPr>
    </w:p>
    <w:p w14:paraId="09860C35">
      <w:pPr>
        <w:jc w:val="both"/>
        <w:rPr>
          <w:rFonts w:ascii="Arial" w:hAnsi="Arial" w:cs="Arial"/>
          <w:color w:val="000000"/>
        </w:rPr>
      </w:pPr>
    </w:p>
    <w:p w14:paraId="018B59E9">
      <w:pPr>
        <w:jc w:val="both"/>
        <w:rPr>
          <w:rFonts w:ascii="Arial" w:hAnsi="Arial" w:cs="Arial"/>
          <w:color w:val="000000"/>
        </w:rPr>
      </w:pPr>
    </w:p>
    <w:p w14:paraId="57B253B4">
      <w:pPr>
        <w:jc w:val="both"/>
        <w:rPr>
          <w:rFonts w:ascii="Arial" w:hAnsi="Arial" w:cs="Arial"/>
          <w:color w:val="000000"/>
        </w:rPr>
      </w:pPr>
    </w:p>
    <w:p w14:paraId="0ADC6EBF">
      <w:pPr>
        <w:jc w:val="both"/>
        <w:rPr>
          <w:rFonts w:ascii="Arial" w:hAnsi="Arial" w:cs="Arial"/>
          <w:color w:val="000000"/>
        </w:rPr>
      </w:pPr>
    </w:p>
    <w:p w14:paraId="2395E30D">
      <w:pPr>
        <w:jc w:val="both"/>
        <w:rPr>
          <w:rFonts w:ascii="Arial" w:hAnsi="Arial" w:cs="Arial"/>
          <w:color w:val="000000"/>
        </w:rPr>
      </w:pPr>
    </w:p>
    <w:p w14:paraId="72D1CCB6">
      <w:pPr>
        <w:jc w:val="both"/>
        <w:rPr>
          <w:rFonts w:ascii="Arial" w:hAnsi="Arial" w:cs="Arial"/>
          <w:color w:val="000000"/>
        </w:rPr>
      </w:pPr>
    </w:p>
    <w:p w14:paraId="460613B7">
      <w:pPr>
        <w:jc w:val="both"/>
        <w:rPr>
          <w:rFonts w:ascii="Arial" w:hAnsi="Arial" w:cs="Arial"/>
          <w:color w:val="000000"/>
        </w:rPr>
      </w:pPr>
    </w:p>
    <w:p w14:paraId="50CC6148">
      <w:pPr>
        <w:jc w:val="both"/>
        <w:rPr>
          <w:rFonts w:ascii="Arial" w:hAnsi="Arial" w:cs="Arial"/>
          <w:color w:val="000000"/>
        </w:rPr>
      </w:pPr>
    </w:p>
    <w:p w14:paraId="00B3CA0E">
      <w:pPr>
        <w:jc w:val="both"/>
        <w:rPr>
          <w:rFonts w:ascii="Arial" w:hAnsi="Arial" w:cs="Arial"/>
          <w:color w:val="000000"/>
        </w:rPr>
      </w:pPr>
    </w:p>
    <w:p w14:paraId="26AB0FB7">
      <w:pPr>
        <w:jc w:val="both"/>
        <w:rPr>
          <w:rFonts w:ascii="Arial" w:hAnsi="Arial" w:cs="Arial"/>
          <w:color w:val="000000"/>
        </w:rPr>
      </w:pPr>
    </w:p>
    <w:p w14:paraId="18D9B0BD">
      <w:pPr>
        <w:jc w:val="both"/>
        <w:rPr>
          <w:rFonts w:ascii="Arial" w:hAnsi="Arial" w:cs="Arial"/>
          <w:color w:val="000000"/>
        </w:rPr>
      </w:pPr>
    </w:p>
    <w:p w14:paraId="2CDBA517">
      <w:pPr>
        <w:jc w:val="both"/>
        <w:rPr>
          <w:rFonts w:ascii="Arial" w:hAnsi="Arial" w:cs="Arial"/>
          <w:color w:val="000000"/>
        </w:rPr>
      </w:pPr>
    </w:p>
    <w:p w14:paraId="5B197C7B">
      <w:pPr>
        <w:jc w:val="both"/>
        <w:rPr>
          <w:rFonts w:ascii="Arial" w:hAnsi="Arial" w:cs="Arial"/>
          <w:color w:val="000000"/>
        </w:rPr>
      </w:pPr>
    </w:p>
    <w:p w14:paraId="795E3D8C">
      <w:pPr>
        <w:jc w:val="both"/>
        <w:rPr>
          <w:rFonts w:ascii="Arial" w:hAnsi="Arial" w:cs="Arial"/>
          <w:color w:val="000000"/>
        </w:rPr>
      </w:pPr>
    </w:p>
    <w:p w14:paraId="1123C443">
      <w:pPr>
        <w:jc w:val="both"/>
        <w:rPr>
          <w:rFonts w:ascii="Arial" w:hAnsi="Arial" w:cs="Arial"/>
          <w:color w:val="000000"/>
        </w:rPr>
      </w:pPr>
    </w:p>
    <w:p w14:paraId="4B0C4058">
      <w:pPr>
        <w:jc w:val="both"/>
        <w:rPr>
          <w:rFonts w:ascii="Arial" w:hAnsi="Arial" w:cs="Arial"/>
          <w:color w:val="000000"/>
        </w:rPr>
      </w:pPr>
    </w:p>
    <w:p w14:paraId="602D989F">
      <w:pPr>
        <w:jc w:val="both"/>
        <w:rPr>
          <w:rFonts w:ascii="Arial" w:hAnsi="Arial" w:cs="Arial"/>
          <w:color w:val="000000"/>
        </w:rPr>
      </w:pPr>
    </w:p>
    <w:p w14:paraId="1067790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15" w:name="_Toc508349235"/>
      <w:bookmarkStart w:id="16" w:name="_Toc62730567"/>
      <w:bookmarkStart w:id="17" w:name="_Toc416180136"/>
      <w:r>
        <w:rPr>
          <w:rFonts w:ascii="Arial" w:hAnsi="Arial"/>
          <w:b/>
          <w:szCs w:val="32"/>
        </w:rPr>
        <w:t>IZJAVA NARUČIOCA O NEPOSTOJANJU SUKOBA INTERESA</w:t>
      </w:r>
      <w:bookmarkEnd w:id="15"/>
      <w:bookmarkEnd w:id="16"/>
      <w:bookmarkEnd w:id="17"/>
    </w:p>
    <w:p w14:paraId="6C9BFB2E">
      <w:pPr>
        <w:tabs>
          <w:tab w:val="left" w:pos="1701"/>
          <w:tab w:val="left" w:pos="4820"/>
        </w:tabs>
        <w:jc w:val="both"/>
        <w:rPr>
          <w:rFonts w:ascii="Arial" w:hAnsi="Arial" w:cs="Arial"/>
          <w:color w:val="000000"/>
          <w:u w:val="single"/>
        </w:rPr>
      </w:pPr>
    </w:p>
    <w:p w14:paraId="36FFFF89">
      <w:pPr>
        <w:tabs>
          <w:tab w:val="left" w:pos="1701"/>
          <w:tab w:val="left" w:pos="4820"/>
        </w:tabs>
        <w:jc w:val="both"/>
        <w:rPr>
          <w:rFonts w:ascii="Arial" w:hAnsi="Arial" w:cs="Arial"/>
          <w:color w:val="000000"/>
          <w:u w:val="single"/>
        </w:rPr>
      </w:pPr>
    </w:p>
    <w:p w14:paraId="15FAECEF">
      <w:pPr>
        <w:tabs>
          <w:tab w:val="left" w:pos="1701"/>
          <w:tab w:val="left" w:pos="4820"/>
        </w:tabs>
        <w:jc w:val="both"/>
        <w:rPr>
          <w:rFonts w:ascii="Arial" w:hAnsi="Arial" w:cs="Arial"/>
          <w:color w:val="000000"/>
        </w:rPr>
      </w:pPr>
      <w:r>
        <w:rPr>
          <w:rFonts w:ascii="Arial" w:hAnsi="Arial" w:cs="Arial"/>
          <w:shd w:val="clear" w:color="auto" w:fill="FFFFFF"/>
        </w:rPr>
        <w:t>DOO Komunalno Andrijevica</w:t>
      </w:r>
    </w:p>
    <w:p w14:paraId="56604F36">
      <w:pPr>
        <w:jc w:val="both"/>
        <w:rPr>
          <w:rFonts w:hint="default" w:ascii="Arial" w:hAnsi="Arial" w:cs="Arial"/>
          <w:color w:val="000000"/>
          <w:lang w:val="en-US"/>
        </w:rPr>
      </w:pPr>
      <w:r>
        <w:rPr>
          <w:rFonts w:ascii="Arial" w:hAnsi="Arial" w:cs="Arial"/>
          <w:color w:val="000000"/>
        </w:rPr>
        <w:t xml:space="preserve">Broj: </w:t>
      </w:r>
      <w:r>
        <w:rPr>
          <w:rFonts w:hint="default" w:ascii="Arial" w:hAnsi="Arial" w:cs="Arial"/>
          <w:color w:val="000000"/>
          <w:lang w:val="en-US"/>
        </w:rPr>
        <w:t>02-147/25-523</w:t>
      </w:r>
    </w:p>
    <w:p w14:paraId="47CBA1E9">
      <w:pPr>
        <w:jc w:val="both"/>
        <w:rPr>
          <w:rFonts w:ascii="Arial" w:hAnsi="Arial" w:cs="Arial"/>
          <w:color w:val="000000"/>
        </w:rPr>
      </w:pPr>
      <w:r>
        <w:rPr>
          <w:rFonts w:ascii="Arial" w:hAnsi="Arial" w:cs="Arial"/>
          <w:color w:val="000000"/>
        </w:rPr>
        <w:t>Andrijevica, 2</w:t>
      </w:r>
      <w:r>
        <w:rPr>
          <w:rFonts w:hint="default" w:ascii="Arial" w:hAnsi="Arial" w:cs="Arial"/>
          <w:color w:val="000000"/>
          <w:lang w:val="sr-Latn-RS"/>
        </w:rPr>
        <w:t>8</w:t>
      </w:r>
      <w:r>
        <w:rPr>
          <w:rFonts w:ascii="Arial" w:hAnsi="Arial" w:cs="Arial"/>
          <w:color w:val="000000"/>
        </w:rPr>
        <w:t>.</w:t>
      </w:r>
      <w:r>
        <w:rPr>
          <w:rFonts w:hint="default" w:ascii="Arial" w:hAnsi="Arial" w:cs="Arial"/>
          <w:color w:val="000000"/>
          <w:lang w:val="sr-Latn-RS"/>
        </w:rPr>
        <w:t>11</w:t>
      </w:r>
      <w:r>
        <w:rPr>
          <w:rFonts w:ascii="Arial" w:hAnsi="Arial" w:cs="Arial"/>
          <w:color w:val="000000"/>
        </w:rPr>
        <w:t>.202</w:t>
      </w:r>
      <w:r>
        <w:rPr>
          <w:rFonts w:hint="default" w:ascii="Arial" w:hAnsi="Arial" w:cs="Arial"/>
          <w:color w:val="000000"/>
          <w:lang w:val="sr-Latn-RS"/>
        </w:rPr>
        <w:t>5</w:t>
      </w:r>
      <w:r>
        <w:rPr>
          <w:rFonts w:ascii="Arial" w:hAnsi="Arial" w:cs="Arial"/>
          <w:color w:val="000000"/>
        </w:rPr>
        <w:t>. god</w:t>
      </w:r>
    </w:p>
    <w:p w14:paraId="6A0F3292">
      <w:pPr>
        <w:jc w:val="both"/>
        <w:rPr>
          <w:rFonts w:ascii="Arial" w:hAnsi="Arial" w:cs="Arial"/>
          <w:b/>
          <w:bCs/>
          <w:color w:val="000000"/>
        </w:rPr>
      </w:pPr>
    </w:p>
    <w:p w14:paraId="6413FD74">
      <w:pPr>
        <w:jc w:val="both"/>
        <w:rPr>
          <w:rFonts w:ascii="Arial" w:hAnsi="Arial" w:cs="Arial"/>
          <w:b/>
          <w:bCs/>
          <w:color w:val="000000"/>
        </w:rPr>
      </w:pPr>
    </w:p>
    <w:p w14:paraId="6DEF32FD">
      <w:pPr>
        <w:tabs>
          <w:tab w:val="left" w:pos="3290"/>
        </w:tabs>
        <w:ind w:firstLine="708"/>
        <w:jc w:val="both"/>
        <w:rPr>
          <w:rFonts w:ascii="Arial" w:hAnsi="Arial" w:cs="Arial"/>
          <w:color w:val="000000"/>
        </w:rPr>
      </w:pPr>
      <w:r>
        <w:rPr>
          <w:rFonts w:ascii="Arial" w:hAnsi="Arial" w:cs="Arial"/>
          <w:color w:val="000000"/>
        </w:rPr>
        <w:t xml:space="preserve">U skladu sa članom 43 stav 1 Zakona o javnim nabavkama („Službeni list CG”, br.74/19 i 3/23), </w:t>
      </w:r>
    </w:p>
    <w:p w14:paraId="0C840AAD">
      <w:pPr>
        <w:tabs>
          <w:tab w:val="left" w:pos="3290"/>
        </w:tabs>
        <w:jc w:val="both"/>
        <w:rPr>
          <w:rFonts w:ascii="Arial" w:hAnsi="Arial" w:cs="Arial"/>
          <w:color w:val="000000"/>
        </w:rPr>
      </w:pPr>
    </w:p>
    <w:p w14:paraId="409A3E94">
      <w:pPr>
        <w:tabs>
          <w:tab w:val="left" w:pos="3290"/>
        </w:tabs>
        <w:jc w:val="both"/>
        <w:rPr>
          <w:rFonts w:ascii="Arial" w:hAnsi="Arial" w:cs="Arial"/>
          <w:color w:val="000000"/>
        </w:rPr>
      </w:pPr>
    </w:p>
    <w:p w14:paraId="785F824A">
      <w:pPr>
        <w:tabs>
          <w:tab w:val="left" w:pos="3290"/>
        </w:tabs>
        <w:jc w:val="both"/>
        <w:rPr>
          <w:rFonts w:ascii="Arial" w:hAnsi="Arial" w:cs="Arial"/>
          <w:color w:val="000000"/>
        </w:rPr>
      </w:pPr>
    </w:p>
    <w:p w14:paraId="03163883">
      <w:pPr>
        <w:tabs>
          <w:tab w:val="left" w:pos="3290"/>
        </w:tabs>
        <w:jc w:val="both"/>
        <w:rPr>
          <w:rFonts w:ascii="Arial" w:hAnsi="Arial" w:cs="Arial"/>
          <w:color w:val="000000"/>
        </w:rPr>
      </w:pPr>
    </w:p>
    <w:p w14:paraId="0682B529">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14:paraId="5F6CA8E2">
      <w:pPr>
        <w:tabs>
          <w:tab w:val="left" w:pos="3290"/>
        </w:tabs>
        <w:jc w:val="both"/>
        <w:rPr>
          <w:rFonts w:ascii="Arial" w:hAnsi="Arial" w:cs="Arial"/>
          <w:color w:val="000000"/>
        </w:rPr>
      </w:pPr>
    </w:p>
    <w:p w14:paraId="6697BF68">
      <w:pPr>
        <w:tabs>
          <w:tab w:val="left" w:pos="3290"/>
        </w:tabs>
        <w:jc w:val="both"/>
        <w:rPr>
          <w:rFonts w:ascii="Arial" w:hAnsi="Arial" w:cs="Arial"/>
          <w:color w:val="000000"/>
        </w:rPr>
      </w:pPr>
      <w:r>
        <w:rPr>
          <w:rFonts w:ascii="Arial" w:hAnsi="Arial" w:cs="Arial"/>
          <w:color w:val="000000"/>
        </w:rPr>
        <w:t xml:space="preserve">da u postupku javne nabavke redni broj 9 iz Plana javne nabavke broj </w:t>
      </w:r>
      <w:r>
        <w:rPr>
          <w:rFonts w:hint="default" w:ascii="Arial" w:hAnsi="Arial" w:cs="Arial"/>
          <w:color w:val="000000"/>
          <w:lang w:val="sr-Latn-RS"/>
        </w:rPr>
        <w:t>21873</w:t>
      </w:r>
      <w:r>
        <w:rPr>
          <w:rFonts w:ascii="Arial" w:hAnsi="Arial" w:cs="Arial"/>
          <w:color w:val="000000"/>
        </w:rPr>
        <w:t xml:space="preserve"> od </w:t>
      </w:r>
      <w:r>
        <w:rPr>
          <w:rFonts w:hint="default" w:ascii="Arial" w:hAnsi="Arial" w:cs="Arial"/>
          <w:color w:val="000000"/>
          <w:lang w:val="sr-Latn-RS"/>
        </w:rPr>
        <w:t>30</w:t>
      </w:r>
      <w:r>
        <w:rPr>
          <w:rFonts w:ascii="Arial" w:hAnsi="Arial" w:cs="Arial"/>
          <w:color w:val="000000"/>
        </w:rPr>
        <w:t>.01.202</w:t>
      </w:r>
      <w:r>
        <w:rPr>
          <w:rFonts w:hint="default" w:ascii="Arial" w:hAnsi="Arial" w:cs="Arial"/>
          <w:color w:val="000000"/>
          <w:lang w:val="sr-Latn-RS"/>
        </w:rPr>
        <w:t>5</w:t>
      </w:r>
      <w:r>
        <w:rPr>
          <w:rFonts w:ascii="Arial" w:hAnsi="Arial" w:cs="Arial"/>
          <w:color w:val="000000"/>
        </w:rPr>
        <w:t>. god za nabavku goriva nisam u sukobu interesa u smislu člana 41 stav 1 tačka 1 Zakona o javnim nabavkama i da ne postoji ekonomski i drugi lični interes koji može uticati na moju nepristrasnost i nezavisnost u ovom postupku javne nabavke.</w:t>
      </w:r>
    </w:p>
    <w:p w14:paraId="6696D71D">
      <w:pPr>
        <w:tabs>
          <w:tab w:val="left" w:pos="3290"/>
        </w:tabs>
        <w:jc w:val="both"/>
        <w:rPr>
          <w:rFonts w:ascii="Arial" w:hAnsi="Arial" w:cs="Arial"/>
          <w:color w:val="000000"/>
        </w:rPr>
      </w:pPr>
    </w:p>
    <w:p w14:paraId="43C767AD">
      <w:pPr>
        <w:tabs>
          <w:tab w:val="left" w:pos="3290"/>
        </w:tabs>
        <w:jc w:val="both"/>
        <w:rPr>
          <w:rFonts w:ascii="Arial" w:hAnsi="Arial" w:cs="Arial"/>
          <w:color w:val="000000"/>
        </w:rPr>
      </w:pPr>
    </w:p>
    <w:p w14:paraId="53E12027">
      <w:pPr>
        <w:tabs>
          <w:tab w:val="left" w:pos="3290"/>
        </w:tabs>
        <w:wordWrap w:val="0"/>
        <w:ind w:firstLine="1134"/>
        <w:jc w:val="right"/>
        <w:rPr>
          <w:rFonts w:hint="default" w:ascii="Arial" w:hAnsi="Arial" w:cs="Arial"/>
          <w:color w:val="000000"/>
          <w:lang w:val="sr-Latn-RS"/>
        </w:rPr>
      </w:pPr>
      <w:r>
        <w:rPr>
          <w:rFonts w:ascii="Arial" w:hAnsi="Arial" w:cs="Arial"/>
          <w:color w:val="000000"/>
        </w:rPr>
        <w:t xml:space="preserve">Ovlašćeno lice naručioca </w:t>
      </w:r>
      <w:r>
        <w:rPr>
          <w:rFonts w:hint="default" w:ascii="Arial" w:hAnsi="Arial" w:cs="Arial"/>
          <w:color w:val="000000"/>
          <w:lang w:val="sr-Latn-RS"/>
        </w:rPr>
        <w:t>Nikola Šoškić</w:t>
      </w:r>
    </w:p>
    <w:p w14:paraId="7E9B5CDE">
      <w:pPr>
        <w:tabs>
          <w:tab w:val="left" w:pos="3290"/>
        </w:tabs>
        <w:ind w:left="5664" w:firstLine="708"/>
        <w:jc w:val="center"/>
        <w:rPr>
          <w:rFonts w:ascii="Arial" w:hAnsi="Arial" w:cs="Arial"/>
          <w:i/>
          <w:iCs/>
          <w:color w:val="000000"/>
        </w:rPr>
      </w:pPr>
      <w:r>
        <w:rPr>
          <w:rFonts w:ascii="Arial" w:hAnsi="Arial" w:cs="Arial"/>
          <w:i/>
          <w:iCs/>
          <w:color w:val="000000"/>
        </w:rPr>
        <w:t xml:space="preserve">                  s.r.</w:t>
      </w:r>
    </w:p>
    <w:p w14:paraId="2946B5A6">
      <w:pPr>
        <w:tabs>
          <w:tab w:val="left" w:pos="3290"/>
        </w:tabs>
        <w:ind w:firstLine="1134"/>
        <w:jc w:val="right"/>
        <w:rPr>
          <w:rFonts w:ascii="Arial" w:hAnsi="Arial" w:cs="Arial"/>
          <w:i/>
          <w:iCs/>
          <w:color w:val="000000"/>
        </w:rPr>
      </w:pPr>
      <w:r>
        <w:rPr>
          <w:rFonts w:ascii="Arial" w:hAnsi="Arial" w:cs="Arial"/>
          <w:color w:val="000000"/>
        </w:rPr>
        <w:t>Službenik za javne nabavke Jakov Kuč</w:t>
      </w:r>
    </w:p>
    <w:p w14:paraId="18B364AB">
      <w:pPr>
        <w:tabs>
          <w:tab w:val="left" w:pos="3290"/>
        </w:tabs>
        <w:ind w:left="5664" w:firstLine="708"/>
        <w:jc w:val="center"/>
        <w:rPr>
          <w:rFonts w:ascii="Arial" w:hAnsi="Arial" w:cs="Arial"/>
          <w:i/>
          <w:iCs/>
          <w:color w:val="000000"/>
        </w:rPr>
      </w:pPr>
      <w:r>
        <w:rPr>
          <w:rFonts w:ascii="Arial" w:hAnsi="Arial" w:cs="Arial"/>
          <w:i/>
          <w:iCs/>
          <w:color w:val="000000"/>
        </w:rPr>
        <w:t xml:space="preserve"> s.r.</w:t>
      </w:r>
    </w:p>
    <w:p w14:paraId="3529B2E9">
      <w:pPr>
        <w:rPr>
          <w:rFonts w:ascii="Arial" w:hAnsi="Arial" w:cs="Arial"/>
          <w:i/>
          <w:iCs/>
          <w:color w:val="000000"/>
        </w:rPr>
      </w:pPr>
      <w:r>
        <w:rPr>
          <w:rFonts w:ascii="Arial" w:hAnsi="Arial" w:cs="Arial"/>
          <w:i/>
          <w:iCs/>
          <w:color w:val="000000"/>
        </w:rPr>
        <w:t>.</w:t>
      </w:r>
    </w:p>
    <w:p w14:paraId="1BC176BA">
      <w:pPr>
        <w:tabs>
          <w:tab w:val="left" w:pos="3290"/>
        </w:tabs>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Jakov Kuč</w:t>
      </w:r>
    </w:p>
    <w:p w14:paraId="67F48E7E">
      <w:pPr>
        <w:ind w:left="6372"/>
        <w:jc w:val="center"/>
        <w:rPr>
          <w:rFonts w:ascii="Arial" w:hAnsi="Arial" w:cs="Arial"/>
          <w:i/>
          <w:iCs/>
          <w:color w:val="000000"/>
        </w:rPr>
      </w:pPr>
      <w:r>
        <w:rPr>
          <w:rFonts w:ascii="Arial" w:hAnsi="Arial" w:cs="Arial"/>
          <w:i/>
          <w:iCs/>
          <w:color w:val="000000"/>
        </w:rPr>
        <w:t>s.r.</w:t>
      </w:r>
    </w:p>
    <w:p w14:paraId="2C0B5835">
      <w:pPr>
        <w:tabs>
          <w:tab w:val="left" w:pos="3290"/>
        </w:tabs>
        <w:ind w:firstLine="1134"/>
        <w:rPr>
          <w:rFonts w:ascii="Arial" w:hAnsi="Arial" w:cs="Arial"/>
          <w:color w:val="000000"/>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Darko Ćulafić</w:t>
      </w:r>
    </w:p>
    <w:p w14:paraId="4A43BA53">
      <w:pPr>
        <w:ind w:left="6372"/>
        <w:jc w:val="center"/>
        <w:rPr>
          <w:rFonts w:ascii="Arial" w:hAnsi="Arial" w:cs="Arial"/>
          <w:i/>
          <w:iCs/>
          <w:color w:val="000000"/>
        </w:rPr>
      </w:pPr>
      <w:r>
        <w:rPr>
          <w:rFonts w:ascii="Arial" w:hAnsi="Arial" w:cs="Arial"/>
          <w:i/>
          <w:iCs/>
          <w:color w:val="000000"/>
        </w:rPr>
        <w:t>s.r.</w:t>
      </w:r>
    </w:p>
    <w:p w14:paraId="234FF086">
      <w:pPr>
        <w:tabs>
          <w:tab w:val="left" w:pos="3290"/>
        </w:tabs>
        <w:ind w:firstLine="1134"/>
        <w:rPr>
          <w:rFonts w:ascii="Arial" w:hAnsi="Arial" w:cs="Arial"/>
          <w:color w:val="000000"/>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Radomir Kuburović</w:t>
      </w:r>
    </w:p>
    <w:p w14:paraId="4CCB0D82">
      <w:pPr>
        <w:ind w:left="6372"/>
        <w:jc w:val="center"/>
        <w:rPr>
          <w:rFonts w:ascii="Arial" w:hAnsi="Arial" w:cs="Arial"/>
          <w:i/>
          <w:iCs/>
          <w:color w:val="000000"/>
        </w:rPr>
      </w:pPr>
      <w:r>
        <w:rPr>
          <w:rFonts w:ascii="Arial" w:hAnsi="Arial" w:cs="Arial"/>
          <w:i/>
          <w:iCs/>
          <w:color w:val="000000"/>
        </w:rPr>
        <w:t>s.r.</w:t>
      </w:r>
    </w:p>
    <w:p w14:paraId="24D22359">
      <w:pPr>
        <w:jc w:val="both"/>
        <w:rPr>
          <w:rFonts w:ascii="Arial" w:hAnsi="Arial" w:cs="Arial"/>
          <w:b/>
          <w:bCs/>
          <w:color w:val="000000"/>
        </w:rPr>
      </w:pPr>
      <w:r>
        <w:rPr>
          <w:rFonts w:ascii="Arial" w:hAnsi="Arial" w:cs="Arial"/>
          <w:b/>
          <w:bCs/>
          <w:color w:val="000000"/>
        </w:rPr>
        <w:t>....</w:t>
      </w:r>
    </w:p>
    <w:p w14:paraId="2CA2CF1F">
      <w:pPr>
        <w:jc w:val="both"/>
        <w:rPr>
          <w:rFonts w:ascii="Arial" w:hAnsi="Arial" w:cs="Arial"/>
          <w:b/>
          <w:bCs/>
          <w:color w:val="000000"/>
        </w:rPr>
      </w:pPr>
    </w:p>
    <w:p w14:paraId="7CF09E2B">
      <w:pPr>
        <w:jc w:val="both"/>
        <w:rPr>
          <w:rFonts w:ascii="Arial" w:hAnsi="Arial" w:cs="Arial"/>
          <w:b/>
          <w:bCs/>
          <w:color w:val="000000"/>
        </w:rPr>
      </w:pPr>
    </w:p>
    <w:p w14:paraId="35F0C385">
      <w:pPr>
        <w:jc w:val="both"/>
        <w:rPr>
          <w:rFonts w:ascii="Arial" w:hAnsi="Arial" w:cs="Arial"/>
          <w:b/>
          <w:bCs/>
          <w:color w:val="000000"/>
        </w:rPr>
      </w:pPr>
    </w:p>
    <w:p w14:paraId="70898E5E">
      <w:pPr>
        <w:jc w:val="both"/>
        <w:rPr>
          <w:rFonts w:ascii="Arial" w:hAnsi="Arial" w:cs="Arial"/>
          <w:b/>
          <w:bCs/>
          <w:color w:val="000000"/>
        </w:rPr>
      </w:pPr>
    </w:p>
    <w:p w14:paraId="6827B02C">
      <w:pPr>
        <w:jc w:val="both"/>
        <w:rPr>
          <w:rFonts w:ascii="Arial" w:hAnsi="Arial" w:cs="Arial"/>
          <w:b/>
          <w:bCs/>
          <w:color w:val="000000"/>
        </w:rPr>
      </w:pPr>
    </w:p>
    <w:p w14:paraId="559E63EC">
      <w:pPr>
        <w:jc w:val="both"/>
        <w:rPr>
          <w:rFonts w:ascii="Arial" w:hAnsi="Arial" w:cs="Arial"/>
          <w:b/>
          <w:bCs/>
          <w:color w:val="000000"/>
        </w:rPr>
      </w:pPr>
    </w:p>
    <w:p w14:paraId="386C29B4">
      <w:pPr>
        <w:jc w:val="both"/>
        <w:rPr>
          <w:rFonts w:ascii="Arial" w:hAnsi="Arial" w:cs="Arial"/>
          <w:b/>
          <w:bCs/>
          <w:color w:val="000000"/>
        </w:rPr>
      </w:pPr>
    </w:p>
    <w:p w14:paraId="2888B77B">
      <w:pPr>
        <w:jc w:val="both"/>
        <w:rPr>
          <w:rFonts w:ascii="Arial" w:hAnsi="Arial" w:cs="Arial"/>
          <w:b/>
          <w:bCs/>
          <w:color w:val="000000"/>
        </w:rPr>
      </w:pPr>
    </w:p>
    <w:p w14:paraId="1FF3C267">
      <w:pPr>
        <w:jc w:val="both"/>
        <w:rPr>
          <w:rFonts w:ascii="Arial" w:hAnsi="Arial" w:cs="Arial"/>
          <w:b/>
          <w:bCs/>
          <w:color w:val="000000"/>
        </w:rPr>
      </w:pPr>
    </w:p>
    <w:p w14:paraId="65759F4A">
      <w:pPr>
        <w:jc w:val="both"/>
        <w:rPr>
          <w:rFonts w:ascii="Arial" w:hAnsi="Arial" w:cs="Arial"/>
          <w:b/>
          <w:bCs/>
          <w:color w:val="000000"/>
        </w:rPr>
      </w:pPr>
    </w:p>
    <w:p w14:paraId="6C6CCAB9">
      <w:pPr>
        <w:jc w:val="both"/>
        <w:rPr>
          <w:rFonts w:ascii="Arial" w:hAnsi="Arial" w:cs="Arial"/>
          <w:b/>
          <w:bCs/>
          <w:color w:val="000000"/>
        </w:rPr>
      </w:pPr>
    </w:p>
    <w:p w14:paraId="24AA0A2E">
      <w:pPr>
        <w:jc w:val="both"/>
        <w:rPr>
          <w:rFonts w:ascii="Arial" w:hAnsi="Arial" w:cs="Arial"/>
          <w:b/>
          <w:bCs/>
          <w:color w:val="000000"/>
        </w:rPr>
      </w:pPr>
    </w:p>
    <w:p w14:paraId="2A553AA3">
      <w:pPr>
        <w:jc w:val="both"/>
        <w:rPr>
          <w:rFonts w:ascii="Arial" w:hAnsi="Arial" w:cs="Arial"/>
          <w:b/>
          <w:bCs/>
          <w:color w:val="000000"/>
        </w:rPr>
      </w:pPr>
    </w:p>
    <w:p w14:paraId="22B75456">
      <w:pPr>
        <w:jc w:val="both"/>
        <w:rPr>
          <w:rFonts w:ascii="Arial" w:hAnsi="Arial" w:cs="Arial"/>
          <w:b/>
          <w:bCs/>
          <w:color w:val="000000"/>
        </w:rPr>
      </w:pPr>
    </w:p>
    <w:p w14:paraId="6E2B27E7">
      <w:pPr>
        <w:jc w:val="both"/>
        <w:rPr>
          <w:rFonts w:ascii="Arial" w:hAnsi="Arial" w:cs="Arial"/>
          <w:b/>
          <w:bCs/>
          <w:color w:val="000000"/>
        </w:rPr>
      </w:pPr>
    </w:p>
    <w:p w14:paraId="08A6BFC2">
      <w:pPr>
        <w:jc w:val="both"/>
        <w:rPr>
          <w:rFonts w:ascii="Arial" w:hAnsi="Arial" w:cs="Arial"/>
          <w:b/>
          <w:bCs/>
          <w:color w:val="000000"/>
        </w:rPr>
      </w:pPr>
    </w:p>
    <w:p w14:paraId="00172C41">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iCs/>
          <w:sz w:val="28"/>
          <w:szCs w:val="32"/>
        </w:rPr>
      </w:pPr>
      <w:bookmarkStart w:id="18" w:name="_Toc62730568"/>
      <w:r>
        <w:rPr>
          <w:rFonts w:ascii="Arial" w:hAnsi="Arial"/>
          <w:b/>
          <w:sz w:val="28"/>
          <w:szCs w:val="32"/>
        </w:rPr>
        <w:t>UPUTSTVO O PRAVNOM SREDSTVU</w:t>
      </w:r>
      <w:bookmarkEnd w:id="18"/>
    </w:p>
    <w:p w14:paraId="140964A0">
      <w:pPr>
        <w:tabs>
          <w:tab w:val="left" w:pos="5760"/>
        </w:tabs>
        <w:jc w:val="center"/>
        <w:rPr>
          <w:rFonts w:ascii="Arial" w:hAnsi="Arial" w:cs="Arial"/>
          <w:color w:val="000000"/>
        </w:rPr>
      </w:pPr>
    </w:p>
    <w:p w14:paraId="47660BA4">
      <w:pPr>
        <w:tabs>
          <w:tab w:val="left" w:pos="5760"/>
        </w:tabs>
        <w:ind w:firstLine="567"/>
        <w:jc w:val="both"/>
        <w:rPr>
          <w:rFonts w:ascii="Arial" w:hAnsi="Arial" w:cs="Arial"/>
          <w:color w:val="000000"/>
        </w:rPr>
      </w:pPr>
      <w:r>
        <w:rPr>
          <w:rFonts w:ascii="Arial" w:hAnsi="Arial" w:cs="Arial"/>
          <w:color w:val="000000"/>
        </w:rPr>
        <w:t>Privredni subjekat može da izjavi žalbu protiv ove tenderske dokumentacije Komisiji za zaštitu prava:</w:t>
      </w:r>
    </w:p>
    <w:p w14:paraId="30D97EF2">
      <w:pPr>
        <w:pStyle w:val="8"/>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2E7CE8D">
      <w:pPr>
        <w:pStyle w:val="8"/>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1EBB963">
      <w:pPr>
        <w:pStyle w:val="8"/>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B33CD5A">
      <w:pPr>
        <w:tabs>
          <w:tab w:val="left" w:pos="5760"/>
        </w:tabs>
        <w:jc w:val="both"/>
        <w:rPr>
          <w:rFonts w:ascii="Arial" w:hAnsi="Arial" w:cs="Arial"/>
          <w:color w:val="000000"/>
        </w:rPr>
      </w:pPr>
    </w:p>
    <w:p w14:paraId="4D59CCFC">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14:paraId="0919D0D8">
      <w:pPr>
        <w:autoSpaceDE w:val="0"/>
        <w:autoSpaceDN w:val="0"/>
        <w:adjustRightInd w:val="0"/>
        <w:ind w:firstLine="567"/>
        <w:jc w:val="both"/>
        <w:rPr>
          <w:rFonts w:ascii="Arial" w:hAnsi="Arial" w:cs="Arial"/>
          <w:color w:val="000000"/>
        </w:rPr>
      </w:pPr>
    </w:p>
    <w:p w14:paraId="3E6D9428">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CD9AA63">
      <w:pPr>
        <w:tabs>
          <w:tab w:val="left" w:pos="5760"/>
        </w:tabs>
        <w:ind w:firstLine="567"/>
        <w:jc w:val="both"/>
        <w:rPr>
          <w:rFonts w:ascii="Arial" w:hAnsi="Arial" w:cs="Arial"/>
          <w:color w:val="000000"/>
        </w:rPr>
      </w:pPr>
    </w:p>
    <w:p w14:paraId="156A4201">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14:paraId="2872D005">
      <w:pPr>
        <w:tabs>
          <w:tab w:val="left" w:pos="5760"/>
        </w:tabs>
        <w:ind w:firstLine="567"/>
        <w:jc w:val="both"/>
        <w:rPr>
          <w:rFonts w:ascii="Arial" w:hAnsi="Arial" w:cs="Arial"/>
          <w:color w:val="000000"/>
        </w:rPr>
      </w:pPr>
    </w:p>
    <w:p w14:paraId="57A3175F">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7"/>
          <w:rFonts w:ascii="Arial" w:hAnsi="Arial" w:cs="Arial"/>
        </w:rPr>
        <w:t>http://www.kontrola-nabavki.me/</w:t>
      </w:r>
      <w:r>
        <w:rPr>
          <w:rStyle w:val="7"/>
          <w:rFonts w:ascii="Arial" w:hAnsi="Arial" w:cs="Arial"/>
        </w:rPr>
        <w:fldChar w:fldCharType="end"/>
      </w:r>
      <w:r>
        <w:rPr>
          <w:rFonts w:ascii="Arial" w:hAnsi="Arial" w:cs="Arial"/>
          <w:color w:val="000000"/>
        </w:rPr>
        <w:t>.“.</w:t>
      </w:r>
    </w:p>
    <w:p w14:paraId="26C48343">
      <w:pPr>
        <w:tabs>
          <w:tab w:val="left" w:pos="5760"/>
        </w:tabs>
        <w:ind w:firstLine="567"/>
        <w:jc w:val="both"/>
        <w:rPr>
          <w:rFonts w:ascii="Arial" w:hAnsi="Arial" w:cs="Arial"/>
          <w:color w:val="000000"/>
        </w:rPr>
      </w:pPr>
    </w:p>
    <w:p w14:paraId="5BEC5C75">
      <w:pPr>
        <w:tabs>
          <w:tab w:val="left" w:pos="5760"/>
        </w:tabs>
        <w:ind w:firstLine="567"/>
        <w:jc w:val="both"/>
        <w:rPr>
          <w:rFonts w:ascii="Arial" w:hAnsi="Arial" w:cs="Arial"/>
          <w:color w:val="000000"/>
        </w:rPr>
      </w:pPr>
    </w:p>
    <w:p w14:paraId="15A3DA69">
      <w:pPr>
        <w:tabs>
          <w:tab w:val="left" w:pos="5760"/>
        </w:tabs>
        <w:ind w:firstLine="567"/>
        <w:jc w:val="both"/>
        <w:rPr>
          <w:rFonts w:ascii="Arial" w:hAnsi="Arial" w:cs="Arial"/>
          <w:color w:val="000000"/>
        </w:rPr>
      </w:pPr>
    </w:p>
    <w:p w14:paraId="49FEA2D2">
      <w:pPr>
        <w:tabs>
          <w:tab w:val="left" w:pos="5760"/>
        </w:tabs>
        <w:ind w:firstLine="567"/>
        <w:jc w:val="both"/>
        <w:rPr>
          <w:rFonts w:ascii="Arial" w:hAnsi="Arial" w:cs="Arial"/>
          <w:color w:val="000000"/>
        </w:rPr>
      </w:pPr>
    </w:p>
    <w:p w14:paraId="48B9205D">
      <w:pPr>
        <w:tabs>
          <w:tab w:val="left" w:pos="5760"/>
        </w:tabs>
        <w:ind w:firstLine="567"/>
        <w:jc w:val="both"/>
        <w:rPr>
          <w:rFonts w:ascii="Arial" w:hAnsi="Arial" w:cs="Arial"/>
          <w:color w:val="000000"/>
        </w:rPr>
      </w:pPr>
    </w:p>
    <w:p w14:paraId="011B73F8">
      <w:pPr>
        <w:tabs>
          <w:tab w:val="left" w:pos="5760"/>
        </w:tabs>
        <w:ind w:firstLine="567"/>
        <w:jc w:val="both"/>
        <w:rPr>
          <w:rFonts w:ascii="Arial" w:hAnsi="Arial" w:cs="Arial"/>
          <w:color w:val="000000"/>
        </w:rPr>
      </w:pPr>
    </w:p>
    <w:p w14:paraId="153C9EF4">
      <w:pPr>
        <w:tabs>
          <w:tab w:val="left" w:pos="5760"/>
        </w:tabs>
        <w:ind w:firstLine="567"/>
        <w:jc w:val="both"/>
        <w:rPr>
          <w:rFonts w:ascii="Arial" w:hAnsi="Arial" w:cs="Arial"/>
          <w:color w:val="000000"/>
        </w:rPr>
      </w:pPr>
    </w:p>
    <w:p w14:paraId="51AAB069">
      <w:pPr>
        <w:tabs>
          <w:tab w:val="left" w:pos="5760"/>
        </w:tabs>
        <w:ind w:firstLine="567"/>
        <w:jc w:val="both"/>
        <w:rPr>
          <w:rFonts w:ascii="Arial" w:hAnsi="Arial" w:cs="Arial"/>
          <w:color w:val="000000"/>
        </w:rPr>
      </w:pPr>
    </w:p>
    <w:p w14:paraId="1C3E9336">
      <w:pPr>
        <w:tabs>
          <w:tab w:val="left" w:pos="5760"/>
        </w:tabs>
        <w:ind w:firstLine="567"/>
        <w:jc w:val="both"/>
        <w:rPr>
          <w:rFonts w:ascii="Arial" w:hAnsi="Arial" w:cs="Arial"/>
          <w:color w:val="000000"/>
        </w:rPr>
      </w:pPr>
    </w:p>
    <w:p w14:paraId="27A23F5B">
      <w:pPr>
        <w:tabs>
          <w:tab w:val="left" w:pos="5760"/>
        </w:tabs>
        <w:ind w:firstLine="567"/>
        <w:jc w:val="both"/>
        <w:rPr>
          <w:rFonts w:ascii="Arial" w:hAnsi="Arial" w:cs="Arial"/>
          <w:color w:val="000000"/>
        </w:rPr>
      </w:pPr>
    </w:p>
    <w:p w14:paraId="16655D81"/>
    <w:sectPr>
      <w:pgSz w:w="11907" w:h="16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pPr>
        <w:spacing w:before="0" w:after="0" w:line="240" w:lineRule="auto"/>
      </w:pPr>
      <w:r>
        <w:separator/>
      </w:r>
    </w:p>
  </w:footnote>
  <w:footnote w:type="continuationSeparator" w:id="25">
    <w:p>
      <w:pPr>
        <w:spacing w:before="0" w:after="0" w:line="240" w:lineRule="auto"/>
      </w:pPr>
      <w:r>
        <w:continuationSeparator/>
      </w:r>
    </w:p>
  </w:footnote>
  <w:footnote w:id="0">
    <w:p w14:paraId="227B3771">
      <w:pPr>
        <w:pStyle w:val="6"/>
        <w:jc w:val="both"/>
        <w:rPr>
          <w:rFonts w:ascii="Arial" w:hAnsi="Arial" w:cs="Arial"/>
          <w:sz w:val="14"/>
          <w:szCs w:val="16"/>
        </w:rPr>
      </w:pPr>
      <w:r>
        <w:rPr>
          <w:rStyle w:val="5"/>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14:paraId="6C0AB8CC">
      <w:pPr>
        <w:pStyle w:val="6"/>
        <w:jc w:val="both"/>
        <w:rPr>
          <w:rFonts w:ascii="Arial" w:hAnsi="Arial" w:cs="Arial"/>
          <w:sz w:val="14"/>
          <w:szCs w:val="16"/>
        </w:rPr>
      </w:pPr>
      <w:r>
        <w:rPr>
          <w:rStyle w:val="5"/>
          <w:rFonts w:ascii="Arial" w:hAnsi="Arial" w:cs="Arial"/>
          <w:sz w:val="14"/>
          <w:szCs w:val="16"/>
        </w:rPr>
        <w:footnoteRef/>
      </w:r>
      <w:r>
        <w:rPr>
          <w:rFonts w:ascii="Arial" w:hAnsi="Arial" w:cs="Arial"/>
          <w:sz w:val="14"/>
          <w:szCs w:val="16"/>
        </w:rPr>
        <w:t>U slučaju podjele predmeta nabavke po partijama i zaključivanja okvirnog sporazuma, podaci o procijenjenoj vrijednosti dati su i u dodatnim infomacijama;</w:t>
      </w:r>
    </w:p>
  </w:footnote>
  <w:footnote w:id="2">
    <w:p w14:paraId="726066A3">
      <w:pPr>
        <w:pStyle w:val="6"/>
        <w:jc w:val="both"/>
        <w:rPr>
          <w:rFonts w:ascii="Arial" w:hAnsi="Arial" w:cs="Arial"/>
          <w:sz w:val="14"/>
          <w:szCs w:val="16"/>
        </w:rPr>
      </w:pPr>
      <w:r>
        <w:rPr>
          <w:rStyle w:val="5"/>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14:paraId="774E7738">
      <w:pPr>
        <w:pStyle w:val="6"/>
        <w:jc w:val="both"/>
        <w:rPr>
          <w:rFonts w:ascii="Arial" w:hAnsi="Arial" w:cs="Arial"/>
          <w:sz w:val="14"/>
          <w:szCs w:val="16"/>
        </w:rPr>
      </w:pPr>
      <w:r>
        <w:rPr>
          <w:rStyle w:val="5"/>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14:paraId="184090DD">
      <w:pPr>
        <w:pStyle w:val="6"/>
        <w:jc w:val="both"/>
        <w:rPr>
          <w:rFonts w:ascii="Arial" w:hAnsi="Arial" w:cs="Arial"/>
          <w:sz w:val="16"/>
          <w:szCs w:val="16"/>
        </w:rPr>
      </w:pPr>
      <w:r>
        <w:rPr>
          <w:rStyle w:val="5"/>
          <w:rFonts w:ascii="Arial" w:hAnsi="Arial" w:cs="Arial"/>
          <w:sz w:val="14"/>
          <w:szCs w:val="16"/>
        </w:rPr>
        <w:footnoteRef/>
      </w:r>
      <w:r>
        <w:rPr>
          <w:rFonts w:ascii="Arial" w:hAnsi="Arial" w:cs="Arial"/>
          <w:sz w:val="14"/>
          <w:szCs w:val="16"/>
        </w:rPr>
        <w:t>Procijenjena vrijednost se iskazuje bez PDV-a uključujući i sve troškove, nagrade i moguća obnavljanja ugovora na osnovu okvirnog sporazuma.</w:t>
      </w:r>
    </w:p>
  </w:footnote>
  <w:footnote w:id="5">
    <w:p w14:paraId="000228F5">
      <w:pPr>
        <w:pStyle w:val="6"/>
        <w:jc w:val="both"/>
        <w:rPr>
          <w:rFonts w:ascii="Arial" w:hAnsi="Arial" w:cs="Arial"/>
          <w:sz w:val="14"/>
          <w:szCs w:val="16"/>
        </w:rPr>
      </w:pPr>
      <w:r>
        <w:rPr>
          <w:rStyle w:val="5"/>
          <w:rFonts w:ascii="Arial" w:hAnsi="Arial" w:cs="Arial"/>
          <w:sz w:val="14"/>
          <w:szCs w:val="16"/>
        </w:rPr>
        <w:footnoteRef/>
      </w:r>
      <w:r>
        <w:rPr>
          <w:rFonts w:ascii="Arial" w:hAnsi="Arial" w:cs="Arial"/>
          <w:sz w:val="14"/>
          <w:szCs w:val="16"/>
        </w:rPr>
        <w:t>Ukoliko je predmet nabavke podijenjen na partije ovaj dio brisati</w:t>
      </w:r>
    </w:p>
  </w:footnote>
  <w:footnote w:id="6">
    <w:p w14:paraId="6DE9FB18">
      <w:pPr>
        <w:pStyle w:val="6"/>
        <w:jc w:val="both"/>
        <w:rPr>
          <w:rFonts w:ascii="Arial" w:hAnsi="Arial" w:cs="Arial"/>
          <w:sz w:val="16"/>
          <w:szCs w:val="16"/>
        </w:rPr>
      </w:pPr>
      <w:r>
        <w:rPr>
          <w:rStyle w:val="5"/>
          <w:rFonts w:ascii="Arial" w:hAnsi="Arial" w:cs="Arial"/>
          <w:sz w:val="14"/>
          <w:szCs w:val="16"/>
        </w:rPr>
        <w:footnoteRef/>
      </w:r>
      <w:r>
        <w:rPr>
          <w:rFonts w:ascii="Arial" w:hAnsi="Arial" w:cs="Arial"/>
          <w:sz w:val="14"/>
          <w:szCs w:val="16"/>
        </w:rPr>
        <w:t>Ukoliko se ne predvidja zaključivanje okvirnog sporazuma cijelu sekciju brisati iz tenderske dokumentacije</w:t>
      </w:r>
    </w:p>
  </w:footnote>
  <w:footnote w:id="7">
    <w:p w14:paraId="4452BB7C">
      <w:pPr>
        <w:autoSpaceDE w:val="0"/>
        <w:autoSpaceDN w:val="0"/>
        <w:adjustRightInd w:val="0"/>
        <w:contextualSpacing/>
        <w:jc w:val="both"/>
        <w:rPr>
          <w:rFonts w:ascii="Arial" w:hAnsi="Arial" w:cs="Arial"/>
          <w:sz w:val="14"/>
          <w:szCs w:val="16"/>
        </w:rPr>
      </w:pPr>
      <w:r>
        <w:rPr>
          <w:rStyle w:val="5"/>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14:paraId="34EF5DBD">
      <w:pPr>
        <w:pStyle w:val="6"/>
        <w:contextualSpacing/>
        <w:rPr>
          <w:rFonts w:ascii="Arial" w:hAnsi="Arial" w:cs="Arial"/>
          <w:sz w:val="16"/>
          <w:szCs w:val="16"/>
        </w:rPr>
      </w:pPr>
      <w:r>
        <w:rPr>
          <w:rStyle w:val="5"/>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14:paraId="5DEBDF65">
      <w:pPr>
        <w:pStyle w:val="6"/>
        <w:contextualSpacing/>
        <w:rPr>
          <w:rFonts w:ascii="Arial" w:hAnsi="Arial" w:cs="Arial"/>
          <w:sz w:val="14"/>
          <w:szCs w:val="16"/>
        </w:rPr>
      </w:pPr>
      <w:r>
        <w:rPr>
          <w:rStyle w:val="5"/>
          <w:rFonts w:ascii="Arial" w:hAnsi="Arial" w:cs="Arial"/>
          <w:sz w:val="14"/>
          <w:szCs w:val="16"/>
        </w:rPr>
        <w:footnoteRef/>
      </w:r>
      <w:r>
        <w:rPr>
          <w:rFonts w:ascii="Arial" w:hAnsi="Arial" w:cs="Arial"/>
          <w:sz w:val="14"/>
          <w:szCs w:val="16"/>
        </w:rPr>
        <w:t>Naručilac određuje jedan kriterijum za izbor najpovoljnije ponude, a ostale ponuđene opcije briše</w:t>
      </w:r>
    </w:p>
  </w:footnote>
  <w:footnote w:id="10">
    <w:p w14:paraId="3CE60753">
      <w:pPr>
        <w:pStyle w:val="6"/>
        <w:jc w:val="both"/>
        <w:rPr>
          <w:rFonts w:ascii="Arial" w:hAnsi="Arial" w:cs="Arial"/>
          <w:sz w:val="14"/>
          <w:szCs w:val="14"/>
        </w:rPr>
      </w:pPr>
      <w:r>
        <w:rPr>
          <w:rStyle w:val="5"/>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5FB3C8A0">
      <w:pPr>
        <w:jc w:val="both"/>
        <w:rPr>
          <w:rFonts w:ascii="Arial" w:hAnsi="Arial" w:cs="Arial"/>
          <w:color w:val="000000"/>
          <w:sz w:val="16"/>
          <w:szCs w:val="16"/>
        </w:rPr>
      </w:pPr>
      <w:r>
        <w:rPr>
          <w:rStyle w:val="5"/>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4">
    <w:nsid w:val="6764291E"/>
    <w:multiLevelType w:val="multilevel"/>
    <w:tmpl w:val="6764291E"/>
    <w:lvl w:ilvl="0" w:tentative="0">
      <w:start w:val="1"/>
      <w:numFmt w:val="decimal"/>
      <w:lvlText w:val="%1."/>
      <w:lvlJc w:val="left"/>
      <w:pPr>
        <w:ind w:left="1352"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drawingGridHorizontalSpacing w:val="110"/>
  <w:displayHorizontalDrawingGridEvery w:val="2"/>
  <w:displayVerticalDrawingGridEvery w:val="2"/>
  <w:characterSpacingControl w:val="doNotCompress"/>
  <w:footnotePr>
    <w:footnote w:id="24"/>
    <w:footnote w:id="25"/>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375"/>
    <w:rsid w:val="00052375"/>
    <w:rsid w:val="000A125D"/>
    <w:rsid w:val="00167B31"/>
    <w:rsid w:val="0017490C"/>
    <w:rsid w:val="001E38CE"/>
    <w:rsid w:val="00230BEC"/>
    <w:rsid w:val="00233904"/>
    <w:rsid w:val="00261713"/>
    <w:rsid w:val="00521CC1"/>
    <w:rsid w:val="00544B08"/>
    <w:rsid w:val="0054637E"/>
    <w:rsid w:val="006C19BF"/>
    <w:rsid w:val="00715823"/>
    <w:rsid w:val="00722F3A"/>
    <w:rsid w:val="00794D47"/>
    <w:rsid w:val="00797704"/>
    <w:rsid w:val="007D69EC"/>
    <w:rsid w:val="00833097"/>
    <w:rsid w:val="0084567F"/>
    <w:rsid w:val="008A0DC6"/>
    <w:rsid w:val="008E2487"/>
    <w:rsid w:val="00995250"/>
    <w:rsid w:val="00A845E5"/>
    <w:rsid w:val="00BE4559"/>
    <w:rsid w:val="00CC267D"/>
    <w:rsid w:val="00DD204D"/>
    <w:rsid w:val="00DF7D87"/>
    <w:rsid w:val="00E62CF3"/>
    <w:rsid w:val="00EA6E49"/>
    <w:rsid w:val="00EC147D"/>
    <w:rsid w:val="00F271D0"/>
    <w:rsid w:val="00F52E54"/>
    <w:rsid w:val="00F6267A"/>
    <w:rsid w:val="00FC0A55"/>
    <w:rsid w:val="00FC59D6"/>
    <w:rsid w:val="08B54338"/>
    <w:rsid w:val="12C260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ind w:firstLine="0"/>
      <w:jc w:val="left"/>
    </w:pPr>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semiHidden/>
    <w:unhideWhenUsed/>
    <w:uiPriority w:val="99"/>
    <w:rPr>
      <w:rFonts w:ascii="Tahoma" w:hAnsi="Tahoma" w:cs="Tahoma"/>
      <w:sz w:val="16"/>
      <w:szCs w:val="16"/>
    </w:rPr>
  </w:style>
  <w:style w:type="character" w:styleId="5">
    <w:name w:val="footnote reference"/>
    <w:unhideWhenUsed/>
    <w:qFormat/>
    <w:uiPriority w:val="99"/>
    <w:rPr>
      <w:vertAlign w:val="superscript"/>
    </w:rPr>
  </w:style>
  <w:style w:type="paragraph" w:styleId="6">
    <w:name w:val="footnote text"/>
    <w:basedOn w:val="1"/>
    <w:link w:val="9"/>
    <w:unhideWhenUsed/>
    <w:qFormat/>
    <w:uiPriority w:val="99"/>
    <w:rPr>
      <w:rFonts w:ascii="Calibri" w:hAnsi="Calibri" w:eastAsia="Calibri"/>
      <w:sz w:val="20"/>
      <w:szCs w:val="20"/>
    </w:rPr>
  </w:style>
  <w:style w:type="character" w:styleId="7">
    <w:name w:val="Hyperlink"/>
    <w:uiPriority w:val="99"/>
    <w:rPr>
      <w:color w:val="0000FF"/>
      <w:u w:val="single"/>
    </w:rPr>
  </w:style>
  <w:style w:type="paragraph" w:customStyle="1" w:styleId="8">
    <w:name w:val="T30X"/>
    <w:basedOn w:val="1"/>
    <w:qFormat/>
    <w:uiPriority w:val="99"/>
    <w:pPr>
      <w:autoSpaceDE w:val="0"/>
      <w:autoSpaceDN w:val="0"/>
      <w:adjustRightInd w:val="0"/>
      <w:spacing w:before="60" w:after="60"/>
      <w:ind w:firstLine="283"/>
      <w:jc w:val="both"/>
    </w:pPr>
    <w:rPr>
      <w:color w:val="000000"/>
      <w:sz w:val="22"/>
      <w:szCs w:val="22"/>
    </w:rPr>
  </w:style>
  <w:style w:type="character" w:customStyle="1" w:styleId="9">
    <w:name w:val="Footnote Text Char"/>
    <w:basedOn w:val="2"/>
    <w:link w:val="6"/>
    <w:uiPriority w:val="99"/>
    <w:rPr>
      <w:rFonts w:ascii="Calibri" w:hAnsi="Calibri" w:eastAsia="Calibri" w:cs="Times New Roman"/>
      <w:sz w:val="20"/>
      <w:szCs w:val="20"/>
    </w:rPr>
  </w:style>
  <w:style w:type="character" w:customStyle="1" w:styleId="10">
    <w:name w:val="Balloon Text Char"/>
    <w:basedOn w:val="2"/>
    <w:link w:val="4"/>
    <w:semiHidden/>
    <w:qFormat/>
    <w:uiPriority w:val="99"/>
    <w:rPr>
      <w:rFonts w:ascii="Tahoma" w:hAnsi="Tahoma" w:eastAsia="Times New Roman" w:cs="Tahoma"/>
      <w:sz w:val="16"/>
      <w:szCs w:val="16"/>
    </w:rPr>
  </w:style>
  <w:style w:type="paragraph"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2399</Words>
  <Characters>13675</Characters>
  <Lines>113</Lines>
  <Paragraphs>32</Paragraphs>
  <TotalTime>111</TotalTime>
  <ScaleCrop>false</ScaleCrop>
  <LinksUpToDate>false</LinksUpToDate>
  <CharactersWithSpaces>16042</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2024-02-26T22:09:00Z</dcterms:created>
  <dc:creator>Korisnik</dc:creator>
  <cp:lastModifiedBy>PC</cp:lastModifiedBy>
  <dcterms:modified xsi:type="dcterms:W3CDTF">2025-11-28T11:45:22Z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5D8A9ACDF013496BBBD70048A8AF5BF6_12</vt:lpwstr>
  </property>
</Properties>
</file>