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ascii="Arial" w:hAnsi="Arial" w:cs="Arial"/>
          <w:b/>
          <w:color w:val="000000"/>
        </w:rPr>
      </w:pPr>
      <w:r>
        <w:rPr>
          <w:rFonts w:ascii="Arial" w:hAnsi="Arial" w:cs="Arial"/>
          <w:b/>
          <w:color w:val="000000"/>
        </w:rPr>
        <w:t xml:space="preserve">OBRAZAC 1  </w:t>
      </w:r>
    </w:p>
    <w:p>
      <w:pPr>
        <w:rPr>
          <w:rFonts w:ascii="Arial" w:hAnsi="Arial" w:cs="Arial"/>
          <w:sz w:val="24"/>
          <w:szCs w:val="24"/>
        </w:rPr>
      </w:pPr>
    </w:p>
    <w:p>
      <w:pPr>
        <w:rPr>
          <w:rFonts w:ascii="Arial" w:hAnsi="Arial" w:cs="Arial"/>
          <w:sz w:val="24"/>
          <w:szCs w:val="24"/>
        </w:rPr>
      </w:pPr>
      <w:r>
        <w:rPr>
          <w:rFonts w:ascii="Arial" w:hAnsi="Arial" w:cs="Arial"/>
          <w:sz w:val="24"/>
          <w:szCs w:val="24"/>
          <w:lang w:val="sr-Latn-RS"/>
        </w:rPr>
        <w:t>Naru</w:t>
      </w:r>
      <w:r>
        <w:rPr>
          <w:rFonts w:ascii="Arial" w:hAnsi="Arial" w:cs="Arial"/>
          <w:sz w:val="24"/>
          <w:szCs w:val="24"/>
        </w:rPr>
        <w:t>čilac:</w:t>
      </w:r>
      <w:r>
        <w:rPr>
          <w:rFonts w:ascii="Arial" w:hAnsi="Arial" w:cs="Arial"/>
          <w:b/>
          <w:bCs/>
          <w:sz w:val="24"/>
          <w:szCs w:val="24"/>
        </w:rPr>
        <w:t xml:space="preserve"> Ministarstvo finansija</w:t>
      </w:r>
    </w:p>
    <w:p>
      <w:pPr>
        <w:rPr>
          <w:rFonts w:hint="default" w:ascii="Arial" w:hAnsi="Arial" w:cs="Arial"/>
          <w:sz w:val="24"/>
          <w:szCs w:val="24"/>
          <w:lang w:val="sr-Latn-ME"/>
        </w:rPr>
      </w:pPr>
      <w:r>
        <w:rPr>
          <w:rFonts w:ascii="Arial" w:hAnsi="Arial" w:cs="Arial"/>
          <w:sz w:val="24"/>
          <w:szCs w:val="24"/>
        </w:rPr>
        <w:t xml:space="preserve">Broj iz evidencije postupaka javnih nabavki: </w:t>
      </w:r>
      <w:r>
        <w:rPr>
          <w:rFonts w:hint="default" w:ascii="Arial" w:hAnsi="Arial" w:cs="Arial"/>
          <w:sz w:val="24"/>
          <w:szCs w:val="24"/>
          <w:lang w:val="sr-Latn-ME"/>
        </w:rPr>
        <w:t xml:space="preserve"> 8/2025</w:t>
      </w:r>
    </w:p>
    <w:p>
      <w:pPr>
        <w:rPr>
          <w:rFonts w:ascii="Arial" w:hAnsi="Arial" w:cs="Arial"/>
          <w:sz w:val="24"/>
          <w:szCs w:val="24"/>
          <w:lang w:val="sr-Latn-RS"/>
        </w:rPr>
      </w:pPr>
      <w:r>
        <w:rPr>
          <w:rFonts w:ascii="Arial" w:hAnsi="Arial" w:cs="Arial"/>
          <w:sz w:val="24"/>
          <w:szCs w:val="24"/>
        </w:rPr>
        <w:t xml:space="preserve">Redni broj iz Plana javnih nabavki : </w:t>
      </w:r>
      <w:r>
        <w:rPr>
          <w:rFonts w:ascii="Arial" w:hAnsi="Arial" w:cs="Arial"/>
          <w:sz w:val="24"/>
          <w:szCs w:val="24"/>
          <w:lang w:val="sr-Latn-RS"/>
        </w:rPr>
        <w:t>11</w:t>
      </w:r>
    </w:p>
    <w:p>
      <w:pPr>
        <w:rPr>
          <w:rFonts w:ascii="Arial" w:hAnsi="Arial" w:cs="Arial"/>
          <w:sz w:val="24"/>
          <w:szCs w:val="24"/>
        </w:rPr>
      </w:pPr>
      <w:r>
        <w:rPr>
          <w:rFonts w:ascii="Arial" w:hAnsi="Arial" w:cs="Arial"/>
          <w:sz w:val="24"/>
          <w:szCs w:val="24"/>
        </w:rPr>
        <w:t xml:space="preserve">Mjesto i datum: </w:t>
      </w:r>
      <w:r>
        <w:rPr>
          <w:rFonts w:hint="default" w:ascii="Arial" w:hAnsi="Arial" w:cs="Arial"/>
          <w:sz w:val="24"/>
          <w:szCs w:val="24"/>
          <w:lang w:val="sr-Latn-ME"/>
        </w:rPr>
        <w:t xml:space="preserve"> </w:t>
      </w:r>
      <w:r>
        <w:rPr>
          <w:rFonts w:ascii="Arial" w:hAnsi="Arial" w:cs="Arial"/>
          <w:sz w:val="24"/>
          <w:szCs w:val="24"/>
        </w:rPr>
        <w:t xml:space="preserve">Podgorica, </w:t>
      </w:r>
      <w:r>
        <w:rPr>
          <w:rFonts w:hint="default" w:ascii="Arial" w:hAnsi="Arial"/>
          <w:sz w:val="24"/>
          <w:szCs w:val="24"/>
        </w:rPr>
        <w:t>27.11.2025.godine ,</w:t>
      </w:r>
    </w:p>
    <w:p>
      <w:pPr>
        <w:rPr>
          <w:rFonts w:ascii="Arial" w:hAnsi="Arial" w:cs="Arial"/>
          <w:sz w:val="24"/>
          <w:szCs w:val="24"/>
        </w:rPr>
      </w:pPr>
    </w:p>
    <w:p>
      <w:pPr>
        <w:rPr>
          <w:rFonts w:ascii="Arial" w:hAnsi="Arial" w:cs="Arial"/>
          <w:sz w:val="24"/>
          <w:szCs w:val="24"/>
        </w:rPr>
      </w:pPr>
    </w:p>
    <w:p>
      <w:pPr>
        <w:tabs>
          <w:tab w:val="left" w:pos="1701"/>
          <w:tab w:val="left" w:pos="4820"/>
        </w:tabs>
        <w:jc w:val="both"/>
        <w:rPr>
          <w:rFonts w:ascii="Arial" w:hAnsi="Arial" w:cs="Arial"/>
          <w:color w:val="000000"/>
          <w:sz w:val="24"/>
          <w:szCs w:val="24"/>
        </w:rPr>
      </w:pPr>
      <w:r>
        <w:rPr>
          <w:rFonts w:ascii="Arial" w:hAnsi="Arial" w:cs="Arial"/>
          <w:sz w:val="24"/>
          <w:szCs w:val="24"/>
        </w:rPr>
        <w:t>Na osnovu člana 53 stav 3 Zakona o javnim nabavkama („Službeni list CG“, br. 74/19 , 3/23 11/23</w:t>
      </w:r>
      <w:r>
        <w:rPr>
          <w:rFonts w:ascii="Arial" w:hAnsi="Arial" w:cs="Arial"/>
          <w:sz w:val="24"/>
          <w:szCs w:val="24"/>
          <w:lang w:val="sr-Latn-RS"/>
        </w:rPr>
        <w:t xml:space="preserve"> i 84/24</w:t>
      </w:r>
      <w:r>
        <w:rPr>
          <w:rFonts w:ascii="Arial" w:hAnsi="Arial" w:cs="Arial"/>
          <w:sz w:val="24"/>
          <w:szCs w:val="24"/>
        </w:rPr>
        <w:t xml:space="preserve">) </w:t>
      </w:r>
      <w:r>
        <w:rPr>
          <w:rFonts w:ascii="Arial" w:hAnsi="Arial" w:cs="Arial"/>
          <w:color w:val="000000"/>
          <w:sz w:val="24"/>
          <w:szCs w:val="24"/>
          <w:u w:val="single"/>
        </w:rPr>
        <w:t>Ministarstvo finansija</w:t>
      </w:r>
      <w:r>
        <w:rPr>
          <w:rFonts w:ascii="Arial" w:hAnsi="Arial" w:cs="Arial"/>
          <w:color w:val="000000"/>
          <w:sz w:val="24"/>
          <w:szCs w:val="24"/>
        </w:rPr>
        <w:t xml:space="preserve"> </w:t>
      </w:r>
      <w:r>
        <w:rPr>
          <w:rFonts w:ascii="Arial" w:hAnsi="Arial" w:cs="Arial"/>
          <w:sz w:val="24"/>
          <w:szCs w:val="24"/>
        </w:rPr>
        <w:t>objavljuje</w:t>
      </w:r>
      <w:r>
        <w:rPr>
          <w:rFonts w:ascii="Arial" w:hAnsi="Arial" w:cs="Arial"/>
          <w:b/>
          <w:bCs/>
          <w:color w:val="000000"/>
          <w:sz w:val="24"/>
          <w:szCs w:val="24"/>
        </w:rPr>
        <w:t xml:space="preserve">        </w:t>
      </w:r>
    </w:p>
    <w:p>
      <w:pPr>
        <w:tabs>
          <w:tab w:val="left" w:pos="1276"/>
          <w:tab w:val="left" w:pos="3261"/>
        </w:tabs>
        <w:jc w:val="both"/>
        <w:rPr>
          <w:rFonts w:ascii="Arial" w:hAnsi="Arial" w:cs="Arial"/>
          <w:b/>
          <w:bCs/>
          <w:color w:val="000000"/>
        </w:rPr>
      </w:pPr>
    </w:p>
    <w:p>
      <w:pPr>
        <w:tabs>
          <w:tab w:val="left" w:pos="1276"/>
          <w:tab w:val="left" w:pos="3261"/>
        </w:tabs>
        <w:jc w:val="both"/>
        <w:rPr>
          <w:rFonts w:ascii="Arial" w:hAnsi="Arial" w:cs="Arial"/>
          <w:b/>
          <w:bCs/>
          <w:color w:val="000000"/>
        </w:rPr>
      </w:pPr>
    </w:p>
    <w:p>
      <w:pPr>
        <w:tabs>
          <w:tab w:val="left" w:pos="1276"/>
          <w:tab w:val="left" w:pos="3261"/>
        </w:tabs>
        <w:jc w:val="both"/>
        <w:rPr>
          <w:rFonts w:ascii="Arial" w:hAnsi="Arial" w:cs="Arial"/>
          <w:b/>
          <w:bCs/>
          <w:color w:val="000000"/>
        </w:rPr>
      </w:pPr>
    </w:p>
    <w:p>
      <w:pPr>
        <w:tabs>
          <w:tab w:val="left" w:pos="1276"/>
          <w:tab w:val="left" w:pos="3261"/>
        </w:tabs>
        <w:jc w:val="both"/>
        <w:rPr>
          <w:rFonts w:ascii="Arial" w:hAnsi="Arial" w:cs="Arial"/>
          <w:b/>
          <w:bCs/>
          <w:color w:val="000000"/>
        </w:rPr>
      </w:pPr>
    </w:p>
    <w:p>
      <w:pPr>
        <w:tabs>
          <w:tab w:val="left" w:pos="1276"/>
          <w:tab w:val="left" w:pos="3261"/>
        </w:tabs>
        <w:jc w:val="both"/>
        <w:rPr>
          <w:rFonts w:ascii="Arial" w:hAnsi="Arial" w:cs="Arial"/>
          <w:b/>
          <w:bCs/>
          <w:color w:val="000000"/>
          <w:sz w:val="24"/>
          <w:szCs w:val="24"/>
        </w:rPr>
      </w:pPr>
    </w:p>
    <w:p>
      <w:pPr>
        <w:tabs>
          <w:tab w:val="left" w:pos="1276"/>
          <w:tab w:val="left" w:pos="3261"/>
        </w:tabs>
        <w:jc w:val="both"/>
        <w:rPr>
          <w:rFonts w:ascii="Arial" w:hAnsi="Arial" w:cs="Arial"/>
          <w:sz w:val="24"/>
          <w:szCs w:val="24"/>
        </w:rPr>
      </w:pPr>
      <w:r>
        <w:rPr>
          <w:rFonts w:ascii="Arial" w:hAnsi="Arial" w:cs="Arial"/>
          <w:b/>
          <w:bCs/>
          <w:color w:val="000000"/>
          <w:sz w:val="24"/>
          <w:szCs w:val="24"/>
        </w:rPr>
        <w:t xml:space="preserve">                                          </w:t>
      </w:r>
      <w:r>
        <w:rPr>
          <w:rFonts w:ascii="Arial" w:hAnsi="Arial" w:cs="Arial"/>
          <w:b/>
          <w:bCs/>
          <w:color w:val="000000"/>
          <w:sz w:val="24"/>
          <w:szCs w:val="24"/>
        </w:rPr>
        <w:tab/>
      </w:r>
      <w:r>
        <w:rPr>
          <w:rFonts w:ascii="Arial" w:hAnsi="Arial" w:cs="Arial"/>
          <w:bCs/>
          <w:color w:val="000000"/>
          <w:sz w:val="24"/>
          <w:szCs w:val="24"/>
        </w:rPr>
        <w:t xml:space="preserve">                                                </w:t>
      </w:r>
    </w:p>
    <w:p>
      <w:pPr>
        <w:keepNext/>
        <w:jc w:val="center"/>
        <w:outlineLvl w:val="0"/>
        <w:rPr>
          <w:rFonts w:ascii="Arial" w:hAnsi="Arial" w:cs="Arial"/>
          <w:b/>
          <w:bCs/>
          <w:color w:val="000000"/>
          <w:sz w:val="24"/>
          <w:szCs w:val="24"/>
        </w:rPr>
      </w:pPr>
    </w:p>
    <w:p>
      <w:pPr>
        <w:jc w:val="center"/>
        <w:rPr>
          <w:rFonts w:ascii="Arial" w:hAnsi="Arial" w:cs="Arial"/>
          <w:b/>
          <w:bCs/>
          <w:color w:val="000000"/>
          <w:sz w:val="24"/>
          <w:szCs w:val="24"/>
        </w:rPr>
      </w:pPr>
      <w:r>
        <w:rPr>
          <w:rFonts w:ascii="Arial" w:hAnsi="Arial" w:cs="Arial"/>
          <w:b/>
          <w:bCs/>
          <w:color w:val="000000"/>
          <w:sz w:val="24"/>
          <w:szCs w:val="24"/>
        </w:rPr>
        <w:t>TENDERSKU DOKUMENTACIJU</w:t>
      </w:r>
    </w:p>
    <w:p>
      <w:pPr>
        <w:jc w:val="center"/>
        <w:rPr>
          <w:rFonts w:ascii="Arial" w:hAnsi="Arial" w:cs="Arial"/>
          <w:b/>
          <w:bCs/>
          <w:color w:val="000000"/>
          <w:sz w:val="24"/>
          <w:szCs w:val="24"/>
        </w:rPr>
      </w:pPr>
      <w:r>
        <w:rPr>
          <w:rFonts w:ascii="Arial" w:hAnsi="Arial" w:cs="Arial"/>
          <w:b/>
          <w:bCs/>
          <w:color w:val="000000"/>
          <w:sz w:val="24"/>
          <w:szCs w:val="24"/>
        </w:rPr>
        <w:t>ZA OTVORENI POSTUPAK JAVNE NABAVKE</w:t>
      </w:r>
    </w:p>
    <w:p>
      <w:pPr>
        <w:jc w:val="center"/>
        <w:rPr>
          <w:rFonts w:ascii="Arial" w:hAnsi="Arial" w:cs="Arial"/>
          <w:color w:val="000000" w:themeColor="text1"/>
          <w:sz w:val="24"/>
          <w:szCs w:val="24"/>
          <w:lang w:eastAsia="sr-Latn-ME"/>
          <w14:textFill>
            <w14:solidFill>
              <w14:schemeClr w14:val="tx1"/>
            </w14:solidFill>
          </w14:textFill>
        </w:rPr>
      </w:pPr>
      <w:r>
        <w:rPr>
          <w:rFonts w:ascii="Arial" w:hAnsi="Arial" w:cs="Arial"/>
          <w:color w:val="000000" w:themeColor="text1"/>
          <w:sz w:val="24"/>
          <w:szCs w:val="24"/>
          <w:lang w:eastAsia="sr-Latn-ME"/>
          <w14:textFill>
            <w14:solidFill>
              <w14:schemeClr w14:val="tx1"/>
            </w14:solidFill>
          </w14:textFill>
        </w:rPr>
        <w:t>Usluge održavanja i unapredjenja funkcionalnosti softvera ESJN (elektronski sistem javnih nabavki)</w:t>
      </w:r>
    </w:p>
    <w:p>
      <w:pPr>
        <w:rPr>
          <w:rFonts w:ascii="Arial" w:hAnsi="Arial" w:cs="Arial"/>
          <w:sz w:val="24"/>
          <w:szCs w:val="24"/>
        </w:rPr>
      </w:pPr>
    </w:p>
    <w:p>
      <w:pPr>
        <w:jc w:val="both"/>
        <w:rPr>
          <w:rFonts w:ascii="Arial" w:hAnsi="Arial" w:cs="Arial"/>
          <w:color w:val="000000"/>
          <w:sz w:val="24"/>
          <w:szCs w:val="24"/>
        </w:rPr>
      </w:pPr>
      <w:r>
        <w:rPr>
          <w:rFonts w:ascii="Arial" w:hAnsi="Arial" w:cs="Arial"/>
          <w:color w:val="000000"/>
          <w:sz w:val="24"/>
          <w:szCs w:val="24"/>
        </w:rPr>
        <w:t>Predmet nabavke se nabavlja:</w:t>
      </w:r>
    </w:p>
    <w:p>
      <w:pPr>
        <w:jc w:val="both"/>
        <w:rPr>
          <w:rFonts w:ascii="Arial" w:hAnsi="Arial" w:cs="Arial"/>
          <w:color w:val="000000"/>
          <w:sz w:val="24"/>
          <w:szCs w:val="24"/>
        </w:rPr>
      </w:pPr>
    </w:p>
    <w:p>
      <w:pPr>
        <w:jc w:val="both"/>
        <w:rPr>
          <w:rFonts w:ascii="Arial" w:hAnsi="Arial" w:cs="Arial"/>
          <w:color w:val="000000"/>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kao cjelina </w:t>
      </w: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outlineLvl w:val="0"/>
        <w:rPr>
          <w:rFonts w:ascii="Arial" w:hAnsi="Arial" w:cs="Arial"/>
          <w:b/>
          <w:color w:val="000000"/>
          <w:sz w:val="24"/>
          <w:szCs w:val="24"/>
        </w:rPr>
      </w:pPr>
      <w:bookmarkStart w:id="0" w:name="_Toc62730553"/>
      <w:r>
        <w:rPr>
          <w:rFonts w:ascii="Arial" w:hAnsi="Arial" w:cs="Arial"/>
          <w:b/>
          <w:color w:val="000000"/>
          <w:sz w:val="24"/>
          <w:szCs w:val="24"/>
          <w:lang w:val="sr-Latn-RS"/>
        </w:rPr>
        <w:t>1.</w:t>
      </w:r>
      <w:r>
        <w:rPr>
          <w:rFonts w:ascii="Arial" w:hAnsi="Arial" w:cs="Arial"/>
          <w:b/>
          <w:color w:val="000000"/>
          <w:sz w:val="24"/>
          <w:szCs w:val="24"/>
        </w:rPr>
        <w:t>POZIV ZA NADMETANJE</w:t>
      </w:r>
      <w:r>
        <w:rPr>
          <w:rFonts w:ascii="Arial" w:hAnsi="Arial" w:cs="Arial"/>
          <w:b/>
          <w:color w:val="000000"/>
          <w:sz w:val="24"/>
          <w:szCs w:val="24"/>
          <w:vertAlign w:val="superscript"/>
        </w:rPr>
        <w:footnoteReference w:id="0"/>
      </w:r>
      <w:bookmarkEnd w:id="0"/>
      <w:r>
        <w:rPr>
          <w:rFonts w:ascii="Arial" w:hAnsi="Arial" w:cs="Arial"/>
          <w:b/>
          <w:color w:val="000000"/>
          <w:sz w:val="24"/>
          <w:szCs w:val="24"/>
        </w:rPr>
        <w:t xml:space="preserve"> </w:t>
      </w:r>
    </w:p>
    <w:p>
      <w:pPr>
        <w:numPr>
          <w:ilvl w:val="0"/>
          <w:numId w:val="1"/>
        </w:numPr>
        <w:contextualSpacing/>
        <w:rPr>
          <w:rFonts w:ascii="Arial" w:hAnsi="Arial" w:eastAsia="Calibri" w:cs="Arial"/>
          <w:color w:val="000000"/>
          <w:sz w:val="24"/>
          <w:szCs w:val="24"/>
        </w:rPr>
      </w:pPr>
      <w:r>
        <w:rPr>
          <w:rFonts w:ascii="Arial" w:hAnsi="Arial" w:eastAsia="Calibri" w:cs="Arial"/>
          <w:color w:val="000000"/>
          <w:sz w:val="24"/>
          <w:szCs w:val="24"/>
        </w:rPr>
        <w:t>Podaci o naručiocu;</w:t>
      </w:r>
    </w:p>
    <w:p>
      <w:pPr>
        <w:numPr>
          <w:ilvl w:val="0"/>
          <w:numId w:val="1"/>
        </w:numPr>
        <w:contextualSpacing/>
        <w:rPr>
          <w:rFonts w:ascii="Arial" w:hAnsi="Arial" w:eastAsia="Calibri" w:cs="Arial"/>
          <w:color w:val="000000"/>
          <w:sz w:val="24"/>
          <w:szCs w:val="24"/>
        </w:rPr>
      </w:pPr>
      <w:r>
        <w:rPr>
          <w:rFonts w:ascii="Arial" w:hAnsi="Arial" w:eastAsia="Calibri" w:cs="Arial"/>
          <w:color w:val="000000"/>
          <w:sz w:val="24"/>
          <w:szCs w:val="24"/>
        </w:rPr>
        <w:t xml:space="preserve">Podaci o postupku i predmetu javne nabavke: </w:t>
      </w:r>
    </w:p>
    <w:p>
      <w:pPr>
        <w:numPr>
          <w:ilvl w:val="1"/>
          <w:numId w:val="1"/>
        </w:numPr>
        <w:contextualSpacing/>
        <w:rPr>
          <w:rFonts w:ascii="Arial" w:hAnsi="Arial" w:eastAsia="Calibri" w:cs="Arial"/>
          <w:color w:val="000000"/>
          <w:sz w:val="24"/>
          <w:szCs w:val="24"/>
        </w:rPr>
      </w:pPr>
      <w:r>
        <w:rPr>
          <w:rFonts w:ascii="Arial" w:hAnsi="Arial" w:eastAsia="Calibri" w:cs="Arial"/>
          <w:color w:val="000000"/>
          <w:sz w:val="24"/>
          <w:szCs w:val="24"/>
        </w:rPr>
        <w:t>Vrsta postupka,</w:t>
      </w:r>
    </w:p>
    <w:p>
      <w:pPr>
        <w:numPr>
          <w:ilvl w:val="1"/>
          <w:numId w:val="1"/>
        </w:numPr>
        <w:contextualSpacing/>
        <w:rPr>
          <w:rFonts w:ascii="Arial" w:hAnsi="Arial" w:eastAsia="Calibri" w:cs="Arial"/>
          <w:color w:val="000000"/>
          <w:sz w:val="24"/>
          <w:szCs w:val="24"/>
        </w:rPr>
      </w:pPr>
      <w:r>
        <w:rPr>
          <w:rFonts w:ascii="Arial" w:hAnsi="Arial" w:eastAsia="Calibri" w:cs="Arial"/>
          <w:color w:val="000000"/>
          <w:sz w:val="24"/>
          <w:szCs w:val="24"/>
        </w:rPr>
        <w:t>Predmet javne nabavke (vrsta predmeta, naziv i opis predmeta),</w:t>
      </w:r>
    </w:p>
    <w:p>
      <w:pPr>
        <w:numPr>
          <w:ilvl w:val="1"/>
          <w:numId w:val="1"/>
        </w:numPr>
        <w:contextualSpacing/>
        <w:rPr>
          <w:rFonts w:ascii="Arial" w:hAnsi="Arial" w:eastAsia="Calibri" w:cs="Arial"/>
          <w:color w:val="000000"/>
          <w:sz w:val="24"/>
          <w:szCs w:val="24"/>
        </w:rPr>
      </w:pPr>
      <w:r>
        <w:rPr>
          <w:rFonts w:ascii="Arial" w:hAnsi="Arial" w:eastAsia="Calibri" w:cs="Arial"/>
          <w:color w:val="000000"/>
          <w:sz w:val="24"/>
          <w:szCs w:val="24"/>
        </w:rPr>
        <w:t>Procijenjena vrijednost predmeta nabavke</w:t>
      </w:r>
      <w:r>
        <w:rPr>
          <w:rFonts w:ascii="Arial" w:hAnsi="Arial" w:eastAsia="Calibri" w:cs="Arial"/>
          <w:color w:val="000000"/>
          <w:sz w:val="24"/>
          <w:szCs w:val="24"/>
          <w:vertAlign w:val="superscript"/>
        </w:rPr>
        <w:footnoteReference w:id="1"/>
      </w:r>
      <w:r>
        <w:rPr>
          <w:rFonts w:ascii="Arial" w:hAnsi="Arial" w:eastAsia="Calibri" w:cs="Arial"/>
          <w:color w:val="000000"/>
          <w:sz w:val="24"/>
          <w:szCs w:val="24"/>
        </w:rPr>
        <w:t>,</w:t>
      </w:r>
    </w:p>
    <w:p>
      <w:pPr>
        <w:numPr>
          <w:ilvl w:val="1"/>
          <w:numId w:val="1"/>
        </w:numPr>
        <w:contextualSpacing/>
        <w:rPr>
          <w:rFonts w:ascii="Arial" w:hAnsi="Arial" w:eastAsia="Calibri" w:cs="Arial"/>
          <w:color w:val="000000"/>
          <w:sz w:val="24"/>
          <w:szCs w:val="24"/>
        </w:rPr>
      </w:pPr>
      <w:r>
        <w:rPr>
          <w:rFonts w:ascii="Arial" w:hAnsi="Arial" w:eastAsia="Calibri" w:cs="Arial"/>
          <w:color w:val="000000"/>
          <w:sz w:val="24"/>
          <w:szCs w:val="24"/>
        </w:rPr>
        <w:t xml:space="preserve">Način nabavke: </w:t>
      </w:r>
    </w:p>
    <w:p>
      <w:pPr>
        <w:numPr>
          <w:ilvl w:val="0"/>
          <w:numId w:val="2"/>
        </w:numPr>
        <w:contextualSpacing/>
        <w:rPr>
          <w:rFonts w:ascii="Arial" w:hAnsi="Arial" w:eastAsia="Calibri" w:cs="Arial"/>
          <w:color w:val="000000"/>
          <w:sz w:val="24"/>
          <w:szCs w:val="24"/>
        </w:rPr>
      </w:pPr>
      <w:r>
        <w:rPr>
          <w:rFonts w:ascii="Arial" w:hAnsi="Arial" w:eastAsia="Calibri" w:cs="Arial"/>
          <w:color w:val="000000"/>
          <w:sz w:val="24"/>
          <w:szCs w:val="24"/>
        </w:rPr>
        <w:t>Cjelina, po partijama,</w:t>
      </w:r>
    </w:p>
    <w:p>
      <w:pPr>
        <w:numPr>
          <w:ilvl w:val="0"/>
          <w:numId w:val="2"/>
        </w:numPr>
        <w:contextualSpacing/>
        <w:rPr>
          <w:rFonts w:ascii="Arial" w:hAnsi="Arial" w:eastAsia="Calibri" w:cs="Arial"/>
          <w:color w:val="000000"/>
          <w:sz w:val="24"/>
          <w:szCs w:val="24"/>
        </w:rPr>
      </w:pPr>
      <w:r>
        <w:rPr>
          <w:rFonts w:ascii="Arial" w:hAnsi="Arial" w:eastAsia="Calibri" w:cs="Arial"/>
          <w:color w:val="000000"/>
          <w:sz w:val="24"/>
          <w:szCs w:val="24"/>
        </w:rPr>
        <w:t>Zajednička nabavka,</w:t>
      </w:r>
    </w:p>
    <w:p>
      <w:pPr>
        <w:numPr>
          <w:ilvl w:val="0"/>
          <w:numId w:val="2"/>
        </w:numPr>
        <w:contextualSpacing/>
        <w:rPr>
          <w:rFonts w:ascii="Arial" w:hAnsi="Arial" w:eastAsia="Calibri" w:cs="Arial"/>
          <w:color w:val="000000"/>
          <w:sz w:val="24"/>
          <w:szCs w:val="24"/>
        </w:rPr>
      </w:pPr>
      <w:r>
        <w:rPr>
          <w:rFonts w:ascii="Arial" w:hAnsi="Arial" w:eastAsia="Calibri" w:cs="Arial"/>
          <w:color w:val="000000"/>
          <w:sz w:val="24"/>
          <w:szCs w:val="24"/>
        </w:rPr>
        <w:t>Centralizovana nabavka,</w:t>
      </w:r>
    </w:p>
    <w:p>
      <w:pPr>
        <w:numPr>
          <w:ilvl w:val="1"/>
          <w:numId w:val="1"/>
        </w:numPr>
        <w:contextualSpacing/>
        <w:rPr>
          <w:rFonts w:ascii="Arial" w:hAnsi="Arial" w:eastAsia="Calibri" w:cs="Arial"/>
          <w:color w:val="000000"/>
          <w:sz w:val="24"/>
          <w:szCs w:val="24"/>
        </w:rPr>
      </w:pPr>
      <w:r>
        <w:rPr>
          <w:rFonts w:ascii="Arial" w:hAnsi="Arial" w:eastAsia="Calibri" w:cs="Arial"/>
          <w:color w:val="000000"/>
          <w:sz w:val="24"/>
          <w:szCs w:val="24"/>
        </w:rPr>
        <w:t>Posebni oblik nabavke:</w:t>
      </w:r>
    </w:p>
    <w:p>
      <w:pPr>
        <w:numPr>
          <w:ilvl w:val="0"/>
          <w:numId w:val="3"/>
        </w:numPr>
        <w:contextualSpacing/>
        <w:rPr>
          <w:rFonts w:ascii="Arial" w:hAnsi="Arial" w:eastAsia="Calibri" w:cs="Arial"/>
          <w:color w:val="000000"/>
          <w:sz w:val="24"/>
          <w:szCs w:val="24"/>
        </w:rPr>
      </w:pPr>
      <w:r>
        <w:rPr>
          <w:rFonts w:ascii="Arial" w:hAnsi="Arial" w:eastAsia="Calibri" w:cs="Arial"/>
          <w:color w:val="000000"/>
          <w:sz w:val="24"/>
          <w:szCs w:val="24"/>
        </w:rPr>
        <w:t>Okvirni sporazum,</w:t>
      </w:r>
    </w:p>
    <w:p>
      <w:pPr>
        <w:numPr>
          <w:ilvl w:val="0"/>
          <w:numId w:val="3"/>
        </w:numPr>
        <w:contextualSpacing/>
        <w:rPr>
          <w:rFonts w:ascii="Arial" w:hAnsi="Arial" w:eastAsia="Calibri" w:cs="Arial"/>
          <w:color w:val="000000"/>
          <w:sz w:val="24"/>
          <w:szCs w:val="24"/>
        </w:rPr>
      </w:pPr>
      <w:r>
        <w:rPr>
          <w:rFonts w:ascii="Arial" w:hAnsi="Arial" w:eastAsia="Calibri" w:cs="Arial"/>
          <w:color w:val="000000"/>
          <w:sz w:val="24"/>
          <w:szCs w:val="24"/>
        </w:rPr>
        <w:t>Dinamički sistem nabavki,</w:t>
      </w:r>
    </w:p>
    <w:p>
      <w:pPr>
        <w:numPr>
          <w:ilvl w:val="0"/>
          <w:numId w:val="3"/>
        </w:numPr>
        <w:contextualSpacing/>
        <w:rPr>
          <w:rFonts w:ascii="Arial" w:hAnsi="Arial" w:eastAsia="Calibri" w:cs="Arial"/>
          <w:color w:val="000000"/>
          <w:sz w:val="24"/>
          <w:szCs w:val="24"/>
        </w:rPr>
      </w:pPr>
      <w:r>
        <w:rPr>
          <w:rFonts w:ascii="Arial" w:hAnsi="Arial" w:eastAsia="Calibri" w:cs="Arial"/>
          <w:color w:val="000000"/>
          <w:sz w:val="24"/>
          <w:szCs w:val="24"/>
        </w:rPr>
        <w:t>Elektronska aukcija,</w:t>
      </w:r>
    </w:p>
    <w:p>
      <w:pPr>
        <w:numPr>
          <w:ilvl w:val="0"/>
          <w:numId w:val="3"/>
        </w:numPr>
        <w:contextualSpacing/>
        <w:rPr>
          <w:rFonts w:ascii="Arial" w:hAnsi="Arial" w:eastAsia="Calibri" w:cs="Arial"/>
          <w:color w:val="000000"/>
          <w:sz w:val="24"/>
          <w:szCs w:val="24"/>
        </w:rPr>
      </w:pPr>
      <w:r>
        <w:rPr>
          <w:rFonts w:ascii="Arial" w:hAnsi="Arial" w:eastAsia="Calibri" w:cs="Arial"/>
          <w:color w:val="000000"/>
          <w:sz w:val="24"/>
          <w:szCs w:val="24"/>
        </w:rPr>
        <w:t>Elektronski katalog,</w:t>
      </w:r>
    </w:p>
    <w:p>
      <w:pPr>
        <w:numPr>
          <w:ilvl w:val="1"/>
          <w:numId w:val="1"/>
        </w:numPr>
        <w:contextualSpacing/>
        <w:rPr>
          <w:rFonts w:ascii="Arial" w:hAnsi="Arial" w:eastAsia="Calibri" w:cs="Arial"/>
          <w:color w:val="000000"/>
          <w:sz w:val="24"/>
          <w:szCs w:val="24"/>
        </w:rPr>
      </w:pPr>
      <w:r>
        <w:rPr>
          <w:rFonts w:ascii="Arial" w:hAnsi="Arial" w:eastAsia="Calibri" w:cs="Arial"/>
          <w:color w:val="000000"/>
          <w:sz w:val="24"/>
          <w:szCs w:val="24"/>
        </w:rPr>
        <w:t>Uslovi za učešće u postupku javne nabavke i posebni osnovi za isključenje,</w:t>
      </w:r>
    </w:p>
    <w:p>
      <w:pPr>
        <w:numPr>
          <w:ilvl w:val="1"/>
          <w:numId w:val="1"/>
        </w:numPr>
        <w:contextualSpacing/>
        <w:rPr>
          <w:rFonts w:ascii="Arial" w:hAnsi="Arial" w:eastAsia="Calibri" w:cs="Arial"/>
          <w:color w:val="000000"/>
          <w:sz w:val="24"/>
          <w:szCs w:val="24"/>
        </w:rPr>
      </w:pPr>
      <w:r>
        <w:rPr>
          <w:rFonts w:ascii="Arial" w:hAnsi="Arial" w:eastAsia="Calibri" w:cs="Arial"/>
          <w:color w:val="000000"/>
          <w:sz w:val="24"/>
          <w:szCs w:val="24"/>
        </w:rPr>
        <w:t>Kriterijum za izbor najpovoljnije ponude,</w:t>
      </w:r>
    </w:p>
    <w:p>
      <w:pPr>
        <w:numPr>
          <w:ilvl w:val="1"/>
          <w:numId w:val="1"/>
        </w:numPr>
        <w:contextualSpacing/>
        <w:rPr>
          <w:rFonts w:ascii="Arial" w:hAnsi="Arial" w:eastAsia="Calibri" w:cs="Arial"/>
          <w:color w:val="000000"/>
          <w:sz w:val="24"/>
          <w:szCs w:val="24"/>
        </w:rPr>
      </w:pPr>
      <w:r>
        <w:rPr>
          <w:rFonts w:ascii="Arial" w:hAnsi="Arial" w:eastAsia="Calibri" w:cs="Arial"/>
          <w:color w:val="000000"/>
          <w:sz w:val="24"/>
          <w:szCs w:val="24"/>
        </w:rPr>
        <w:t>Način, mjesto i vrijeme podnošenja ponuda i otvaranja ponuda,</w:t>
      </w:r>
    </w:p>
    <w:p>
      <w:pPr>
        <w:numPr>
          <w:ilvl w:val="1"/>
          <w:numId w:val="1"/>
        </w:numPr>
        <w:contextualSpacing/>
        <w:rPr>
          <w:rFonts w:ascii="Arial" w:hAnsi="Arial" w:eastAsia="Calibri" w:cs="Arial"/>
          <w:color w:val="000000"/>
          <w:sz w:val="24"/>
          <w:szCs w:val="24"/>
        </w:rPr>
      </w:pPr>
      <w:r>
        <w:rPr>
          <w:rFonts w:ascii="Arial" w:hAnsi="Arial" w:eastAsia="Calibri" w:cs="Arial"/>
          <w:color w:val="000000"/>
          <w:sz w:val="24"/>
          <w:szCs w:val="24"/>
        </w:rPr>
        <w:t>Rok za donošenje odluke o izboru,</w:t>
      </w:r>
    </w:p>
    <w:p>
      <w:pPr>
        <w:numPr>
          <w:ilvl w:val="1"/>
          <w:numId w:val="1"/>
        </w:numPr>
        <w:contextualSpacing/>
        <w:rPr>
          <w:rFonts w:ascii="Arial" w:hAnsi="Arial" w:eastAsia="Calibri" w:cs="Arial"/>
          <w:color w:val="000000"/>
          <w:sz w:val="24"/>
          <w:szCs w:val="24"/>
        </w:rPr>
      </w:pPr>
      <w:r>
        <w:rPr>
          <w:rFonts w:ascii="Arial" w:hAnsi="Arial" w:eastAsia="Calibri" w:cs="Arial"/>
          <w:color w:val="000000"/>
          <w:sz w:val="24"/>
          <w:szCs w:val="24"/>
        </w:rPr>
        <w:t>Rok važenja ponude,</w:t>
      </w:r>
    </w:p>
    <w:p>
      <w:pPr>
        <w:numPr>
          <w:ilvl w:val="1"/>
          <w:numId w:val="1"/>
        </w:numPr>
        <w:contextualSpacing/>
        <w:rPr>
          <w:rFonts w:ascii="Arial" w:hAnsi="Arial" w:eastAsia="Calibri" w:cs="Arial"/>
          <w:color w:val="000000"/>
          <w:sz w:val="24"/>
          <w:szCs w:val="24"/>
        </w:rPr>
      </w:pPr>
      <w:r>
        <w:rPr>
          <w:rFonts w:ascii="Arial" w:hAnsi="Arial" w:eastAsia="Calibri" w:cs="Arial"/>
          <w:color w:val="000000"/>
          <w:sz w:val="24"/>
          <w:szCs w:val="24"/>
        </w:rPr>
        <w:t>Garancija ponude</w:t>
      </w:r>
    </w:p>
    <w:p>
      <w:pPr>
        <w:rPr>
          <w:rFonts w:ascii="Arial" w:hAnsi="Arial" w:eastAsia="Calibri" w:cs="Arial"/>
          <w:color w:val="000000"/>
          <w:sz w:val="24"/>
          <w:szCs w:val="24"/>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outlineLvl w:val="0"/>
        <w:rPr>
          <w:rFonts w:ascii="Arial" w:hAnsi="Arial" w:cs="Arial"/>
          <w:b/>
          <w:color w:val="000000"/>
          <w:sz w:val="24"/>
          <w:szCs w:val="24"/>
        </w:rPr>
      </w:pPr>
      <w:bookmarkStart w:id="1" w:name="_Toc62730554"/>
      <w:r>
        <w:rPr>
          <w:rFonts w:ascii="Arial" w:hAnsi="Arial" w:cs="Arial"/>
          <w:b/>
          <w:color w:val="000000"/>
          <w:sz w:val="24"/>
          <w:szCs w:val="24"/>
          <w:lang w:val="sr-Latn-RS"/>
        </w:rPr>
        <w:t>2.</w:t>
      </w:r>
      <w:r>
        <w:rPr>
          <w:rFonts w:ascii="Arial" w:hAnsi="Arial" w:cs="Arial"/>
          <w:b/>
          <w:color w:val="000000"/>
          <w:sz w:val="24"/>
          <w:szCs w:val="24"/>
        </w:rPr>
        <w:t>TEHNIČKA SPECIFIKACIJA PREDMETA JAVNE NABAVKE</w:t>
      </w:r>
      <w:r>
        <w:rPr>
          <w:rFonts w:ascii="Arial" w:hAnsi="Arial" w:cs="Arial"/>
          <w:b/>
          <w:color w:val="000000"/>
          <w:sz w:val="24"/>
          <w:szCs w:val="24"/>
          <w:vertAlign w:val="superscript"/>
        </w:rPr>
        <w:footnoteReference w:id="2"/>
      </w:r>
      <w:bookmarkEnd w:id="1"/>
    </w:p>
    <w:p>
      <w:pPr>
        <w:rPr>
          <w:rFonts w:ascii="Arial" w:hAnsi="Arial" w:eastAsia="Calibri" w:cs="Arial"/>
          <w:color w:val="000000"/>
          <w:sz w:val="24"/>
          <w:szCs w:val="24"/>
        </w:rPr>
      </w:pPr>
    </w:p>
    <w:p>
      <w:pPr>
        <w:numPr>
          <w:ilvl w:val="0"/>
          <w:numId w:val="4"/>
        </w:numPr>
        <w:contextualSpacing/>
        <w:jc w:val="both"/>
        <w:rPr>
          <w:rFonts w:ascii="Arial" w:hAnsi="Arial" w:eastAsia="Calibri" w:cs="Arial"/>
          <w:color w:val="000000"/>
          <w:sz w:val="24"/>
          <w:szCs w:val="24"/>
        </w:rPr>
      </w:pPr>
      <w:r>
        <w:rPr>
          <w:rFonts w:ascii="Arial" w:hAnsi="Arial" w:eastAsia="Calibri" w:cs="Arial"/>
          <w:color w:val="000000"/>
          <w:sz w:val="24"/>
          <w:szCs w:val="24"/>
        </w:rPr>
        <w:t>Naziv i opis predmeta nabavke u cjelini, po partijama i stavkama sa bitnim karakteristikama</w:t>
      </w:r>
    </w:p>
    <w:p>
      <w:pPr>
        <w:numPr>
          <w:ilvl w:val="0"/>
          <w:numId w:val="4"/>
        </w:numPr>
        <w:contextualSpacing/>
        <w:jc w:val="both"/>
        <w:rPr>
          <w:rFonts w:ascii="Arial" w:hAnsi="Arial" w:eastAsia="Calibri" w:cs="Arial"/>
          <w:color w:val="000000"/>
          <w:sz w:val="24"/>
          <w:szCs w:val="24"/>
        </w:rPr>
      </w:pPr>
      <w:r>
        <w:rPr>
          <w:rFonts w:ascii="Arial" w:hAnsi="Arial" w:eastAsia="Calibri" w:cs="Arial"/>
          <w:color w:val="000000"/>
          <w:sz w:val="24"/>
          <w:szCs w:val="24"/>
        </w:rPr>
        <w:t>Zahtjevi u pogledu načina izvršavanja predmeta nabavke koji su od značaja za sačinjavanje ponude i izvršenje ugovora</w:t>
      </w:r>
    </w:p>
    <w:p>
      <w:pPr>
        <w:rPr>
          <w:rFonts w:ascii="Arial" w:hAnsi="Arial" w:eastAsia="Calibri" w:cs="Arial"/>
          <w:color w:val="000000"/>
          <w:sz w:val="24"/>
          <w:szCs w:val="24"/>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jc w:val="both"/>
        <w:outlineLvl w:val="0"/>
        <w:rPr>
          <w:rFonts w:ascii="Arial" w:hAnsi="Arial" w:cs="Arial"/>
          <w:b/>
          <w:color w:val="000000"/>
          <w:sz w:val="24"/>
          <w:szCs w:val="24"/>
        </w:rPr>
      </w:pPr>
      <w:bookmarkStart w:id="2" w:name="_Toc62730555"/>
      <w:r>
        <w:rPr>
          <w:rFonts w:ascii="Arial" w:hAnsi="Arial" w:cs="Arial"/>
          <w:b/>
          <w:color w:val="000000"/>
          <w:sz w:val="24"/>
          <w:szCs w:val="24"/>
          <w:lang w:val="sr-Latn-RS"/>
        </w:rPr>
        <w:t xml:space="preserve">3. </w:t>
      </w:r>
      <w:r>
        <w:rPr>
          <w:rFonts w:ascii="Arial" w:hAnsi="Arial" w:cs="Arial"/>
          <w:b/>
          <w:color w:val="000000"/>
          <w:sz w:val="24"/>
          <w:szCs w:val="24"/>
        </w:rPr>
        <w:t>DODATNE INFORMACIJE O PREDMETU I POSTUPKU NABAVKE</w:t>
      </w:r>
      <w:r>
        <w:rPr>
          <w:rFonts w:ascii="Arial" w:hAnsi="Arial" w:cs="Arial"/>
          <w:b/>
          <w:color w:val="000000"/>
          <w:sz w:val="24"/>
          <w:szCs w:val="24"/>
          <w:vertAlign w:val="superscript"/>
        </w:rPr>
        <w:footnoteReference w:id="3"/>
      </w:r>
      <w:bookmarkEnd w:id="2"/>
    </w:p>
    <w:p>
      <w:pPr>
        <w:jc w:val="both"/>
        <w:rPr>
          <w:rFonts w:ascii="Arial" w:hAnsi="Arial" w:cs="Arial"/>
          <w:b/>
          <w:bCs/>
          <w:color w:val="000000"/>
          <w:sz w:val="24"/>
          <w:szCs w:val="24"/>
        </w:rPr>
      </w:pPr>
    </w:p>
    <w:p>
      <w:pPr>
        <w:pBdr>
          <w:top w:val="single" w:color="auto" w:sz="4" w:space="1"/>
          <w:left w:val="single" w:color="auto" w:sz="4" w:space="4"/>
          <w:bottom w:val="single" w:color="auto" w:sz="4" w:space="1"/>
          <w:right w:val="single" w:color="auto" w:sz="4" w:space="4"/>
        </w:pBdr>
        <w:shd w:val="clear" w:color="auto" w:fill="D9D9D9"/>
        <w:rPr>
          <w:rFonts w:ascii="Arial" w:hAnsi="Arial" w:eastAsia="Calibri" w:cs="Arial"/>
          <w:b/>
          <w:bCs/>
          <w:color w:val="000000"/>
          <w:sz w:val="24"/>
          <w:szCs w:val="24"/>
        </w:rPr>
      </w:pPr>
      <w:r>
        <w:rPr>
          <w:rFonts w:ascii="Arial" w:hAnsi="Arial" w:eastAsia="Calibri" w:cs="Arial"/>
          <w:b/>
          <w:bCs/>
          <w:color w:val="000000"/>
          <w:sz w:val="24"/>
          <w:szCs w:val="24"/>
        </w:rPr>
        <w:t>Procijenjena vrijednost predmenta nabavke:</w:t>
      </w:r>
      <w:r>
        <w:rPr>
          <w:rFonts w:ascii="Arial" w:hAnsi="Arial" w:eastAsia="Calibri" w:cs="Arial"/>
          <w:b/>
          <w:bCs/>
          <w:color w:val="000000"/>
          <w:sz w:val="24"/>
          <w:szCs w:val="24"/>
          <w:vertAlign w:val="superscript"/>
        </w:rPr>
        <w:footnoteReference w:id="4"/>
      </w:r>
    </w:p>
    <w:p>
      <w:pPr>
        <w:jc w:val="both"/>
        <w:rPr>
          <w:rFonts w:ascii="Arial" w:hAnsi="Arial" w:eastAsia="Calibri" w:cs="Arial"/>
          <w:color w:val="000000"/>
          <w:sz w:val="24"/>
          <w:szCs w:val="24"/>
        </w:rPr>
      </w:pPr>
    </w:p>
    <w:p>
      <w:pPr>
        <w:jc w:val="both"/>
        <w:rPr>
          <w:rFonts w:ascii="Arial" w:hAnsi="Arial" w:eastAsia="Calibri" w:cs="Arial"/>
          <w:b/>
          <w:bCs/>
          <w:color w:val="000000"/>
          <w:sz w:val="24"/>
          <w:szCs w:val="24"/>
        </w:rPr>
      </w:pPr>
      <w:r>
        <w:rPr>
          <w:rFonts w:ascii="Arial" w:hAnsi="Arial" w:eastAsia="Calibri" w:cs="Arial"/>
          <w:color w:val="000000"/>
          <w:sz w:val="24"/>
          <w:szCs w:val="24"/>
        </w:rPr>
        <w:sym w:font="Wingdings" w:char="F0A8"/>
      </w:r>
      <w:r>
        <w:rPr>
          <w:rFonts w:ascii="Arial" w:hAnsi="Arial" w:eastAsia="Calibri" w:cs="Arial"/>
          <w:color w:val="000000"/>
          <w:sz w:val="24"/>
          <w:szCs w:val="24"/>
        </w:rPr>
        <w:t xml:space="preserve"> </w:t>
      </w:r>
      <w:r>
        <w:rPr>
          <w:rFonts w:ascii="Arial" w:hAnsi="Arial" w:eastAsia="Calibri" w:cs="Arial"/>
          <w:b/>
          <w:bCs/>
          <w:color w:val="000000"/>
          <w:sz w:val="24"/>
          <w:szCs w:val="24"/>
        </w:rPr>
        <w:t>Procijenjena vrijednost predmeta nabavke bez zaključivanja okvirnog sporazuma</w:t>
      </w:r>
      <w:r>
        <w:rPr>
          <w:rFonts w:ascii="Arial" w:hAnsi="Arial" w:eastAsia="Calibri" w:cs="Arial"/>
          <w:color w:val="000000"/>
          <w:sz w:val="24"/>
          <w:szCs w:val="24"/>
        </w:rPr>
        <w:t>:</w:t>
      </w:r>
    </w:p>
    <w:p>
      <w:pPr>
        <w:jc w:val="both"/>
        <w:rPr>
          <w:rFonts w:ascii="Arial" w:hAnsi="Arial" w:eastAsia="Calibri" w:cs="Arial"/>
          <w:color w:val="000000"/>
          <w:sz w:val="24"/>
          <w:szCs w:val="24"/>
        </w:rPr>
      </w:pPr>
      <w:r>
        <w:rPr>
          <w:rFonts w:ascii="Arial" w:hAnsi="Arial" w:eastAsia="Calibri" w:cs="Arial"/>
          <w:color w:val="000000"/>
          <w:sz w:val="24"/>
          <w:szCs w:val="24"/>
        </w:rPr>
        <w:sym w:font="Wingdings" w:char="F0A8"/>
      </w:r>
      <w:r>
        <w:rPr>
          <w:rFonts w:ascii="Arial" w:hAnsi="Arial" w:eastAsia="Calibri" w:cs="Arial"/>
          <w:color w:val="000000"/>
          <w:sz w:val="24"/>
          <w:szCs w:val="24"/>
        </w:rPr>
        <w:t xml:space="preserve"> kao cjeline je  </w:t>
      </w:r>
      <w:r>
        <w:rPr>
          <w:rFonts w:hint="default" w:ascii="Arial" w:hAnsi="Arial" w:eastAsia="Calibri" w:cs="Arial"/>
          <w:color w:val="000000"/>
          <w:sz w:val="24"/>
          <w:szCs w:val="24"/>
          <w:lang w:val="sr-Latn-ME"/>
        </w:rPr>
        <w:t>280.000,00</w:t>
      </w:r>
      <w:r>
        <w:rPr>
          <w:rFonts w:ascii="Arial" w:hAnsi="Arial" w:eastAsia="Calibri" w:cs="Arial"/>
          <w:b/>
          <w:bCs/>
          <w:color w:val="000000"/>
          <w:sz w:val="24"/>
          <w:szCs w:val="24"/>
        </w:rPr>
        <w:t xml:space="preserve"> </w:t>
      </w:r>
      <w:r>
        <w:rPr>
          <w:rFonts w:ascii="Arial" w:hAnsi="Arial" w:eastAsia="Calibri" w:cs="Arial"/>
          <w:color w:val="000000"/>
          <w:sz w:val="24"/>
          <w:szCs w:val="24"/>
        </w:rPr>
        <w:t>€;</w:t>
      </w:r>
    </w:p>
    <w:p>
      <w:pPr>
        <w:pBdr>
          <w:top w:val="single" w:color="auto" w:sz="4" w:space="1"/>
          <w:left w:val="single" w:color="auto" w:sz="4" w:space="0"/>
          <w:bottom w:val="single" w:color="auto" w:sz="4" w:space="1"/>
          <w:right w:val="single" w:color="auto" w:sz="4" w:space="4"/>
        </w:pBdr>
        <w:shd w:val="clear" w:color="auto" w:fill="D9D9D9"/>
        <w:jc w:val="both"/>
        <w:rPr>
          <w:rFonts w:ascii="Arial" w:hAnsi="Arial" w:cs="Arial"/>
          <w:b/>
          <w:bCs/>
          <w:color w:val="000000"/>
          <w:sz w:val="24"/>
          <w:szCs w:val="24"/>
        </w:rPr>
      </w:pPr>
      <w:r>
        <w:rPr>
          <w:rFonts w:ascii="Arial" w:hAnsi="Arial" w:cs="Arial"/>
          <w:color w:val="000000"/>
          <w:sz w:val="24"/>
          <w:szCs w:val="24"/>
        </w:rPr>
        <w:t>Obrazloženje razloga zašto predmet nabavke nije podijeljen na partije:</w:t>
      </w:r>
      <w:r>
        <w:rPr>
          <w:rFonts w:ascii="Arial" w:hAnsi="Arial" w:cs="Arial"/>
          <w:color w:val="000000"/>
          <w:sz w:val="24"/>
          <w:szCs w:val="24"/>
          <w:vertAlign w:val="superscript"/>
        </w:rPr>
        <w:footnoteReference w:id="5"/>
      </w:r>
    </w:p>
    <w:p>
      <w:pPr>
        <w:jc w:val="both"/>
        <w:rPr>
          <w:rFonts w:ascii="Arial" w:hAnsi="Arial" w:cs="Arial"/>
          <w:color w:val="000000"/>
          <w:sz w:val="24"/>
          <w:szCs w:val="24"/>
        </w:rPr>
      </w:pPr>
      <w:r>
        <w:rPr>
          <w:rFonts w:ascii="Arial" w:hAnsi="Arial" w:cs="Arial"/>
          <w:color w:val="000000"/>
          <w:sz w:val="24"/>
          <w:szCs w:val="24"/>
        </w:rPr>
        <w:t>Predmet javne nabavke predstavlja jedinstvenu cjelinu i nemuguće ga je podijeliti po partijama.</w:t>
      </w:r>
    </w:p>
    <w:p>
      <w:pPr>
        <w:pBdr>
          <w:top w:val="single" w:color="auto" w:sz="4" w:space="1"/>
          <w:left w:val="single" w:color="auto" w:sz="4" w:space="4"/>
          <w:bottom w:val="single" w:color="auto" w:sz="4" w:space="1"/>
          <w:right w:val="single" w:color="auto" w:sz="4" w:space="4"/>
        </w:pBdr>
        <w:shd w:val="clear" w:color="auto" w:fill="D9D9D9"/>
        <w:rPr>
          <w:rFonts w:ascii="Arial" w:hAnsi="Arial" w:cs="Arial"/>
          <w:b/>
          <w:color w:val="000000"/>
          <w:sz w:val="24"/>
          <w:szCs w:val="24"/>
        </w:rPr>
      </w:pPr>
      <w:r>
        <w:rPr>
          <w:rFonts w:ascii="Arial" w:hAnsi="Arial" w:cs="Arial"/>
          <w:b/>
          <w:color w:val="000000"/>
          <w:sz w:val="24"/>
          <w:szCs w:val="24"/>
        </w:rPr>
        <w:t>ZAKLJUČIVANJE OKVIRNOG SPORAZUMA</w:t>
      </w:r>
      <w:r>
        <w:rPr>
          <w:rFonts w:ascii="Arial" w:hAnsi="Arial" w:cs="Arial"/>
          <w:b/>
          <w:color w:val="000000"/>
          <w:sz w:val="24"/>
          <w:szCs w:val="24"/>
          <w:vertAlign w:val="superscript"/>
        </w:rPr>
        <w:footnoteReference w:id="6"/>
      </w:r>
    </w:p>
    <w:p>
      <w:pPr>
        <w:jc w:val="both"/>
        <w:rPr>
          <w:rFonts w:ascii="Arial" w:hAnsi="Arial" w:cs="Arial"/>
          <w:color w:val="000000"/>
          <w:sz w:val="24"/>
          <w:szCs w:val="24"/>
        </w:rPr>
      </w:pPr>
    </w:p>
    <w:p>
      <w:pPr>
        <w:pBdr>
          <w:top w:val="single" w:color="auto" w:sz="4" w:space="1"/>
          <w:left w:val="single" w:color="auto" w:sz="4" w:space="4"/>
          <w:bottom w:val="single" w:color="auto" w:sz="4" w:space="1"/>
          <w:right w:val="single" w:color="auto" w:sz="4" w:space="4"/>
        </w:pBdr>
        <w:shd w:val="clear" w:color="auto" w:fill="F2F2F2"/>
        <w:jc w:val="both"/>
        <w:rPr>
          <w:rFonts w:ascii="Arial" w:hAnsi="Arial" w:cs="Arial"/>
          <w:color w:val="000000"/>
          <w:sz w:val="24"/>
          <w:szCs w:val="24"/>
        </w:rPr>
      </w:pPr>
      <w:r>
        <w:rPr>
          <w:rFonts w:ascii="Arial" w:hAnsi="Arial" w:cs="Arial"/>
          <w:color w:val="000000"/>
          <w:sz w:val="24"/>
          <w:szCs w:val="24"/>
        </w:rPr>
        <w:t>Zaključiće se okvirni sporazum:</w:t>
      </w:r>
    </w:p>
    <w:p>
      <w:pPr>
        <w:jc w:val="both"/>
        <w:rPr>
          <w:rFonts w:ascii="Arial" w:hAnsi="Arial" w:cs="Arial"/>
          <w:color w:val="000000"/>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ne</w:t>
      </w:r>
    </w:p>
    <w:p>
      <w:pPr>
        <w:pBdr>
          <w:top w:val="single" w:color="auto" w:sz="4" w:space="1"/>
          <w:left w:val="single" w:color="auto" w:sz="4" w:space="4"/>
          <w:bottom w:val="single" w:color="auto" w:sz="4" w:space="1"/>
          <w:right w:val="single" w:color="auto" w:sz="4" w:space="4"/>
        </w:pBdr>
        <w:shd w:val="clear" w:color="auto" w:fill="D9D9D9"/>
        <w:rPr>
          <w:rFonts w:ascii="Arial" w:hAnsi="Arial" w:cs="Arial"/>
          <w:b/>
          <w:sz w:val="24"/>
          <w:szCs w:val="24"/>
        </w:rPr>
      </w:pPr>
      <w:r>
        <w:rPr>
          <w:rFonts w:ascii="Arial" w:hAnsi="Arial" w:cs="Arial"/>
          <w:b/>
          <w:sz w:val="24"/>
          <w:szCs w:val="24"/>
        </w:rPr>
        <w:t>PONUDA SA VARIJANTAMA</w:t>
      </w:r>
    </w:p>
    <w:p>
      <w:pPr>
        <w:jc w:val="both"/>
        <w:rPr>
          <w:rFonts w:ascii="Arial" w:hAnsi="Arial" w:cs="Arial"/>
          <w:sz w:val="24"/>
          <w:szCs w:val="24"/>
        </w:rPr>
      </w:pPr>
      <w:r>
        <w:rPr>
          <w:rFonts w:ascii="Arial" w:hAnsi="Arial" w:cs="Arial"/>
          <w:sz w:val="24"/>
          <w:szCs w:val="24"/>
        </w:rPr>
        <w:t>Mogućnost podnošenja ponude sa varijantama</w:t>
      </w:r>
    </w:p>
    <w:p>
      <w:pPr>
        <w:jc w:val="both"/>
        <w:rPr>
          <w:rFonts w:ascii="Arial" w:hAnsi="Arial" w:cs="Arial"/>
          <w:color w:val="000000"/>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w:t>
      </w:r>
      <w:r>
        <w:rPr>
          <w:rFonts w:ascii="Arial" w:hAnsi="Arial" w:cs="Arial"/>
          <w:sz w:val="24"/>
          <w:szCs w:val="24"/>
        </w:rPr>
        <w:t>Varijante ponude nijesu dozvoljene i neće biti razmatrane.</w:t>
      </w:r>
    </w:p>
    <w:p>
      <w:pPr>
        <w:pBdr>
          <w:top w:val="single" w:color="auto" w:sz="4" w:space="1"/>
          <w:left w:val="single" w:color="auto" w:sz="4" w:space="4"/>
          <w:bottom w:val="single" w:color="auto" w:sz="4" w:space="1"/>
          <w:right w:val="single" w:color="auto" w:sz="4" w:space="4"/>
        </w:pBdr>
        <w:shd w:val="clear" w:color="auto" w:fill="D9D9D9"/>
        <w:jc w:val="both"/>
        <w:rPr>
          <w:rFonts w:ascii="Arial" w:hAnsi="Arial" w:cs="Arial"/>
          <w:b/>
          <w:bCs/>
          <w:color w:val="FF0000"/>
          <w:sz w:val="24"/>
          <w:szCs w:val="24"/>
        </w:rPr>
      </w:pPr>
      <w:r>
        <w:rPr>
          <w:rFonts w:ascii="Arial" w:hAnsi="Arial" w:cs="Arial"/>
          <w:b/>
          <w:sz w:val="24"/>
          <w:szCs w:val="24"/>
        </w:rPr>
        <w:t>REZERVISANA NABAVKA</w:t>
      </w:r>
    </w:p>
    <w:p>
      <w:pPr>
        <w:jc w:val="both"/>
        <w:rPr>
          <w:rFonts w:ascii="Arial" w:hAnsi="Arial" w:cs="Arial"/>
          <w:color w:val="000000"/>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Ne</w:t>
      </w:r>
    </w:p>
    <w:p>
      <w:pPr>
        <w:keepNext/>
        <w:keepLines/>
        <w:numPr>
          <w:ilvl w:val="0"/>
          <w:numId w:val="4"/>
        </w:numPr>
        <w:pBdr>
          <w:top w:val="single" w:color="auto" w:sz="4" w:space="1"/>
          <w:left w:val="single" w:color="auto" w:sz="4" w:space="4"/>
          <w:bottom w:val="single" w:color="auto" w:sz="4" w:space="1"/>
          <w:right w:val="single" w:color="auto" w:sz="4" w:space="4"/>
        </w:pBdr>
        <w:shd w:val="clear" w:color="auto" w:fill="D9D9D9"/>
        <w:spacing w:before="240"/>
        <w:ind w:left="444"/>
        <w:jc w:val="both"/>
        <w:outlineLvl w:val="0"/>
        <w:rPr>
          <w:rFonts w:ascii="Arial" w:hAnsi="Arial" w:cs="Arial"/>
          <w:b/>
          <w:sz w:val="24"/>
          <w:szCs w:val="24"/>
        </w:rPr>
      </w:pPr>
      <w:bookmarkStart w:id="3" w:name="_Toc62730556"/>
      <w:r>
        <w:rPr>
          <w:rFonts w:ascii="Arial" w:hAnsi="Arial" w:cs="Arial"/>
          <w:b/>
          <w:sz w:val="24"/>
          <w:szCs w:val="24"/>
        </w:rPr>
        <w:t>NAČIN UTVRĐIVANJA EKVIVALENTNOSTI</w:t>
      </w:r>
      <w:bookmarkEnd w:id="3"/>
    </w:p>
    <w:p>
      <w:pPr>
        <w:jc w:val="both"/>
        <w:rPr>
          <w:rFonts w:ascii="Arial" w:hAnsi="Arial" w:cs="Arial"/>
          <w:bCs/>
          <w:color w:val="000000"/>
          <w:sz w:val="24"/>
          <w:szCs w:val="24"/>
        </w:rPr>
      </w:pPr>
      <w:r>
        <w:rPr>
          <w:rFonts w:ascii="Arial" w:hAnsi="Arial" w:cs="Arial"/>
          <w:bCs/>
          <w:color w:val="000000"/>
          <w:sz w:val="24"/>
          <w:szCs w:val="24"/>
        </w:rPr>
        <w:t>Način utvrđivanja ekvivalentnosti:</w:t>
      </w:r>
      <w:r>
        <w:rPr>
          <w:rFonts w:ascii="Arial" w:hAnsi="Arial" w:cs="Arial"/>
          <w:sz w:val="24"/>
          <w:szCs w:val="24"/>
        </w:rPr>
        <w:t xml:space="preserve"> </w:t>
      </w:r>
      <w:r>
        <w:rPr>
          <w:rFonts w:ascii="Arial" w:hAnsi="Arial" w:cs="Arial"/>
          <w:bCs/>
          <w:color w:val="000000"/>
          <w:sz w:val="24"/>
          <w:szCs w:val="24"/>
        </w:rPr>
        <w:t>-nije primjenjivo</w:t>
      </w:r>
    </w:p>
    <w:p>
      <w:pPr>
        <w:keepNext/>
        <w:keepLines/>
        <w:numPr>
          <w:ilvl w:val="0"/>
          <w:numId w:val="4"/>
        </w:numPr>
        <w:pBdr>
          <w:top w:val="single" w:color="auto" w:sz="4" w:space="1"/>
          <w:left w:val="single" w:color="auto" w:sz="4" w:space="4"/>
          <w:bottom w:val="single" w:color="auto" w:sz="4" w:space="1"/>
          <w:right w:val="single" w:color="auto" w:sz="4" w:space="4"/>
        </w:pBdr>
        <w:shd w:val="clear" w:color="auto" w:fill="D9D9D9"/>
        <w:spacing w:before="240"/>
        <w:ind w:left="444"/>
        <w:outlineLvl w:val="0"/>
        <w:rPr>
          <w:rFonts w:ascii="Arial" w:hAnsi="Arial" w:cs="Arial"/>
          <w:sz w:val="24"/>
          <w:szCs w:val="24"/>
        </w:rPr>
      </w:pPr>
      <w:bookmarkStart w:id="4" w:name="_Toc62730557"/>
      <w:r>
        <w:rPr>
          <w:rFonts w:ascii="Arial" w:hAnsi="Arial" w:cs="Arial"/>
          <w:b/>
          <w:sz w:val="24"/>
          <w:szCs w:val="24"/>
        </w:rPr>
        <w:t>OSNOVI ZA OBAVEZNO ISKLJUČENJE IZ POSTUPKA JAVNE NABAVKE</w:t>
      </w:r>
      <w:bookmarkEnd w:id="4"/>
    </w:p>
    <w:p>
      <w:pPr>
        <w:rPr>
          <w:rFonts w:ascii="Arial" w:hAnsi="Arial" w:cs="Arial"/>
          <w:sz w:val="24"/>
          <w:szCs w:val="24"/>
        </w:rPr>
      </w:pPr>
      <w:r>
        <w:rPr>
          <w:rFonts w:ascii="Arial" w:hAnsi="Arial" w:cs="Arial"/>
          <w:sz w:val="24"/>
          <w:szCs w:val="24"/>
        </w:rPr>
        <w:t xml:space="preserve">Privredni subjekat će se isključiti iz postupka javne nabavke, ako: </w:t>
      </w:r>
    </w:p>
    <w:p>
      <w:pPr>
        <w:numPr>
          <w:ilvl w:val="0"/>
          <w:numId w:val="5"/>
        </w:numPr>
        <w:spacing w:after="0" w:line="240" w:lineRule="auto"/>
        <w:rPr>
          <w:rFonts w:ascii="Arial" w:hAnsi="Arial" w:cs="Arial"/>
          <w:sz w:val="24"/>
          <w:szCs w:val="24"/>
        </w:rPr>
      </w:pPr>
      <w:bookmarkStart w:id="5" w:name="_Toc62730558"/>
      <w:r>
        <w:rPr>
          <w:rFonts w:ascii="Arial" w:hAnsi="Arial" w:cs="Arial"/>
          <w:sz w:val="24"/>
          <w:szCs w:val="24"/>
        </w:rPr>
        <w:t>je vršio neprimjeren uticaj u smislu člana 38 stav 2 tačka 1 ovog zakona;</w:t>
      </w:r>
    </w:p>
    <w:p>
      <w:pPr>
        <w:numPr>
          <w:ilvl w:val="0"/>
          <w:numId w:val="5"/>
        </w:numPr>
        <w:spacing w:after="0" w:line="240" w:lineRule="auto"/>
        <w:rPr>
          <w:rFonts w:ascii="Arial" w:hAnsi="Arial" w:cs="Arial"/>
          <w:sz w:val="24"/>
          <w:szCs w:val="24"/>
        </w:rPr>
      </w:pPr>
      <w:r>
        <w:rPr>
          <w:rFonts w:ascii="Arial" w:hAnsi="Arial" w:cs="Arial"/>
          <w:sz w:val="24"/>
          <w:szCs w:val="24"/>
        </w:rPr>
        <w:t>postoji sukob interesa iz člana 41 stav 1 tačka 2 ili člana 42 ovog zakona;</w:t>
      </w:r>
    </w:p>
    <w:p>
      <w:pPr>
        <w:numPr>
          <w:ilvl w:val="0"/>
          <w:numId w:val="5"/>
        </w:numPr>
        <w:spacing w:after="0" w:line="240" w:lineRule="auto"/>
        <w:rPr>
          <w:rFonts w:ascii="Arial" w:hAnsi="Arial" w:cs="Arial"/>
          <w:sz w:val="24"/>
          <w:szCs w:val="24"/>
        </w:rPr>
      </w:pPr>
      <w:r>
        <w:rPr>
          <w:rFonts w:ascii="Arial" w:hAnsi="Arial" w:cs="Arial"/>
          <w:sz w:val="24"/>
          <w:szCs w:val="24"/>
        </w:rPr>
        <w:t>ne ispunjava uslov iz člana 99 ovog zakona;</w:t>
      </w:r>
    </w:p>
    <w:p>
      <w:pPr>
        <w:numPr>
          <w:ilvl w:val="0"/>
          <w:numId w:val="5"/>
        </w:numPr>
        <w:spacing w:after="0" w:line="240" w:lineRule="auto"/>
        <w:rPr>
          <w:rFonts w:ascii="Arial" w:hAnsi="Arial" w:cs="Arial"/>
          <w:sz w:val="24"/>
          <w:szCs w:val="24"/>
        </w:rPr>
      </w:pPr>
      <w:r>
        <w:rPr>
          <w:rFonts w:ascii="Arial" w:hAnsi="Arial" w:cs="Arial"/>
          <w:sz w:val="24"/>
          <w:szCs w:val="24"/>
        </w:rPr>
        <w:t>ne ispunjava uslov iz čl. 102, 104 ili 106 ovog zakona predviđen tenderskom dokumentacijom;</w:t>
      </w:r>
    </w:p>
    <w:p>
      <w:pPr>
        <w:numPr>
          <w:ilvl w:val="0"/>
          <w:numId w:val="5"/>
        </w:numPr>
        <w:spacing w:after="0" w:line="240" w:lineRule="auto"/>
        <w:rPr>
          <w:rFonts w:ascii="Arial" w:hAnsi="Arial" w:cs="Arial"/>
          <w:sz w:val="24"/>
          <w:szCs w:val="24"/>
        </w:rPr>
      </w:pPr>
      <w:r>
        <w:rPr>
          <w:rFonts w:ascii="Arial" w:hAnsi="Arial" w:cs="Arial"/>
          <w:sz w:val="24"/>
          <w:szCs w:val="24"/>
        </w:rPr>
        <w:t>nije dostavio izjavu privrednog subjekta ili dostavljena izjava ne sadrži informacije i podatke tražene tenderskom dokumentacijom ili je nepravilno sačinjena;</w:t>
      </w:r>
    </w:p>
    <w:p>
      <w:pPr>
        <w:numPr>
          <w:ilvl w:val="0"/>
          <w:numId w:val="5"/>
        </w:numPr>
        <w:spacing w:after="0" w:line="240" w:lineRule="auto"/>
        <w:rPr>
          <w:rFonts w:ascii="Arial" w:hAnsi="Arial" w:cs="Arial"/>
          <w:sz w:val="24"/>
          <w:szCs w:val="24"/>
        </w:rPr>
      </w:pPr>
      <w:r>
        <w:rPr>
          <w:rFonts w:ascii="Arial" w:hAnsi="Arial" w:cs="Arial"/>
          <w:sz w:val="24"/>
          <w:szCs w:val="24"/>
        </w:rPr>
        <w:t>postoji razlog na osnovu kojeg se smatra da je odustao od prijave, odnosno ponude, a koji je propisan članom 120 stav 15 ovog zakona;</w:t>
      </w:r>
    </w:p>
    <w:p>
      <w:pPr>
        <w:numPr>
          <w:ilvl w:val="0"/>
          <w:numId w:val="5"/>
        </w:numPr>
        <w:spacing w:after="0" w:line="240" w:lineRule="auto"/>
        <w:rPr>
          <w:rFonts w:ascii="Arial" w:hAnsi="Arial" w:cs="Arial"/>
          <w:sz w:val="24"/>
          <w:szCs w:val="24"/>
        </w:rPr>
      </w:pPr>
      <w:r>
        <w:rPr>
          <w:rFonts w:ascii="Arial" w:hAnsi="Arial" w:cs="Arial"/>
          <w:sz w:val="24"/>
          <w:szCs w:val="24"/>
        </w:rPr>
        <w:t>nije dostavio garanciju ponude ili nije dostavio garanciju ponude na način predviđen tenderskom dokumentacijom u skladu sa članom 122 st. 2, 3 ili 4 ovog zakona ili je dostavio garanciju ponude na manji iznos od traženog ili je ta garancija neispravna; i/ili</w:t>
      </w:r>
    </w:p>
    <w:p>
      <w:pPr>
        <w:numPr>
          <w:ilvl w:val="0"/>
          <w:numId w:val="5"/>
        </w:numPr>
        <w:spacing w:after="0" w:line="240" w:lineRule="auto"/>
        <w:rPr>
          <w:rFonts w:ascii="Arial" w:hAnsi="Arial" w:cs="Arial"/>
          <w:sz w:val="24"/>
          <w:szCs w:val="24"/>
        </w:rPr>
      </w:pPr>
      <w:r>
        <w:rPr>
          <w:rFonts w:ascii="Arial" w:hAnsi="Arial" w:cs="Arial"/>
          <w:sz w:val="24"/>
          <w:szCs w:val="24"/>
        </w:rPr>
        <w:t>postoji drugi razlog propisan ovim zakonom.</w:t>
      </w:r>
    </w:p>
    <w:p>
      <w:pPr>
        <w:keepNext/>
        <w:keepLines/>
        <w:pBdr>
          <w:top w:val="single" w:color="auto" w:sz="4" w:space="1"/>
          <w:left w:val="single" w:color="auto" w:sz="4" w:space="4"/>
          <w:bottom w:val="single" w:color="auto" w:sz="4" w:space="1"/>
          <w:right w:val="single" w:color="auto" w:sz="4" w:space="4"/>
        </w:pBdr>
        <w:shd w:val="clear" w:color="auto" w:fill="D9D9D9"/>
        <w:spacing w:before="240"/>
        <w:outlineLvl w:val="0"/>
        <w:rPr>
          <w:rFonts w:ascii="Arial" w:hAnsi="Arial" w:cs="Arial"/>
          <w:b/>
          <w:sz w:val="24"/>
          <w:szCs w:val="24"/>
        </w:rPr>
      </w:pPr>
      <w:r>
        <w:rPr>
          <w:rFonts w:ascii="Arial" w:hAnsi="Arial" w:cs="Arial"/>
          <w:b/>
          <w:sz w:val="24"/>
          <w:szCs w:val="24"/>
          <w:lang w:val="sr-Latn-RS"/>
        </w:rPr>
        <w:t>6.</w:t>
      </w:r>
      <w:r>
        <w:rPr>
          <w:rFonts w:ascii="Arial" w:hAnsi="Arial" w:cs="Arial"/>
          <w:b/>
          <w:sz w:val="24"/>
          <w:szCs w:val="24"/>
        </w:rPr>
        <w:t>SREDSTVA FINANSIJSKOG OBEZBJEĐENJA UGOVORA O JAVNOJ NABAVCI</w:t>
      </w:r>
      <w:bookmarkEnd w:id="5"/>
    </w:p>
    <w:p>
      <w:pPr>
        <w:jc w:val="both"/>
        <w:rPr>
          <w:rFonts w:ascii="Arial" w:hAnsi="Arial" w:cs="Arial"/>
          <w:color w:val="000000"/>
          <w:sz w:val="24"/>
          <w:szCs w:val="24"/>
        </w:rPr>
      </w:pPr>
    </w:p>
    <w:p>
      <w:pPr>
        <w:jc w:val="both"/>
        <w:rPr>
          <w:rFonts w:ascii="Arial" w:hAnsi="Arial" w:cs="Arial"/>
          <w:color w:val="000000"/>
          <w:sz w:val="24"/>
          <w:szCs w:val="24"/>
        </w:rPr>
      </w:pPr>
      <w:r>
        <w:rPr>
          <w:rFonts w:ascii="Arial" w:hAnsi="Arial" w:cs="Arial"/>
          <w:color w:val="000000"/>
          <w:sz w:val="24"/>
          <w:szCs w:val="24"/>
        </w:rPr>
        <w:t>Ponuđač čija ponuda bude izabrana kao najpovoljnija je dužan da uz potpisan ugovor o javnoj nabavci dostavi naručiocu:</w:t>
      </w:r>
    </w:p>
    <w:p>
      <w:pPr>
        <w:jc w:val="both"/>
        <w:rPr>
          <w:rFonts w:ascii="Arial" w:hAnsi="Arial" w:cs="Arial"/>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w:t>
      </w:r>
      <w:r>
        <w:rPr>
          <w:rFonts w:ascii="Arial" w:hAnsi="Arial" w:cs="Arial"/>
          <w:sz w:val="24"/>
          <w:szCs w:val="24"/>
        </w:rPr>
        <w:t>garanciju za dobro izvršenje ugovora za slučaj povrede ugovorenih obaveza u iznosu od 10% od vrijednosti ugovora</w:t>
      </w:r>
    </w:p>
    <w:p>
      <w:pPr>
        <w:jc w:val="both"/>
        <w:rPr>
          <w:rFonts w:ascii="Arial" w:hAnsi="Arial" w:cs="Arial"/>
          <w:sz w:val="24"/>
          <w:szCs w:val="24"/>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outlineLvl w:val="0"/>
        <w:rPr>
          <w:rFonts w:ascii="Arial" w:hAnsi="Arial" w:cs="Arial"/>
          <w:b/>
          <w:color w:val="000000"/>
          <w:sz w:val="24"/>
          <w:szCs w:val="24"/>
        </w:rPr>
      </w:pPr>
      <w:bookmarkStart w:id="6" w:name="_Toc62730559"/>
      <w:r>
        <w:rPr>
          <w:rFonts w:ascii="Arial" w:hAnsi="Arial" w:cs="Arial"/>
          <w:b/>
          <w:sz w:val="24"/>
          <w:szCs w:val="24"/>
          <w:lang w:val="sr-Latn-RS"/>
        </w:rPr>
        <w:t>7.</w:t>
      </w:r>
      <w:r>
        <w:rPr>
          <w:rFonts w:ascii="Arial" w:hAnsi="Arial" w:cs="Arial"/>
          <w:b/>
          <w:sz w:val="24"/>
          <w:szCs w:val="24"/>
        </w:rPr>
        <w:t>METODOLOGIJA VREDNOVANJA PONUDA</w:t>
      </w:r>
      <w:bookmarkEnd w:id="6"/>
    </w:p>
    <w:p>
      <w:pPr>
        <w:spacing w:after="0" w:line="240" w:lineRule="auto"/>
        <w:jc w:val="both"/>
        <w:rPr>
          <w:rFonts w:ascii="Arial" w:hAnsi="Arial" w:cs="Arial"/>
          <w:sz w:val="24"/>
          <w:szCs w:val="24"/>
        </w:rPr>
      </w:pPr>
    </w:p>
    <w:p>
      <w:pPr>
        <w:spacing w:after="0" w:line="240" w:lineRule="auto"/>
        <w:jc w:val="both"/>
        <w:rPr>
          <w:rFonts w:ascii="Arial" w:hAnsi="Arial" w:eastAsia="Times New Roman" w:cs="Arial"/>
          <w:sz w:val="24"/>
          <w:szCs w:val="24"/>
        </w:rPr>
      </w:pPr>
      <w:r>
        <w:rPr>
          <w:rFonts w:ascii="Arial" w:hAnsi="Arial" w:eastAsia="Times New Roman" w:cs="Arial"/>
          <w:sz w:val="24"/>
          <w:szCs w:val="24"/>
        </w:rPr>
        <w:t>Naručilac će u postupku javne nabavki izabrati ekonomski najpovoljniju ponudu, primjenom pristupa isplativosti, po osnovu kriterijuma</w:t>
      </w:r>
      <w:r>
        <w:rPr>
          <w:rFonts w:ascii="Arial" w:hAnsi="Arial" w:eastAsia="Times New Roman" w:cs="Arial"/>
          <w:sz w:val="24"/>
          <w:szCs w:val="24"/>
          <w:vertAlign w:val="superscript"/>
        </w:rPr>
        <w:t>:</w:t>
      </w:r>
      <w:r>
        <w:rPr>
          <w:rFonts w:ascii="Arial" w:hAnsi="Arial" w:eastAsia="Times New Roman" w:cs="Arial"/>
          <w:sz w:val="24"/>
          <w:szCs w:val="24"/>
        </w:rPr>
        <w:t xml:space="preserve"> </w:t>
      </w:r>
    </w:p>
    <w:p>
      <w:pPr>
        <w:spacing w:after="0" w:line="240" w:lineRule="auto"/>
        <w:rPr>
          <w:rFonts w:ascii="Arial" w:hAnsi="Arial" w:eastAsia="Times New Roman" w:cs="Arial"/>
          <w:color w:val="000000"/>
          <w:sz w:val="24"/>
          <w:szCs w:val="24"/>
        </w:rPr>
      </w:pPr>
    </w:p>
    <w:p>
      <w:pPr>
        <w:spacing w:after="0" w:line="240" w:lineRule="auto"/>
        <w:rPr>
          <w:rFonts w:ascii="Arial" w:hAnsi="Arial" w:eastAsia="Times New Roman" w:cs="Arial"/>
          <w:sz w:val="24"/>
          <w:szCs w:val="24"/>
        </w:rPr>
      </w:pPr>
      <w:r>
        <w:rPr>
          <w:rFonts w:ascii="Arial" w:hAnsi="Arial" w:eastAsia="Times New Roman" w:cs="Arial"/>
          <w:color w:val="000000"/>
          <w:sz w:val="24"/>
          <w:szCs w:val="24"/>
        </w:rPr>
        <w:sym w:font="Wingdings" w:char="F0A8"/>
      </w:r>
      <w:r>
        <w:rPr>
          <w:rFonts w:ascii="Arial" w:hAnsi="Arial" w:eastAsia="Times New Roman" w:cs="Arial"/>
          <w:color w:val="000000"/>
          <w:sz w:val="24"/>
          <w:szCs w:val="24"/>
        </w:rPr>
        <w:t xml:space="preserve"> </w:t>
      </w:r>
      <w:r>
        <w:rPr>
          <w:rFonts w:ascii="Arial" w:hAnsi="Arial" w:eastAsia="Times New Roman" w:cs="Arial"/>
          <w:sz w:val="24"/>
          <w:szCs w:val="24"/>
        </w:rPr>
        <w:t xml:space="preserve">odnos cijene i kvaliteta </w:t>
      </w:r>
    </w:p>
    <w:p>
      <w:pPr>
        <w:spacing w:after="0" w:line="240" w:lineRule="auto"/>
        <w:rPr>
          <w:rFonts w:ascii="Arial" w:hAnsi="Arial" w:eastAsia="Times New Roman" w:cs="Arial"/>
          <w:sz w:val="24"/>
          <w:szCs w:val="24"/>
        </w:rPr>
      </w:pPr>
    </w:p>
    <w:p>
      <w:pPr>
        <w:spacing w:after="0" w:line="240" w:lineRule="auto"/>
        <w:jc w:val="both"/>
        <w:rPr>
          <w:rFonts w:ascii="Arial" w:hAnsi="Arial" w:eastAsia="Times New Roman" w:cs="Arial"/>
          <w:b/>
          <w:sz w:val="24"/>
          <w:szCs w:val="24"/>
        </w:rPr>
      </w:pPr>
      <w:r>
        <w:rPr>
          <w:rFonts w:ascii="Arial" w:hAnsi="Arial" w:eastAsia="Times New Roman" w:cs="Arial"/>
          <w:b/>
          <w:sz w:val="24"/>
          <w:szCs w:val="24"/>
        </w:rPr>
        <w:t>Parametar cijena ………………………………50 bodova</w:t>
      </w:r>
    </w:p>
    <w:p>
      <w:pPr>
        <w:spacing w:after="0" w:line="240" w:lineRule="auto"/>
        <w:jc w:val="both"/>
        <w:rPr>
          <w:rFonts w:ascii="Arial" w:hAnsi="Arial" w:eastAsia="Times New Roman" w:cs="Arial"/>
          <w:sz w:val="24"/>
          <w:szCs w:val="24"/>
        </w:rPr>
      </w:pPr>
    </w:p>
    <w:p>
      <w:pPr>
        <w:spacing w:after="0" w:line="240" w:lineRule="auto"/>
        <w:jc w:val="both"/>
        <w:rPr>
          <w:rFonts w:ascii="Arial" w:hAnsi="Arial" w:eastAsia="Times New Roman" w:cs="Arial"/>
          <w:sz w:val="24"/>
          <w:szCs w:val="24"/>
        </w:rPr>
      </w:pPr>
      <w:r>
        <w:rPr>
          <w:rFonts w:ascii="Arial" w:hAnsi="Arial" w:eastAsia="Times New Roman" w:cs="Arial"/>
          <w:sz w:val="24"/>
          <w:szCs w:val="24"/>
        </w:rPr>
        <w:t>Broj bodova po osnovu parametaracijena:</w:t>
      </w:r>
    </w:p>
    <w:p>
      <w:pPr>
        <w:spacing w:after="0" w:line="240" w:lineRule="auto"/>
        <w:jc w:val="both"/>
        <w:rPr>
          <w:rFonts w:ascii="Arial" w:hAnsi="Arial" w:eastAsia="Times New Roman" w:cs="Arial"/>
          <w:sz w:val="24"/>
          <w:szCs w:val="24"/>
        </w:rPr>
      </w:pPr>
      <w:r>
        <w:rPr>
          <w:rFonts w:ascii="Arial" w:hAnsi="Arial" w:eastAsia="Times New Roman" w:cs="Arial"/>
          <w:sz w:val="24"/>
          <w:szCs w:val="24"/>
        </w:rPr>
        <w:t>Najniža ponuđena cijena = 50 bodova</w:t>
      </w:r>
    </w:p>
    <w:p>
      <w:pPr>
        <w:spacing w:after="0" w:line="240" w:lineRule="auto"/>
        <w:jc w:val="both"/>
        <w:rPr>
          <w:rFonts w:ascii="Arial" w:hAnsi="Arial" w:eastAsia="Times New Roman" w:cs="Arial"/>
          <w:sz w:val="24"/>
          <w:szCs w:val="24"/>
        </w:rPr>
      </w:pPr>
      <w:r>
        <w:rPr>
          <w:rFonts w:ascii="Arial" w:hAnsi="Arial" w:eastAsia="Times New Roman" w:cs="Arial"/>
          <w:sz w:val="24"/>
          <w:szCs w:val="24"/>
        </w:rPr>
        <w:t>Broj bodova za ponuđenu cijenu konkretnog ponuđača računaće se po formuli</w:t>
      </w:r>
    </w:p>
    <w:p>
      <w:pPr>
        <w:spacing w:after="0" w:line="240" w:lineRule="auto"/>
        <w:jc w:val="both"/>
        <w:rPr>
          <w:rFonts w:ascii="Arial" w:hAnsi="Arial" w:eastAsia="Times New Roman" w:cs="Arial"/>
          <w:sz w:val="24"/>
          <w:szCs w:val="24"/>
        </w:rPr>
      </w:pPr>
    </w:p>
    <w:p>
      <w:pPr>
        <w:spacing w:after="0" w:line="240" w:lineRule="auto"/>
        <w:jc w:val="both"/>
        <w:rPr>
          <w:rFonts w:ascii="Arial" w:hAnsi="Arial" w:eastAsia="Times New Roman" w:cs="Arial"/>
          <w:sz w:val="24"/>
          <w:szCs w:val="24"/>
        </w:rPr>
      </w:pPr>
      <m:oMathPara>
        <m:oMath>
          <m:r>
            <m:rPr>
              <m:sty m:val="b"/>
            </m:rPr>
            <w:rPr>
              <w:rFonts w:ascii="Cambria Math" w:hAnsi="Cambria Math" w:eastAsia="Times New Roman" w:cs="Arial"/>
              <w:color w:val="000000"/>
              <w:sz w:val="24"/>
              <w:szCs w:val="24"/>
              <w:shd w:val="clear" w:color="auto" w:fill="FFFFFF"/>
            </w:rPr>
            <m:t>Broj bodova (C)</m:t>
          </m:r>
          <m:r>
            <m:rPr/>
            <w:rPr>
              <w:rFonts w:ascii="Cambria Math" w:hAnsi="Cambria Math" w:eastAsia="Times New Roman" w:cs="Arial"/>
              <w:color w:val="000000"/>
              <w:sz w:val="24"/>
              <w:szCs w:val="24"/>
              <w:shd w:val="clear" w:color="auto" w:fill="FFFFFF"/>
            </w:rPr>
            <m:t>=</m:t>
          </m:r>
          <m:f>
            <m:fPr>
              <m:ctrlPr>
                <w:rPr>
                  <w:rFonts w:ascii="Cambria Math" w:hAnsi="Cambria Math" w:eastAsia="Times New Roman" w:cs="Arial"/>
                  <w:bCs/>
                  <w:i/>
                  <w:color w:val="000000"/>
                  <w:sz w:val="24"/>
                  <w:szCs w:val="24"/>
                  <w:shd w:val="clear" w:color="auto" w:fill="FFFFFF"/>
                </w:rPr>
              </m:ctrlPr>
            </m:fPr>
            <m:num>
              <m:r>
                <m:rPr>
                  <m:sty m:val="p"/>
                </m:rPr>
                <w:rPr>
                  <w:rFonts w:ascii="Cambria Math" w:hAnsi="Cambria Math" w:eastAsia="Times New Roman" w:cs="Arial"/>
                  <w:sz w:val="24"/>
                  <w:szCs w:val="24"/>
                </w:rPr>
                <m:t>najniža ponuđena cijena</m:t>
              </m:r>
              <m:ctrlPr>
                <w:rPr>
                  <w:rFonts w:ascii="Cambria Math" w:hAnsi="Cambria Math" w:eastAsia="Times New Roman" w:cs="Arial"/>
                  <w:bCs/>
                  <w:i/>
                  <w:color w:val="000000"/>
                  <w:sz w:val="24"/>
                  <w:szCs w:val="24"/>
                  <w:shd w:val="clear" w:color="auto" w:fill="FFFFFF"/>
                </w:rPr>
              </m:ctrlPr>
            </m:num>
            <m:den>
              <m:r>
                <m:rPr>
                  <m:sty m:val="p"/>
                </m:rPr>
                <w:rPr>
                  <w:rFonts w:ascii="Cambria Math" w:hAnsi="Cambria Math" w:eastAsia="Times New Roman" w:cs="Arial"/>
                  <w:sz w:val="24"/>
                  <w:szCs w:val="24"/>
                </w:rPr>
                <m:t>ponuđena cijena</m:t>
              </m:r>
              <m:ctrlPr>
                <w:rPr>
                  <w:rFonts w:ascii="Cambria Math" w:hAnsi="Cambria Math" w:eastAsia="Times New Roman" w:cs="Arial"/>
                  <w:bCs/>
                  <w:i/>
                  <w:color w:val="000000"/>
                  <w:sz w:val="24"/>
                  <w:szCs w:val="24"/>
                  <w:shd w:val="clear" w:color="auto" w:fill="FFFFFF"/>
                </w:rPr>
              </m:ctrlPr>
            </m:den>
          </m:f>
          <m:r>
            <m:rPr/>
            <w:rPr>
              <w:rFonts w:ascii="Cambria Math" w:hAnsi="Cambria Math" w:eastAsia="Times New Roman" w:cs="Arial"/>
              <w:color w:val="000000"/>
              <w:sz w:val="24"/>
              <w:szCs w:val="24"/>
              <w:shd w:val="clear" w:color="auto" w:fill="FFFFFF"/>
            </w:rPr>
            <m:t>×50</m:t>
          </m:r>
        </m:oMath>
      </m:oMathPara>
    </w:p>
    <w:p>
      <w:pPr>
        <w:spacing w:after="0" w:line="240" w:lineRule="auto"/>
        <w:jc w:val="both"/>
        <w:rPr>
          <w:rFonts w:ascii="Arial" w:hAnsi="Arial" w:eastAsia="Times New Roman" w:cs="Arial"/>
          <w:color w:val="000000"/>
          <w:sz w:val="24"/>
          <w:szCs w:val="24"/>
        </w:rPr>
      </w:pPr>
    </w:p>
    <w:p>
      <w:pPr>
        <w:spacing w:after="0" w:line="240" w:lineRule="auto"/>
        <w:jc w:val="both"/>
        <w:rPr>
          <w:rFonts w:ascii="Arial" w:hAnsi="Arial" w:eastAsia="Times New Roman" w:cs="Arial"/>
          <w:color w:val="000000"/>
          <w:sz w:val="24"/>
          <w:szCs w:val="24"/>
        </w:rPr>
      </w:pPr>
    </w:p>
    <w:p>
      <w:pPr>
        <w:spacing w:after="0" w:line="240" w:lineRule="auto"/>
        <w:jc w:val="both"/>
        <w:rPr>
          <w:rFonts w:ascii="Arial" w:hAnsi="Arial" w:eastAsia="Times New Roman" w:cs="Arial"/>
          <w:b/>
          <w:sz w:val="24"/>
          <w:szCs w:val="24"/>
        </w:rPr>
      </w:pPr>
      <w:r>
        <w:rPr>
          <w:rFonts w:ascii="Arial" w:hAnsi="Arial" w:eastAsia="Times New Roman" w:cs="Arial"/>
          <w:b/>
          <w:sz w:val="24"/>
          <w:szCs w:val="24"/>
        </w:rPr>
        <w:t xml:space="preserve">Parametar </w:t>
      </w:r>
      <w:r>
        <w:rPr>
          <w:rFonts w:ascii="Arial" w:hAnsi="Arial" w:eastAsia="Times New Roman" w:cs="Arial"/>
          <w:b/>
          <w:color w:val="000000" w:themeColor="text1"/>
          <w:sz w:val="24"/>
          <w:szCs w:val="24"/>
          <w14:textFill>
            <w14:solidFill>
              <w14:schemeClr w14:val="tx1"/>
            </w14:solidFill>
          </w14:textFill>
        </w:rPr>
        <w:t>kvalitet</w:t>
      </w:r>
      <w:r>
        <w:rPr>
          <w:rFonts w:ascii="Arial" w:hAnsi="Arial" w:eastAsia="Times New Roman" w:cs="Arial"/>
          <w:b/>
          <w:sz w:val="24"/>
          <w:szCs w:val="24"/>
        </w:rPr>
        <w:t xml:space="preserve"> ………………………………50 bodova</w:t>
      </w:r>
    </w:p>
    <w:p>
      <w:pPr>
        <w:spacing w:after="0" w:line="240" w:lineRule="auto"/>
        <w:jc w:val="both"/>
        <w:rPr>
          <w:rFonts w:ascii="Arial" w:hAnsi="Arial" w:eastAsia="Times New Roman" w:cs="Arial"/>
          <w:b/>
          <w:sz w:val="24"/>
          <w:szCs w:val="24"/>
        </w:rPr>
      </w:pPr>
    </w:p>
    <w:p>
      <w:pPr>
        <w:spacing w:after="0" w:line="240" w:lineRule="auto"/>
        <w:jc w:val="both"/>
        <w:rPr>
          <w:rFonts w:ascii="Arial" w:hAnsi="Arial" w:eastAsia="Times New Roman" w:cs="Arial"/>
          <w:color w:val="000000" w:themeColor="text1"/>
          <w:sz w:val="24"/>
          <w:szCs w:val="24"/>
          <w14:textFill>
            <w14:solidFill>
              <w14:schemeClr w14:val="tx1"/>
            </w14:solidFill>
          </w14:textFill>
        </w:rPr>
      </w:pPr>
      <w:r>
        <w:rPr>
          <w:rFonts w:ascii="Arial" w:hAnsi="Arial" w:eastAsia="Times New Roman" w:cs="Arial"/>
          <w:color w:val="000000" w:themeColor="text1"/>
          <w:sz w:val="24"/>
          <w:szCs w:val="24"/>
          <w14:textFill>
            <w14:solidFill>
              <w14:schemeClr w14:val="tx1"/>
            </w14:solidFill>
          </w14:textFill>
        </w:rPr>
        <w:t xml:space="preserve">Parametar kvalitet – Vrednovanje ponuda po osnovu parametara kvaliteta vrši se na osnovu kvalifikacija i iskustvu lica kojima će biti povjereno izvršenje predmeta nabavke, što se dokazuje dokazima nadležnog organa i/ili ovlašćene organizacije, odnosno pravnog lica o nivou okvira kvalifikacije i/ili stručne osposobljenosti lica kojima će biti povjereno izvršenje predmeta nabavke. Vrednovanje će se vršiti za ponuđene parametre iznad predviđenih minimalnih zahtjeva stručne i tehničke osposobljenosti </w:t>
      </w:r>
      <w:r>
        <w:rPr>
          <w:rFonts w:ascii="Arial" w:hAnsi="Arial" w:eastAsia="Times New Roman" w:cs="Arial"/>
          <w:bCs/>
          <w:color w:val="000000" w:themeColor="text1"/>
          <w:sz w:val="24"/>
          <w:szCs w:val="24"/>
          <w:shd w:val="clear" w:color="auto" w:fill="FFFFFF"/>
          <w14:textFill>
            <w14:solidFill>
              <w14:schemeClr w14:val="tx1"/>
            </w14:solidFill>
          </w14:textFill>
        </w:rPr>
        <w:t>na osnovu referenci stručnih lica na uspješnom i blagovremenom izvršenju istih poslova koje su potvrđene od strane investitora, odnosno korisnika pruženih usluga tokom prethodnih 5 godina, računajući i godinu u kojoj je započet postupak nabavke.</w:t>
      </w:r>
    </w:p>
    <w:p>
      <w:pPr>
        <w:spacing w:after="0" w:line="240" w:lineRule="auto"/>
        <w:jc w:val="both"/>
        <w:rPr>
          <w:rFonts w:ascii="Arial" w:hAnsi="Arial" w:eastAsia="Times New Roman" w:cs="Arial"/>
          <w:b/>
          <w:bCs/>
          <w:color w:val="000000"/>
          <w:sz w:val="24"/>
          <w:szCs w:val="24"/>
        </w:rPr>
      </w:pPr>
    </w:p>
    <w:p>
      <w:pPr>
        <w:spacing w:after="0" w:line="240" w:lineRule="auto"/>
        <w:jc w:val="both"/>
        <w:rPr>
          <w:rFonts w:ascii="Arial" w:hAnsi="Arial" w:eastAsia="Times New Roman" w:cs="Arial"/>
          <w:bCs/>
          <w:sz w:val="24"/>
          <w:szCs w:val="24"/>
          <w:shd w:val="clear" w:color="auto" w:fill="FFFFFF"/>
        </w:rPr>
      </w:pPr>
      <w:r>
        <w:rPr>
          <w:rFonts w:ascii="Arial" w:hAnsi="Arial" w:eastAsia="Times New Roman" w:cs="Arial"/>
          <w:bCs/>
          <w:sz w:val="24"/>
          <w:szCs w:val="24"/>
          <w:shd w:val="clear" w:color="auto" w:fill="FFFFFF"/>
        </w:rPr>
        <w:t>Broj bodova za ovaj parametar određuje se po formuli:</w:t>
      </w:r>
    </w:p>
    <w:p>
      <w:pPr>
        <w:spacing w:after="0" w:line="240" w:lineRule="auto"/>
        <w:jc w:val="both"/>
        <w:rPr>
          <w:rFonts w:ascii="Arial" w:hAnsi="Arial" w:eastAsia="Times New Roman" w:cs="Arial"/>
          <w:bCs/>
          <w:sz w:val="24"/>
          <w:szCs w:val="24"/>
          <w:shd w:val="clear" w:color="auto" w:fill="FFFFFF"/>
        </w:rPr>
      </w:pPr>
    </w:p>
    <w:p>
      <w:pPr>
        <w:spacing w:after="0" w:line="240" w:lineRule="auto"/>
        <w:ind w:left="360"/>
        <w:contextualSpacing/>
        <w:jc w:val="center"/>
        <w:rPr>
          <w:rFonts w:ascii="Arial" w:hAnsi="Arial" w:eastAsia="Times New Roman" w:cs="Arial"/>
          <w:b/>
          <w:bCs/>
          <w:color w:val="000000"/>
          <w:sz w:val="24"/>
          <w:szCs w:val="24"/>
          <w:shd w:val="clear" w:color="auto" w:fill="FFFFFF"/>
          <w:vertAlign w:val="subscript"/>
        </w:rPr>
      </w:pPr>
      <w:r>
        <w:rPr>
          <w:rFonts w:ascii="Arial" w:hAnsi="Arial" w:eastAsia="Times New Roman" w:cs="Arial"/>
          <w:b/>
          <w:bCs/>
          <w:color w:val="000000"/>
          <w:sz w:val="24"/>
          <w:szCs w:val="24"/>
          <w:shd w:val="clear" w:color="auto" w:fill="FFFFFF"/>
        </w:rPr>
        <w:t>R=R1+R2+R3+R4+S</w:t>
      </w:r>
    </w:p>
    <w:p>
      <w:pPr>
        <w:spacing w:after="0" w:line="240" w:lineRule="auto"/>
        <w:ind w:left="360"/>
        <w:contextualSpacing/>
        <w:jc w:val="center"/>
        <w:rPr>
          <w:rFonts w:ascii="Arial" w:hAnsi="Arial" w:eastAsia="Times New Roman" w:cs="Arial"/>
          <w:b/>
          <w:bCs/>
          <w:color w:val="000000"/>
          <w:sz w:val="24"/>
          <w:szCs w:val="24"/>
          <w:shd w:val="clear" w:color="auto" w:fill="FFFFFF"/>
        </w:rPr>
      </w:pPr>
    </w:p>
    <w:p>
      <w:pPr>
        <w:spacing w:before="96" w:after="120" w:line="360" w:lineRule="atLeast"/>
        <w:jc w:val="both"/>
        <w:rPr>
          <w:rFonts w:ascii="Arial" w:hAnsi="Arial" w:eastAsia="Times New Roman" w:cs="Arial"/>
          <w:bCs/>
          <w:color w:val="000000"/>
          <w:sz w:val="24"/>
          <w:szCs w:val="24"/>
          <w:shd w:val="clear" w:color="auto" w:fill="FFFFFF"/>
        </w:rPr>
      </w:pPr>
      <w:r>
        <w:rPr>
          <w:rFonts w:ascii="Arial" w:hAnsi="Arial" w:eastAsia="Times New Roman" w:cs="Arial"/>
          <w:bCs/>
          <w:color w:val="000000"/>
          <w:sz w:val="24"/>
          <w:szCs w:val="24"/>
          <w:shd w:val="clear" w:color="auto" w:fill="FFFFFF"/>
        </w:rPr>
        <w:t xml:space="preserve">Ponude po potkriterijumu kvalitet vrednovaće se na osnovu </w:t>
      </w:r>
    </w:p>
    <w:p>
      <w:pPr>
        <w:numPr>
          <w:ilvl w:val="0"/>
          <w:numId w:val="6"/>
        </w:numPr>
        <w:spacing w:before="96" w:after="120" w:line="360" w:lineRule="atLeast"/>
        <w:contextualSpacing/>
        <w:jc w:val="both"/>
        <w:rPr>
          <w:rFonts w:ascii="Arial" w:hAnsi="Arial" w:eastAsia="Times New Roman" w:cs="Arial"/>
          <w:bCs/>
          <w:color w:val="000000"/>
          <w:sz w:val="24"/>
          <w:szCs w:val="24"/>
          <w:shd w:val="clear" w:color="auto" w:fill="FFFFFF"/>
        </w:rPr>
      </w:pPr>
      <w:r>
        <w:rPr>
          <w:rFonts w:ascii="Arial" w:hAnsi="Arial" w:eastAsia="Times New Roman" w:cs="Arial"/>
          <w:b/>
          <w:bCs/>
          <w:color w:val="000000"/>
          <w:sz w:val="24"/>
          <w:szCs w:val="24"/>
          <w:shd w:val="clear" w:color="auto" w:fill="FFFFFF"/>
        </w:rPr>
        <w:t>R</w:t>
      </w:r>
      <w:r>
        <w:rPr>
          <w:rFonts w:ascii="Arial" w:hAnsi="Arial" w:eastAsia="Times New Roman" w:cs="Arial"/>
          <w:bCs/>
          <w:color w:val="000000"/>
          <w:sz w:val="24"/>
          <w:szCs w:val="24"/>
          <w:shd w:val="clear" w:color="auto" w:fill="FFFFFF"/>
        </w:rPr>
        <w:t xml:space="preserve"> - referenci stručnih lica na uspješnom i blagovremenom izvršenju istih  poslova koje su potvrđene od strane investitora, odnosno korisnika pruženih usluga tokom prethodnih 5 godina, računajući i godinu u kojoj je započet postupak nabavke.</w:t>
      </w:r>
    </w:p>
    <w:p>
      <w:pPr>
        <w:spacing w:before="96" w:after="120" w:line="360" w:lineRule="atLeast"/>
        <w:jc w:val="both"/>
        <w:rPr>
          <w:rFonts w:ascii="Arial" w:hAnsi="Arial" w:eastAsia="Times New Roman" w:cs="Arial"/>
          <w:bCs/>
          <w:color w:val="000000"/>
          <w:sz w:val="24"/>
          <w:szCs w:val="24"/>
          <w:shd w:val="clear" w:color="auto" w:fill="FFFFFF"/>
        </w:rPr>
      </w:pPr>
      <w:r>
        <w:rPr>
          <w:rFonts w:ascii="Arial" w:hAnsi="Arial" w:eastAsia="Times New Roman" w:cs="Arial"/>
          <w:bCs/>
          <w:color w:val="000000"/>
          <w:sz w:val="24"/>
          <w:szCs w:val="24"/>
          <w:shd w:val="clear" w:color="auto" w:fill="FFFFFF"/>
        </w:rPr>
        <w:t>Pod istim poslovima podrazumijeva se:</w:t>
      </w:r>
    </w:p>
    <w:p>
      <w:pPr>
        <w:spacing w:before="96" w:after="120" w:line="360" w:lineRule="atLeast"/>
        <w:jc w:val="both"/>
        <w:rPr>
          <w:rFonts w:ascii="Arial" w:hAnsi="Arial" w:eastAsia="Times New Roman" w:cs="Arial"/>
          <w:bCs/>
          <w:color w:val="000000"/>
          <w:sz w:val="24"/>
          <w:szCs w:val="24"/>
          <w:shd w:val="clear" w:color="auto" w:fill="FFFFFF"/>
        </w:rPr>
      </w:pPr>
      <w:r>
        <w:rPr>
          <w:rFonts w:ascii="Arial" w:hAnsi="Arial" w:eastAsia="Times New Roman" w:cs="Arial"/>
          <w:bCs/>
          <w:color w:val="000000"/>
          <w:sz w:val="24"/>
          <w:szCs w:val="24"/>
          <w:shd w:val="clear" w:color="auto" w:fill="FFFFFF"/>
        </w:rPr>
        <w:t>- održavanje nacionalnog, centralizovanog informacionog sistema za elektronske javne nabavke koji pokriva cijeli proces javne nabavke od objave plana do praćenja ugovora o javnoj nabavci, zasnovan na .Net i Angular tehnologiji, koji posjeduje relacionu bazu podataka MS SQL i</w:t>
      </w:r>
    </w:p>
    <w:p>
      <w:pPr>
        <w:spacing w:before="96" w:after="120" w:line="360" w:lineRule="atLeast"/>
        <w:jc w:val="both"/>
        <w:rPr>
          <w:rFonts w:ascii="Arial" w:hAnsi="Arial" w:eastAsia="Times New Roman" w:cs="Arial"/>
          <w:bCs/>
          <w:color w:val="000000"/>
          <w:sz w:val="24"/>
          <w:szCs w:val="24"/>
          <w:shd w:val="clear" w:color="auto" w:fill="FFFFFF"/>
        </w:rPr>
      </w:pPr>
      <w:r>
        <w:rPr>
          <w:rFonts w:ascii="Arial" w:hAnsi="Arial" w:eastAsia="Times New Roman" w:cs="Arial"/>
          <w:bCs/>
          <w:color w:val="000000"/>
          <w:sz w:val="24"/>
          <w:szCs w:val="24"/>
          <w:shd w:val="clear" w:color="auto" w:fill="FFFFFF"/>
        </w:rPr>
        <w:t>- razvoj nacionalnog, centralizovanog informacionog sistema za elektronske javne nabavke koji pokriva cijeli proces javne nabavke od objave plana do praćenja ugovora o javnoj nabavci, zasnovan na .Net i Angular tehnologiji, koji posjeduje relacionu bazu podataka MS SQL</w:t>
      </w:r>
    </w:p>
    <w:p>
      <w:pPr>
        <w:spacing w:before="96" w:after="120" w:line="360" w:lineRule="atLeast"/>
        <w:jc w:val="both"/>
        <w:rPr>
          <w:rFonts w:ascii="Arial" w:hAnsi="Arial" w:eastAsia="Times New Roman" w:cs="Arial"/>
          <w:bCs/>
          <w:color w:val="000000"/>
          <w:sz w:val="24"/>
          <w:szCs w:val="24"/>
          <w:shd w:val="clear" w:color="auto" w:fill="FFFFFF"/>
        </w:rPr>
      </w:pPr>
      <w:r>
        <w:rPr>
          <w:rFonts w:ascii="Arial" w:hAnsi="Arial" w:eastAsia="Times New Roman" w:cs="Arial"/>
          <w:bCs/>
          <w:color w:val="000000"/>
          <w:sz w:val="24"/>
          <w:szCs w:val="24"/>
          <w:shd w:val="clear" w:color="auto" w:fill="FFFFFF"/>
        </w:rPr>
        <w:t xml:space="preserve">Potvrde o izvršenim uslugama sadrže opis i vrijednost predmeta nabavke na čijoj je realizaciji stručno lice bilo angažovano, vrijeme realizacije ugovora i konstataciju da su usluge blagovremeno i kvalitetno izvršen. </w:t>
      </w:r>
    </w:p>
    <w:p>
      <w:pPr>
        <w:spacing w:before="96" w:after="120" w:line="360" w:lineRule="atLeast"/>
        <w:jc w:val="both"/>
        <w:rPr>
          <w:rFonts w:ascii="Arial" w:hAnsi="Arial" w:eastAsia="Times New Roman" w:cs="Arial"/>
          <w:bCs/>
          <w:color w:val="000000"/>
          <w:sz w:val="24"/>
          <w:szCs w:val="24"/>
          <w:shd w:val="clear" w:color="auto" w:fill="FFFFFF"/>
        </w:rPr>
      </w:pPr>
    </w:p>
    <w:tbl>
      <w:tblPr>
        <w:tblStyle w:val="3"/>
        <w:tblW w:w="94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6804"/>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hAnsi="Arial" w:eastAsia="Calibri" w:cs="Arial"/>
                <w:b/>
                <w:sz w:val="24"/>
                <w:szCs w:val="24"/>
                <w:shd w:val="clear" w:color="auto" w:fill="FFFFFF"/>
              </w:rPr>
            </w:pPr>
            <w:r>
              <w:rPr>
                <w:rFonts w:ascii="Arial" w:hAnsi="Arial" w:eastAsia="Calibri" w:cs="Arial"/>
                <w:b/>
                <w:sz w:val="24"/>
                <w:szCs w:val="24"/>
                <w:shd w:val="clear" w:color="auto" w:fill="FFFFFF"/>
              </w:rPr>
              <w:t>Oznaka</w:t>
            </w:r>
          </w:p>
        </w:tc>
        <w:tc>
          <w:tcPr>
            <w:tcW w:w="6804"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hAnsi="Arial" w:eastAsia="Calibri" w:cs="Arial"/>
                <w:b/>
                <w:sz w:val="24"/>
                <w:szCs w:val="24"/>
                <w:shd w:val="clear" w:color="auto" w:fill="FFFFFF"/>
              </w:rPr>
            </w:pPr>
            <w:r>
              <w:rPr>
                <w:rFonts w:ascii="Arial" w:hAnsi="Arial" w:eastAsia="Calibri" w:cs="Arial"/>
                <w:b/>
                <w:sz w:val="24"/>
                <w:szCs w:val="24"/>
                <w:shd w:val="clear" w:color="auto" w:fill="FFFFFF"/>
              </w:rPr>
              <w:t>Kvalifikacija i iskustvu lica</w:t>
            </w:r>
          </w:p>
        </w:tc>
        <w:tc>
          <w:tcPr>
            <w:tcW w:w="1559"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hAnsi="Arial" w:eastAsia="Calibri" w:cs="Arial"/>
                <w:b/>
                <w:sz w:val="24"/>
                <w:szCs w:val="24"/>
                <w:shd w:val="clear" w:color="auto" w:fill="FFFFFF"/>
              </w:rPr>
            </w:pPr>
            <w:r>
              <w:rPr>
                <w:rFonts w:ascii="Arial" w:hAnsi="Arial" w:eastAsia="Calibri" w:cs="Arial"/>
                <w:b/>
                <w:sz w:val="24"/>
                <w:szCs w:val="24"/>
                <w:shd w:val="clear" w:color="auto" w:fill="FFFFFF"/>
              </w:rPr>
              <w:t>max Broj bodova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hAnsi="Arial" w:eastAsia="Calibri" w:cs="Arial"/>
                <w:sz w:val="24"/>
                <w:szCs w:val="24"/>
                <w:shd w:val="clear" w:color="auto" w:fill="FFFFFF"/>
                <w:vertAlign w:val="subscript"/>
              </w:rPr>
            </w:pPr>
            <w:r>
              <w:rPr>
                <w:rFonts w:ascii="Arial" w:hAnsi="Arial" w:eastAsia="Calibri" w:cs="Arial"/>
                <w:sz w:val="24"/>
                <w:szCs w:val="24"/>
                <w:shd w:val="clear" w:color="auto" w:fill="FFFFFF"/>
              </w:rPr>
              <w:t>R1</w:t>
            </w:r>
          </w:p>
        </w:tc>
        <w:tc>
          <w:tcPr>
            <w:tcW w:w="6804" w:type="dxa"/>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hAnsi="Arial" w:eastAsia="Calibri" w:cs="Arial"/>
                <w:sz w:val="24"/>
                <w:szCs w:val="24"/>
                <w:shd w:val="clear" w:color="auto" w:fill="FFFFFF"/>
              </w:rPr>
            </w:pPr>
            <w:r>
              <w:rPr>
                <w:rFonts w:ascii="Arial" w:hAnsi="Arial" w:eastAsia="Times New Roman" w:cs="Arial"/>
                <w:sz w:val="24"/>
                <w:szCs w:val="24"/>
              </w:rPr>
              <w:t>Vođa tima – poslovni analitičar i projektant informacionog sistema</w:t>
            </w:r>
          </w:p>
        </w:tc>
        <w:tc>
          <w:tcPr>
            <w:tcW w:w="1559"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hAnsi="Arial" w:eastAsia="Calibri" w:cs="Arial"/>
                <w:sz w:val="24"/>
                <w:szCs w:val="24"/>
                <w:shd w:val="clear" w:color="auto" w:fill="FFFFFF"/>
              </w:rPr>
            </w:pPr>
            <w:r>
              <w:rPr>
                <w:rFonts w:ascii="Arial" w:hAnsi="Arial" w:eastAsia="Calibri" w:cs="Arial"/>
                <w:sz w:val="24"/>
                <w:szCs w:val="24"/>
                <w:shd w:val="clear" w:color="auto" w:fill="FFFFFF"/>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hAnsi="Arial" w:eastAsia="Calibri" w:cs="Arial"/>
                <w:sz w:val="24"/>
                <w:szCs w:val="24"/>
                <w:shd w:val="clear" w:color="auto" w:fill="FFFFFF"/>
              </w:rPr>
            </w:pPr>
            <w:r>
              <w:rPr>
                <w:rFonts w:ascii="Arial" w:hAnsi="Arial" w:eastAsia="Calibri" w:cs="Arial"/>
                <w:sz w:val="24"/>
                <w:szCs w:val="24"/>
                <w:shd w:val="clear" w:color="auto" w:fill="FFFFFF"/>
              </w:rPr>
              <w:t>R2</w:t>
            </w:r>
          </w:p>
        </w:tc>
        <w:tc>
          <w:tcPr>
            <w:tcW w:w="6804" w:type="dxa"/>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hAnsi="Arial" w:eastAsia="Times New Roman" w:cs="Arial"/>
                <w:sz w:val="24"/>
                <w:szCs w:val="24"/>
              </w:rPr>
            </w:pPr>
            <w:r>
              <w:rPr>
                <w:rFonts w:ascii="Arial" w:hAnsi="Arial" w:eastAsia="Times New Roman" w:cs="Arial"/>
                <w:sz w:val="24"/>
                <w:szCs w:val="24"/>
              </w:rPr>
              <w:t>Softver programmer</w:t>
            </w:r>
          </w:p>
        </w:tc>
        <w:tc>
          <w:tcPr>
            <w:tcW w:w="1559"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hAnsi="Arial" w:eastAsia="Calibri" w:cs="Arial"/>
                <w:sz w:val="24"/>
                <w:szCs w:val="24"/>
                <w:shd w:val="clear" w:color="auto" w:fill="FFFFFF"/>
              </w:rPr>
            </w:pPr>
            <w:r>
              <w:rPr>
                <w:rFonts w:ascii="Arial" w:hAnsi="Arial" w:eastAsia="Calibri" w:cs="Arial"/>
                <w:sz w:val="24"/>
                <w:szCs w:val="24"/>
                <w:shd w:val="clear" w:color="auto" w:fill="FFFFFF"/>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hAnsi="Arial" w:eastAsia="Calibri" w:cs="Arial"/>
                <w:color w:val="000000" w:themeColor="text1"/>
                <w:sz w:val="24"/>
                <w:szCs w:val="24"/>
                <w:shd w:val="clear" w:color="auto" w:fill="FFFFFF"/>
                <w14:textFill>
                  <w14:solidFill>
                    <w14:schemeClr w14:val="tx1"/>
                  </w14:solidFill>
                </w14:textFill>
              </w:rPr>
            </w:pPr>
            <w:r>
              <w:rPr>
                <w:rFonts w:ascii="Arial" w:hAnsi="Arial" w:eastAsia="Calibri" w:cs="Arial"/>
                <w:color w:val="000000" w:themeColor="text1"/>
                <w:sz w:val="24"/>
                <w:szCs w:val="24"/>
                <w:shd w:val="clear" w:color="auto" w:fill="FFFFFF"/>
                <w14:textFill>
                  <w14:solidFill>
                    <w14:schemeClr w14:val="tx1"/>
                  </w14:solidFill>
                </w14:textFill>
              </w:rPr>
              <w:t>R3</w:t>
            </w:r>
          </w:p>
        </w:tc>
        <w:tc>
          <w:tcPr>
            <w:tcW w:w="6804" w:type="dxa"/>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hAnsi="Arial" w:eastAsia="Times New Roman" w:cs="Arial"/>
                <w:color w:val="000000" w:themeColor="text1"/>
                <w:sz w:val="24"/>
                <w:szCs w:val="24"/>
                <w14:textFill>
                  <w14:solidFill>
                    <w14:schemeClr w14:val="tx1"/>
                  </w14:solidFill>
                </w14:textFill>
              </w:rPr>
            </w:pPr>
            <w:r>
              <w:rPr>
                <w:rFonts w:ascii="Arial" w:hAnsi="Arial" w:eastAsia="Times New Roman" w:cs="Arial"/>
                <w:color w:val="000000" w:themeColor="text1"/>
                <w:sz w:val="24"/>
                <w:szCs w:val="24"/>
                <w14:textFill>
                  <w14:solidFill>
                    <w14:schemeClr w14:val="tx1"/>
                  </w14:solidFill>
                </w14:textFill>
              </w:rPr>
              <w:t>IT projektant</w:t>
            </w:r>
          </w:p>
        </w:tc>
        <w:tc>
          <w:tcPr>
            <w:tcW w:w="1559"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hAnsi="Arial" w:eastAsia="Calibri" w:cs="Arial"/>
                <w:color w:val="000000" w:themeColor="text1"/>
                <w:sz w:val="24"/>
                <w:szCs w:val="24"/>
                <w:shd w:val="clear" w:color="auto" w:fill="FFFFFF"/>
                <w14:textFill>
                  <w14:solidFill>
                    <w14:schemeClr w14:val="tx1"/>
                  </w14:solidFill>
                </w14:textFill>
              </w:rPr>
            </w:pPr>
            <w:r>
              <w:rPr>
                <w:rFonts w:ascii="Arial" w:hAnsi="Arial" w:eastAsia="Calibri" w:cs="Arial"/>
                <w:color w:val="000000" w:themeColor="text1"/>
                <w:sz w:val="24"/>
                <w:szCs w:val="24"/>
                <w:shd w:val="clear" w:color="auto" w:fill="FFFFFF"/>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hAnsi="Arial" w:eastAsia="Calibri" w:cs="Arial"/>
                <w:sz w:val="24"/>
                <w:szCs w:val="24"/>
                <w:shd w:val="clear" w:color="auto" w:fill="FFFFFF"/>
                <w:vertAlign w:val="subscript"/>
              </w:rPr>
            </w:pPr>
            <w:r>
              <w:rPr>
                <w:rFonts w:ascii="Arial" w:hAnsi="Arial" w:eastAsia="Calibri" w:cs="Arial"/>
                <w:sz w:val="24"/>
                <w:szCs w:val="24"/>
                <w:shd w:val="clear" w:color="auto" w:fill="FFFFFF"/>
              </w:rPr>
              <w:t>R4</w:t>
            </w:r>
          </w:p>
        </w:tc>
        <w:tc>
          <w:tcPr>
            <w:tcW w:w="6804" w:type="dxa"/>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hAnsi="Arial" w:eastAsia="Calibri" w:cs="Arial"/>
                <w:sz w:val="24"/>
                <w:szCs w:val="24"/>
                <w:shd w:val="clear" w:color="auto" w:fill="FFFFFF"/>
              </w:rPr>
            </w:pPr>
            <w:r>
              <w:rPr>
                <w:rFonts w:ascii="Arial" w:hAnsi="Arial" w:eastAsia="Times New Roman" w:cs="Arial"/>
                <w:sz w:val="24"/>
                <w:szCs w:val="24"/>
              </w:rPr>
              <w:t>Sistem administrator za dizajn hardverske infrastructure, instalaciju, podešavanje i puštanje u rad hardverske infrastrukture – lice sa  sertifikatom - Microsoft Certified: DevOps Engineer Expert</w:t>
            </w:r>
          </w:p>
        </w:tc>
        <w:tc>
          <w:tcPr>
            <w:tcW w:w="1559"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hAnsi="Arial" w:eastAsia="Calibri" w:cs="Arial"/>
                <w:sz w:val="24"/>
                <w:szCs w:val="24"/>
                <w:shd w:val="clear" w:color="auto" w:fill="FFFFFF"/>
              </w:rPr>
            </w:pPr>
            <w:r>
              <w:rPr>
                <w:rFonts w:ascii="Arial" w:hAnsi="Arial" w:eastAsia="Calibri" w:cs="Arial"/>
                <w:sz w:val="24"/>
                <w:szCs w:val="24"/>
                <w:shd w:val="clear" w:color="auto" w:fill="FFFFFF"/>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hAnsi="Arial" w:eastAsia="Calibri" w:cs="Arial"/>
                <w:sz w:val="24"/>
                <w:szCs w:val="24"/>
                <w:shd w:val="clear" w:color="auto" w:fill="FFFFFF"/>
              </w:rPr>
            </w:pPr>
            <w:r>
              <w:rPr>
                <w:rFonts w:ascii="Arial" w:hAnsi="Arial" w:eastAsia="Calibri" w:cs="Arial"/>
                <w:sz w:val="24"/>
                <w:szCs w:val="24"/>
                <w:shd w:val="clear" w:color="auto" w:fill="FFFFFF"/>
              </w:rPr>
              <w:t>s</w:t>
            </w:r>
          </w:p>
        </w:tc>
        <w:tc>
          <w:tcPr>
            <w:tcW w:w="6804" w:type="dxa"/>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Arial" w:hAnsi="Arial" w:eastAsia="Times New Roman" w:cs="Arial"/>
                <w:sz w:val="24"/>
                <w:szCs w:val="24"/>
              </w:rPr>
            </w:pPr>
            <w:r>
              <w:rPr>
                <w:rFonts w:ascii="Arial" w:hAnsi="Arial" w:eastAsia="Times New Roman" w:cs="Arial"/>
                <w:bCs/>
                <w:color w:val="000000"/>
                <w:sz w:val="24"/>
                <w:szCs w:val="24"/>
                <w:shd w:val="clear" w:color="auto" w:fill="FFFFFF"/>
              </w:rPr>
              <w:t xml:space="preserve">ponudjen broj sati razvoja (minimum koji je odredio naručilac je  </w:t>
            </w:r>
            <w:r>
              <w:rPr>
                <w:rFonts w:ascii="Arial" w:hAnsi="Arial" w:eastAsia="Times New Roman" w:cs="Arial"/>
                <w:bCs/>
                <w:color w:val="000000"/>
                <w:sz w:val="24"/>
                <w:szCs w:val="24"/>
                <w:shd w:val="clear" w:color="auto" w:fill="FFFFFF"/>
                <w:lang w:val="sr-Latn-RS"/>
              </w:rPr>
              <w:t>5</w:t>
            </w:r>
            <w:r>
              <w:rPr>
                <w:rFonts w:ascii="Arial" w:hAnsi="Arial" w:eastAsia="Times New Roman" w:cs="Arial"/>
                <w:bCs/>
                <w:color w:val="000000"/>
                <w:sz w:val="24"/>
                <w:szCs w:val="24"/>
                <w:shd w:val="clear" w:color="auto" w:fill="FFFFFF"/>
              </w:rPr>
              <w:t>00 sati razvoja sistema)</w:t>
            </w:r>
          </w:p>
        </w:tc>
        <w:tc>
          <w:tcPr>
            <w:tcW w:w="1559"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hAnsi="Arial" w:eastAsia="Calibri" w:cs="Arial"/>
                <w:sz w:val="24"/>
                <w:szCs w:val="24"/>
                <w:shd w:val="clear" w:color="auto" w:fill="FFFFFF"/>
              </w:rPr>
            </w:pPr>
            <w:r>
              <w:rPr>
                <w:rFonts w:ascii="Arial" w:hAnsi="Arial" w:eastAsia="Calibri" w:cs="Arial"/>
                <w:sz w:val="24"/>
                <w:szCs w:val="24"/>
                <w:shd w:val="clear" w:color="auto" w:fill="FFFFFF"/>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3" w:type="dxa"/>
            <w:gridSpan w:val="2"/>
            <w:tcBorders>
              <w:top w:val="single" w:color="auto" w:sz="4" w:space="0"/>
              <w:left w:val="single" w:color="auto" w:sz="4" w:space="0"/>
              <w:bottom w:val="single" w:color="auto" w:sz="4" w:space="0"/>
              <w:right w:val="single" w:color="auto" w:sz="4" w:space="0"/>
            </w:tcBorders>
            <w:vAlign w:val="center"/>
          </w:tcPr>
          <w:p>
            <w:pPr>
              <w:spacing w:after="0" w:line="240" w:lineRule="auto"/>
              <w:jc w:val="right"/>
              <w:rPr>
                <w:rFonts w:ascii="Arial" w:hAnsi="Arial" w:eastAsia="Calibri" w:cs="Arial"/>
                <w:b/>
                <w:sz w:val="24"/>
                <w:szCs w:val="24"/>
                <w:shd w:val="clear" w:color="auto" w:fill="FFFFFF"/>
              </w:rPr>
            </w:pPr>
            <w:r>
              <w:rPr>
                <w:rFonts w:ascii="Arial" w:hAnsi="Arial" w:eastAsia="Calibri" w:cs="Arial"/>
                <w:b/>
                <w:sz w:val="24"/>
                <w:szCs w:val="24"/>
                <w:shd w:val="clear" w:color="auto" w:fill="FFFFFF"/>
              </w:rPr>
              <w:t>Ukupno</w:t>
            </w:r>
          </w:p>
        </w:tc>
        <w:tc>
          <w:tcPr>
            <w:tcW w:w="1559"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Arial" w:hAnsi="Arial" w:eastAsia="Calibri" w:cs="Arial"/>
                <w:b/>
                <w:sz w:val="24"/>
                <w:szCs w:val="24"/>
                <w:shd w:val="clear" w:color="auto" w:fill="FFFFFF"/>
              </w:rPr>
            </w:pPr>
            <w:r>
              <w:rPr>
                <w:rFonts w:ascii="Arial" w:hAnsi="Arial" w:eastAsia="Calibri" w:cs="Arial"/>
                <w:b/>
                <w:sz w:val="24"/>
                <w:szCs w:val="24"/>
                <w:shd w:val="clear" w:color="auto" w:fill="FFFFFF"/>
              </w:rPr>
              <w:t>50</w:t>
            </w:r>
          </w:p>
        </w:tc>
      </w:tr>
    </w:tbl>
    <w:p>
      <w:pPr>
        <w:spacing w:before="96" w:after="120" w:line="360" w:lineRule="atLeast"/>
        <w:jc w:val="both"/>
        <w:rPr>
          <w:rFonts w:ascii="Arial" w:hAnsi="Arial" w:eastAsia="Times New Roman" w:cs="Arial"/>
          <w:bCs/>
          <w:color w:val="000000"/>
          <w:sz w:val="24"/>
          <w:szCs w:val="24"/>
          <w:shd w:val="clear" w:color="auto" w:fill="FFFFFF"/>
        </w:rPr>
      </w:pPr>
    </w:p>
    <w:p>
      <w:pPr>
        <w:numPr>
          <w:ilvl w:val="0"/>
          <w:numId w:val="7"/>
        </w:numPr>
        <w:spacing w:before="96" w:after="120" w:line="360" w:lineRule="atLeast"/>
        <w:contextualSpacing/>
        <w:jc w:val="both"/>
        <w:rPr>
          <w:rFonts w:ascii="Arial" w:hAnsi="Arial" w:eastAsia="Times New Roman" w:cs="Arial"/>
          <w:bCs/>
          <w:color w:val="000000"/>
          <w:sz w:val="24"/>
          <w:szCs w:val="24"/>
          <w:shd w:val="clear" w:color="auto" w:fill="FFFFFF"/>
        </w:rPr>
      </w:pPr>
      <w:r>
        <w:rPr>
          <w:rFonts w:ascii="Arial" w:hAnsi="Arial" w:eastAsia="Times New Roman" w:cs="Arial"/>
          <w:bCs/>
          <w:color w:val="000000"/>
          <w:sz w:val="24"/>
          <w:szCs w:val="24"/>
          <w:shd w:val="clear" w:color="auto" w:fill="FFFFFF"/>
        </w:rPr>
        <w:t>Princip vrednovanja R1 Vođa tima – poslovni analitičar i projektant informacionog sistema:</w:t>
      </w:r>
    </w:p>
    <w:p>
      <w:pPr>
        <w:spacing w:before="96" w:after="120" w:line="360" w:lineRule="atLeast"/>
        <w:jc w:val="both"/>
        <w:rPr>
          <w:rFonts w:ascii="Arial" w:hAnsi="Arial" w:eastAsia="Times New Roman" w:cs="Arial"/>
          <w:bCs/>
          <w:color w:val="000000"/>
          <w:sz w:val="24"/>
          <w:szCs w:val="24"/>
          <w:shd w:val="clear" w:color="auto" w:fill="FFFFFF"/>
        </w:rPr>
      </w:pPr>
      <w:r>
        <w:rPr>
          <w:rFonts w:ascii="Arial" w:hAnsi="Arial" w:eastAsia="Times New Roman" w:cs="Arial"/>
          <w:bCs/>
          <w:color w:val="000000"/>
          <w:sz w:val="24"/>
          <w:szCs w:val="24"/>
          <w:shd w:val="clear" w:color="auto" w:fill="FFFFFF"/>
        </w:rPr>
        <w:t xml:space="preserve">Za predloženog </w:t>
      </w:r>
      <w:r>
        <w:rPr>
          <w:rFonts w:ascii="Arial" w:hAnsi="Arial" w:eastAsia="Times New Roman" w:cs="Arial"/>
          <w:b/>
          <w:bCs/>
          <w:color w:val="000000"/>
          <w:sz w:val="24"/>
          <w:szCs w:val="24"/>
          <w:shd w:val="clear" w:color="auto" w:fill="FFFFFF"/>
        </w:rPr>
        <w:t xml:space="preserve">Vođu Tima </w:t>
      </w:r>
      <w:r>
        <w:rPr>
          <w:rFonts w:ascii="Arial" w:hAnsi="Arial" w:eastAsia="Times New Roman" w:cs="Arial"/>
          <w:bCs/>
          <w:color w:val="000000"/>
          <w:sz w:val="24"/>
          <w:szCs w:val="24"/>
          <w:shd w:val="clear" w:color="auto" w:fill="FFFFFF"/>
        </w:rPr>
        <w:t>(</w:t>
      </w:r>
      <w:r>
        <w:rPr>
          <w:rFonts w:ascii="Arial" w:hAnsi="Arial" w:eastAsia="Calibri" w:cs="Arial"/>
          <w:sz w:val="24"/>
          <w:szCs w:val="24"/>
          <w:shd w:val="clear" w:color="auto" w:fill="FFFFFF"/>
        </w:rPr>
        <w:t>R1</w:t>
      </w:r>
      <w:r>
        <w:rPr>
          <w:rFonts w:ascii="Arial" w:hAnsi="Arial" w:eastAsia="Times New Roman" w:cs="Arial"/>
          <w:bCs/>
          <w:color w:val="000000"/>
          <w:sz w:val="24"/>
          <w:szCs w:val="24"/>
          <w:shd w:val="clear" w:color="auto" w:fill="FFFFFF"/>
        </w:rPr>
        <w:t>) uzeće se u razmatranje broj referenci na istim poslovima u kojima je lice bilo angažovano kao Vođa tima.</w:t>
      </w:r>
    </w:p>
    <w:p>
      <w:pPr>
        <w:spacing w:after="0" w:line="240" w:lineRule="auto"/>
        <w:jc w:val="both"/>
        <w:rPr>
          <w:rFonts w:ascii="Arial" w:hAnsi="Arial" w:eastAsia="Times New Roman" w:cs="Arial"/>
          <w:bCs/>
          <w:color w:val="000000"/>
          <w:sz w:val="24"/>
          <w:szCs w:val="24"/>
          <w:shd w:val="clear" w:color="auto" w:fill="FFFFFF"/>
        </w:rPr>
      </w:pPr>
      <w:r>
        <w:rPr>
          <w:rFonts w:ascii="Arial" w:hAnsi="Arial" w:eastAsia="Times New Roman" w:cs="Arial"/>
          <w:bCs/>
          <w:color w:val="000000"/>
          <w:sz w:val="24"/>
          <w:szCs w:val="24"/>
          <w:shd w:val="clear" w:color="auto" w:fill="FFFFFF"/>
        </w:rPr>
        <w:t xml:space="preserve">Princip vrednovanja je sljedeći: </w:t>
      </w:r>
      <w:r>
        <w:rPr>
          <w:rFonts w:ascii="Arial" w:hAnsi="Arial" w:eastAsia="Times New Roman" w:cs="Arial"/>
          <w:b/>
          <w:bCs/>
          <w:color w:val="000000"/>
          <w:sz w:val="24"/>
          <w:szCs w:val="24"/>
          <w:shd w:val="clear" w:color="auto" w:fill="FFFFFF"/>
        </w:rPr>
        <w:t xml:space="preserve">Vođa tima </w:t>
      </w:r>
      <w:r>
        <w:rPr>
          <w:rFonts w:ascii="Arial" w:hAnsi="Arial" w:eastAsia="Times New Roman" w:cs="Arial"/>
          <w:bCs/>
          <w:color w:val="000000"/>
          <w:sz w:val="24"/>
          <w:szCs w:val="24"/>
          <w:shd w:val="clear" w:color="auto" w:fill="FFFFFF"/>
        </w:rPr>
        <w:t>koji ima najveći broj potvrđenih referenci dobija maksimalan broj bodova po ovom parametru, a vrednovanje ostalih ponuđača izvršiće se na osnovu sljedeće formule:</w:t>
      </w:r>
    </w:p>
    <w:p>
      <w:pPr>
        <w:spacing w:after="0" w:line="240" w:lineRule="auto"/>
        <w:jc w:val="both"/>
        <w:rPr>
          <w:rFonts w:ascii="Arial" w:hAnsi="Arial" w:eastAsia="Times New Roman" w:cs="Arial"/>
          <w:bCs/>
          <w:color w:val="000000"/>
          <w:sz w:val="24"/>
          <w:szCs w:val="24"/>
          <w:shd w:val="clear" w:color="auto" w:fill="FFFFFF"/>
        </w:rPr>
      </w:pPr>
    </w:p>
    <w:p>
      <w:pPr>
        <w:spacing w:after="0" w:line="240" w:lineRule="auto"/>
        <w:jc w:val="both"/>
        <w:rPr>
          <w:rFonts w:ascii="Arial" w:hAnsi="Arial" w:eastAsia="Times New Roman" w:cs="Arial"/>
          <w:bCs/>
          <w:color w:val="000000"/>
          <w:sz w:val="24"/>
          <w:szCs w:val="24"/>
          <w:shd w:val="clear" w:color="auto" w:fill="FFFFFF"/>
        </w:rPr>
      </w:pPr>
    </w:p>
    <w:p>
      <w:pPr>
        <w:spacing w:after="0" w:line="240" w:lineRule="auto"/>
        <w:ind w:left="1418"/>
        <w:rPr>
          <w:rFonts w:ascii="Arial" w:hAnsi="Arial" w:eastAsia="Times New Roman" w:cs="Arial"/>
          <w:color w:val="000000"/>
          <w:sz w:val="24"/>
          <w:szCs w:val="24"/>
          <w:shd w:val="clear" w:color="auto" w:fill="FFFFFF"/>
        </w:rPr>
      </w:pPr>
      <m:oMathPara>
        <m:oMath>
          <m:r>
            <m:rPr>
              <m:sty m:val="b"/>
            </m:rPr>
            <w:rPr>
              <w:rFonts w:ascii="Cambria Math" w:hAnsi="Cambria Math" w:eastAsia="Times New Roman" w:cs="Arial"/>
              <w:color w:val="000000"/>
              <w:sz w:val="24"/>
              <w:szCs w:val="24"/>
              <w:shd w:val="clear" w:color="auto" w:fill="FFFFFF"/>
            </w:rPr>
            <m:t>Broj bodova (R1)</m:t>
          </m:r>
          <m:r>
            <m:rPr/>
            <w:rPr>
              <w:rFonts w:ascii="Cambria Math" w:hAnsi="Cambria Math" w:eastAsia="Times New Roman" w:cs="Arial"/>
              <w:color w:val="000000"/>
              <w:sz w:val="24"/>
              <w:szCs w:val="24"/>
              <w:shd w:val="clear" w:color="auto" w:fill="FFFFFF"/>
            </w:rPr>
            <m:t>=</m:t>
          </m:r>
          <m:f>
            <m:fPr>
              <m:ctrlPr>
                <w:rPr>
                  <w:rFonts w:ascii="Cambria Math" w:hAnsi="Cambria Math" w:eastAsia="Times New Roman" w:cs="Arial"/>
                  <w:bCs/>
                  <w:i/>
                  <w:color w:val="000000"/>
                  <w:sz w:val="24"/>
                  <w:szCs w:val="24"/>
                  <w:shd w:val="clear" w:color="auto" w:fill="FFFFFF"/>
                </w:rPr>
              </m:ctrlPr>
            </m:fPr>
            <m:num>
              <m:r>
                <m:rPr>
                  <m:sty m:val="p"/>
                </m:rPr>
                <w:rPr>
                  <w:rFonts w:ascii="Cambria Math" w:hAnsi="Cambria Math" w:eastAsia="Times New Roman" w:cs="Arial"/>
                  <w:color w:val="000000"/>
                  <w:sz w:val="24"/>
                  <w:szCs w:val="24"/>
                  <w:shd w:val="clear" w:color="auto" w:fill="FFFFFF"/>
                </w:rPr>
                <m:t xml:space="preserve">broj potvrdjenih referenci </m:t>
              </m:r>
              <m:ctrlPr>
                <w:rPr>
                  <w:rFonts w:ascii="Cambria Math" w:hAnsi="Cambria Math" w:eastAsia="Times New Roman" w:cs="Arial"/>
                  <w:bCs/>
                  <w:i/>
                  <w:color w:val="000000"/>
                  <w:sz w:val="24"/>
                  <w:szCs w:val="24"/>
                  <w:shd w:val="clear" w:color="auto" w:fill="FFFFFF"/>
                </w:rPr>
              </m:ctrlPr>
            </m:num>
            <m:den>
              <m:r>
                <m:rPr>
                  <m:sty m:val="p"/>
                </m:rPr>
                <w:rPr>
                  <w:rFonts w:ascii="Cambria Math" w:hAnsi="Cambria Math" w:eastAsia="Times New Roman" w:cs="Arial"/>
                  <w:color w:val="000000"/>
                  <w:sz w:val="24"/>
                  <w:szCs w:val="24"/>
                  <w:shd w:val="clear" w:color="auto" w:fill="FFFFFF"/>
                </w:rPr>
                <m:t>najveći broj potvrdjenih referenci</m:t>
              </m:r>
              <m:ctrlPr>
                <w:rPr>
                  <w:rFonts w:ascii="Cambria Math" w:hAnsi="Cambria Math" w:eastAsia="Times New Roman" w:cs="Arial"/>
                  <w:bCs/>
                  <w:i/>
                  <w:color w:val="000000"/>
                  <w:sz w:val="24"/>
                  <w:szCs w:val="24"/>
                  <w:shd w:val="clear" w:color="auto" w:fill="FFFFFF"/>
                </w:rPr>
              </m:ctrlPr>
            </m:den>
          </m:f>
          <m:r>
            <m:rPr/>
            <w:rPr>
              <w:rFonts w:ascii="Cambria Math" w:hAnsi="Cambria Math" w:eastAsia="Times New Roman" w:cs="Arial"/>
              <w:color w:val="000000"/>
              <w:sz w:val="24"/>
              <w:szCs w:val="24"/>
              <w:shd w:val="clear" w:color="auto" w:fill="FFFFFF"/>
            </w:rPr>
            <m:t>×15</m:t>
          </m:r>
        </m:oMath>
      </m:oMathPara>
    </w:p>
    <w:p>
      <w:pPr>
        <w:spacing w:after="0" w:line="240" w:lineRule="auto"/>
        <w:ind w:left="1418"/>
        <w:rPr>
          <w:rFonts w:ascii="Arial" w:hAnsi="Arial" w:eastAsia="Times New Roman" w:cs="Arial"/>
          <w:b/>
          <w:bCs/>
          <w:color w:val="000000"/>
          <w:sz w:val="24"/>
          <w:szCs w:val="24"/>
          <w:shd w:val="clear" w:color="auto" w:fill="FFFFFF"/>
        </w:rPr>
      </w:pPr>
    </w:p>
    <w:p>
      <w:pPr>
        <w:numPr>
          <w:ilvl w:val="0"/>
          <w:numId w:val="7"/>
        </w:numPr>
        <w:spacing w:before="96" w:after="120" w:line="360" w:lineRule="atLeast"/>
        <w:contextualSpacing/>
        <w:jc w:val="both"/>
        <w:rPr>
          <w:rFonts w:ascii="Arial" w:hAnsi="Arial" w:eastAsia="Times New Roman" w:cs="Arial"/>
          <w:bCs/>
          <w:color w:val="000000"/>
          <w:sz w:val="24"/>
          <w:szCs w:val="24"/>
          <w:shd w:val="clear" w:color="auto" w:fill="FFFFFF"/>
        </w:rPr>
      </w:pPr>
      <w:r>
        <w:rPr>
          <w:rFonts w:ascii="Arial" w:hAnsi="Arial" w:eastAsia="Times New Roman" w:cs="Arial"/>
          <w:bCs/>
          <w:color w:val="000000"/>
          <w:sz w:val="24"/>
          <w:szCs w:val="24"/>
          <w:shd w:val="clear" w:color="auto" w:fill="FFFFFF"/>
        </w:rPr>
        <w:t xml:space="preserve">Princip vrednovanja </w:t>
      </w:r>
      <w:r>
        <w:rPr>
          <w:rFonts w:ascii="Arial" w:hAnsi="Arial" w:cs="Arial"/>
          <w:sz w:val="24"/>
          <w:szCs w:val="24"/>
        </w:rPr>
        <w:t>Softver programer</w:t>
      </w:r>
      <w:r>
        <w:rPr>
          <w:rFonts w:ascii="Arial" w:hAnsi="Arial" w:eastAsia="Times New Roman" w:cs="Arial"/>
          <w:bCs/>
          <w:color w:val="000000"/>
          <w:sz w:val="24"/>
          <w:szCs w:val="24"/>
          <w:shd w:val="clear" w:color="auto" w:fill="FFFFFF"/>
        </w:rPr>
        <w:t>:</w:t>
      </w:r>
    </w:p>
    <w:p>
      <w:pPr>
        <w:spacing w:before="96" w:after="120" w:line="360" w:lineRule="atLeast"/>
        <w:jc w:val="both"/>
        <w:rPr>
          <w:rFonts w:ascii="Arial" w:hAnsi="Arial" w:eastAsia="Times New Roman" w:cs="Arial"/>
          <w:bCs/>
          <w:color w:val="000000"/>
          <w:sz w:val="24"/>
          <w:szCs w:val="24"/>
          <w:shd w:val="clear" w:color="auto" w:fill="FFFFFF"/>
        </w:rPr>
      </w:pPr>
      <w:r>
        <w:rPr>
          <w:rFonts w:ascii="Arial" w:hAnsi="Arial" w:eastAsia="Times New Roman" w:cs="Arial"/>
          <w:bCs/>
          <w:color w:val="000000"/>
          <w:sz w:val="24"/>
          <w:szCs w:val="24"/>
          <w:shd w:val="clear" w:color="auto" w:fill="FFFFFF"/>
        </w:rPr>
        <w:t xml:space="preserve">Za predloženog </w:t>
      </w:r>
      <w:r>
        <w:rPr>
          <w:rFonts w:ascii="Arial" w:hAnsi="Arial" w:eastAsia="Times New Roman" w:cs="Arial"/>
          <w:sz w:val="24"/>
          <w:szCs w:val="24"/>
        </w:rPr>
        <w:t>Softver programmer</w:t>
      </w:r>
      <w:r>
        <w:rPr>
          <w:rFonts w:ascii="Arial" w:hAnsi="Arial" w:eastAsia="Times New Roman" w:cs="Arial"/>
          <w:bCs/>
          <w:color w:val="000000"/>
          <w:sz w:val="24"/>
          <w:szCs w:val="24"/>
          <w:shd w:val="clear" w:color="auto" w:fill="FFFFFF"/>
        </w:rPr>
        <w:t xml:space="preserve"> (</w:t>
      </w:r>
      <w:r>
        <w:rPr>
          <w:rFonts w:ascii="Arial" w:hAnsi="Arial" w:eastAsia="Calibri" w:cs="Arial"/>
          <w:sz w:val="24"/>
          <w:szCs w:val="24"/>
          <w:shd w:val="clear" w:color="auto" w:fill="FFFFFF"/>
        </w:rPr>
        <w:t>R2</w:t>
      </w:r>
      <w:r>
        <w:rPr>
          <w:rFonts w:ascii="Arial" w:hAnsi="Arial" w:eastAsia="Times New Roman" w:cs="Arial"/>
          <w:bCs/>
          <w:color w:val="000000"/>
          <w:sz w:val="24"/>
          <w:szCs w:val="24"/>
          <w:shd w:val="clear" w:color="auto" w:fill="FFFFFF"/>
        </w:rPr>
        <w:t>) uzeće se u razmatranje broj referenci na istim poslovima u kojima je lice bilo angažovano kao Softver programer.</w:t>
      </w:r>
    </w:p>
    <w:p>
      <w:pPr>
        <w:spacing w:after="0" w:line="240" w:lineRule="auto"/>
        <w:jc w:val="both"/>
        <w:rPr>
          <w:rFonts w:ascii="Arial" w:hAnsi="Arial" w:eastAsia="Times New Roman" w:cs="Arial"/>
          <w:bCs/>
          <w:color w:val="000000"/>
          <w:sz w:val="24"/>
          <w:szCs w:val="24"/>
          <w:shd w:val="clear" w:color="auto" w:fill="FFFFFF"/>
        </w:rPr>
      </w:pPr>
      <w:r>
        <w:rPr>
          <w:rFonts w:ascii="Arial" w:hAnsi="Arial" w:eastAsia="Times New Roman" w:cs="Arial"/>
          <w:bCs/>
          <w:color w:val="000000"/>
          <w:sz w:val="24"/>
          <w:szCs w:val="24"/>
          <w:shd w:val="clear" w:color="auto" w:fill="FFFFFF"/>
        </w:rPr>
        <w:t xml:space="preserve">Princip vrednovanja je sljedeći: </w:t>
      </w:r>
      <w:r>
        <w:rPr>
          <w:rFonts w:ascii="Arial" w:hAnsi="Arial" w:eastAsia="Times New Roman" w:cs="Arial"/>
          <w:sz w:val="24"/>
          <w:szCs w:val="24"/>
        </w:rPr>
        <w:t>Softver programmer</w:t>
      </w:r>
      <w:r>
        <w:rPr>
          <w:rFonts w:ascii="Arial" w:hAnsi="Arial" w:eastAsia="Times New Roman" w:cs="Arial"/>
          <w:bCs/>
          <w:color w:val="000000"/>
          <w:sz w:val="24"/>
          <w:szCs w:val="24"/>
          <w:shd w:val="clear" w:color="auto" w:fill="FFFFFF"/>
        </w:rPr>
        <w:t xml:space="preserve"> koji ima najveći broj potvrđenih referenci dobija maksimalan broj bodova po ovom pod-parametru, a vrednovanje ostalih ponuđača izvršiće se na osnovu sljedeće formule:</w:t>
      </w:r>
    </w:p>
    <w:p>
      <w:pPr>
        <w:spacing w:after="0" w:line="240" w:lineRule="auto"/>
        <w:jc w:val="both"/>
        <w:rPr>
          <w:rFonts w:ascii="Arial" w:hAnsi="Arial" w:eastAsia="Times New Roman" w:cs="Arial"/>
          <w:bCs/>
          <w:color w:val="000000"/>
          <w:sz w:val="24"/>
          <w:szCs w:val="24"/>
          <w:shd w:val="clear" w:color="auto" w:fill="FFFFFF"/>
        </w:rPr>
      </w:pPr>
    </w:p>
    <w:p>
      <w:pPr>
        <w:spacing w:after="0" w:line="240" w:lineRule="auto"/>
        <w:ind w:left="1418"/>
        <w:rPr>
          <w:rFonts w:ascii="Arial" w:hAnsi="Arial" w:eastAsia="Times New Roman" w:cs="Arial"/>
          <w:color w:val="000000"/>
          <w:sz w:val="24"/>
          <w:szCs w:val="24"/>
          <w:shd w:val="clear" w:color="auto" w:fill="FFFFFF"/>
        </w:rPr>
      </w:pPr>
      <m:oMathPara>
        <m:oMath>
          <m:r>
            <m:rPr>
              <m:sty m:val="b"/>
            </m:rPr>
            <w:rPr>
              <w:rFonts w:ascii="Cambria Math" w:hAnsi="Cambria Math" w:eastAsia="Times New Roman" w:cs="Arial"/>
              <w:color w:val="000000"/>
              <w:sz w:val="24"/>
              <w:szCs w:val="24"/>
              <w:shd w:val="clear" w:color="auto" w:fill="FFFFFF"/>
            </w:rPr>
            <m:t>Broj bodova (R2)</m:t>
          </m:r>
          <m:r>
            <m:rPr/>
            <w:rPr>
              <w:rFonts w:ascii="Cambria Math" w:hAnsi="Cambria Math" w:eastAsia="Times New Roman" w:cs="Arial"/>
              <w:color w:val="000000"/>
              <w:sz w:val="24"/>
              <w:szCs w:val="24"/>
              <w:shd w:val="clear" w:color="auto" w:fill="FFFFFF"/>
            </w:rPr>
            <m:t>=</m:t>
          </m:r>
          <m:f>
            <m:fPr>
              <m:ctrlPr>
                <w:rPr>
                  <w:rFonts w:ascii="Cambria Math" w:hAnsi="Cambria Math" w:eastAsia="Times New Roman" w:cs="Arial"/>
                  <w:bCs/>
                  <w:i/>
                  <w:color w:val="000000"/>
                  <w:sz w:val="24"/>
                  <w:szCs w:val="24"/>
                  <w:shd w:val="clear" w:color="auto" w:fill="FFFFFF"/>
                </w:rPr>
              </m:ctrlPr>
            </m:fPr>
            <m:num>
              <m:r>
                <m:rPr>
                  <m:sty m:val="p"/>
                </m:rPr>
                <w:rPr>
                  <w:rFonts w:ascii="Cambria Math" w:hAnsi="Cambria Math" w:eastAsia="Times New Roman" w:cs="Arial"/>
                  <w:color w:val="000000"/>
                  <w:sz w:val="24"/>
                  <w:szCs w:val="24"/>
                  <w:shd w:val="clear" w:color="auto" w:fill="FFFFFF"/>
                </w:rPr>
                <m:t xml:space="preserve">broj potvrdjenih referenci </m:t>
              </m:r>
              <m:ctrlPr>
                <w:rPr>
                  <w:rFonts w:ascii="Cambria Math" w:hAnsi="Cambria Math" w:eastAsia="Times New Roman" w:cs="Arial"/>
                  <w:bCs/>
                  <w:i/>
                  <w:color w:val="000000"/>
                  <w:sz w:val="24"/>
                  <w:szCs w:val="24"/>
                  <w:shd w:val="clear" w:color="auto" w:fill="FFFFFF"/>
                </w:rPr>
              </m:ctrlPr>
            </m:num>
            <m:den>
              <m:r>
                <m:rPr>
                  <m:sty m:val="p"/>
                </m:rPr>
                <w:rPr>
                  <w:rFonts w:ascii="Cambria Math" w:hAnsi="Cambria Math" w:eastAsia="Times New Roman" w:cs="Arial"/>
                  <w:color w:val="000000"/>
                  <w:sz w:val="24"/>
                  <w:szCs w:val="24"/>
                  <w:shd w:val="clear" w:color="auto" w:fill="FFFFFF"/>
                </w:rPr>
                <m:t>najveći broj potvrdjenih referenci</m:t>
              </m:r>
              <m:ctrlPr>
                <w:rPr>
                  <w:rFonts w:ascii="Cambria Math" w:hAnsi="Cambria Math" w:eastAsia="Times New Roman" w:cs="Arial"/>
                  <w:bCs/>
                  <w:i/>
                  <w:color w:val="000000"/>
                  <w:sz w:val="24"/>
                  <w:szCs w:val="24"/>
                  <w:shd w:val="clear" w:color="auto" w:fill="FFFFFF"/>
                </w:rPr>
              </m:ctrlPr>
            </m:den>
          </m:f>
          <m:r>
            <m:rPr/>
            <w:rPr>
              <w:rFonts w:ascii="Cambria Math" w:hAnsi="Cambria Math" w:eastAsia="Times New Roman" w:cs="Arial"/>
              <w:color w:val="000000"/>
              <w:sz w:val="24"/>
              <w:szCs w:val="24"/>
              <w:shd w:val="clear" w:color="auto" w:fill="FFFFFF"/>
            </w:rPr>
            <m:t>×10</m:t>
          </m:r>
        </m:oMath>
      </m:oMathPara>
    </w:p>
    <w:p>
      <w:pPr>
        <w:spacing w:after="0" w:line="240" w:lineRule="auto"/>
        <w:ind w:left="1418"/>
        <w:rPr>
          <w:rFonts w:ascii="Arial" w:hAnsi="Arial" w:eastAsia="Times New Roman" w:cs="Arial"/>
          <w:color w:val="000000"/>
          <w:sz w:val="24"/>
          <w:szCs w:val="24"/>
          <w:shd w:val="clear" w:color="auto" w:fill="FFFFFF"/>
        </w:rPr>
      </w:pPr>
    </w:p>
    <w:p>
      <w:pPr>
        <w:numPr>
          <w:ilvl w:val="0"/>
          <w:numId w:val="7"/>
        </w:numPr>
        <w:spacing w:before="96" w:after="120" w:line="360" w:lineRule="atLeast"/>
        <w:contextualSpacing/>
        <w:jc w:val="both"/>
        <w:rPr>
          <w:rFonts w:ascii="Arial" w:hAnsi="Arial" w:eastAsia="Times New Roman" w:cs="Arial"/>
          <w:bCs/>
          <w:color w:val="000000"/>
          <w:sz w:val="24"/>
          <w:szCs w:val="24"/>
          <w:shd w:val="clear" w:color="auto" w:fill="FFFFFF"/>
        </w:rPr>
      </w:pPr>
      <w:r>
        <w:rPr>
          <w:rFonts w:ascii="Arial" w:hAnsi="Arial" w:eastAsia="Times New Roman" w:cs="Arial"/>
          <w:bCs/>
          <w:color w:val="000000"/>
          <w:sz w:val="24"/>
          <w:szCs w:val="24"/>
          <w:shd w:val="clear" w:color="auto" w:fill="FFFFFF"/>
        </w:rPr>
        <w:t xml:space="preserve">Princip vrednovanja R3 </w:t>
      </w:r>
      <w:r>
        <w:rPr>
          <w:rFonts w:ascii="Arial" w:hAnsi="Arial" w:eastAsia="Times New Roman" w:cs="Arial"/>
          <w:sz w:val="24"/>
          <w:szCs w:val="24"/>
        </w:rPr>
        <w:t>IT projektant</w:t>
      </w:r>
    </w:p>
    <w:p>
      <w:pPr>
        <w:spacing w:before="96" w:after="120" w:line="360" w:lineRule="atLeast"/>
        <w:jc w:val="both"/>
        <w:rPr>
          <w:rFonts w:ascii="Arial" w:hAnsi="Arial" w:eastAsia="Times New Roman" w:cs="Arial"/>
          <w:bCs/>
          <w:color w:val="000000"/>
          <w:sz w:val="24"/>
          <w:szCs w:val="24"/>
          <w:shd w:val="clear" w:color="auto" w:fill="FFFFFF"/>
        </w:rPr>
      </w:pPr>
      <w:r>
        <w:rPr>
          <w:rFonts w:ascii="Arial" w:hAnsi="Arial" w:eastAsia="Times New Roman" w:cs="Arial"/>
          <w:bCs/>
          <w:color w:val="000000"/>
          <w:sz w:val="24"/>
          <w:szCs w:val="24"/>
          <w:shd w:val="clear" w:color="auto" w:fill="FFFFFF"/>
        </w:rPr>
        <w:t xml:space="preserve">Za predloženog </w:t>
      </w:r>
      <w:r>
        <w:rPr>
          <w:rFonts w:ascii="Arial" w:hAnsi="Arial" w:eastAsia="Times New Roman" w:cs="Arial"/>
          <w:sz w:val="24"/>
          <w:szCs w:val="24"/>
        </w:rPr>
        <w:t>IT projektant</w:t>
      </w:r>
      <w:r>
        <w:rPr>
          <w:rFonts w:ascii="Arial" w:hAnsi="Arial" w:eastAsia="Times New Roman" w:cs="Arial"/>
          <w:bCs/>
          <w:color w:val="000000"/>
          <w:sz w:val="24"/>
          <w:szCs w:val="24"/>
          <w:shd w:val="clear" w:color="auto" w:fill="FFFFFF"/>
        </w:rPr>
        <w:t xml:space="preserve"> (</w:t>
      </w:r>
      <w:r>
        <w:rPr>
          <w:rFonts w:ascii="Arial" w:hAnsi="Arial" w:eastAsia="Calibri" w:cs="Arial"/>
          <w:sz w:val="24"/>
          <w:szCs w:val="24"/>
          <w:shd w:val="clear" w:color="auto" w:fill="FFFFFF"/>
        </w:rPr>
        <w:t>R</w:t>
      </w:r>
      <w:r>
        <w:rPr>
          <w:rFonts w:ascii="Arial" w:hAnsi="Arial" w:eastAsia="Calibri" w:cs="Arial"/>
          <w:sz w:val="24"/>
          <w:szCs w:val="24"/>
          <w:shd w:val="clear" w:color="auto" w:fill="FFFFFF"/>
          <w:lang w:val="sr-Latn-RS"/>
        </w:rPr>
        <w:t>3</w:t>
      </w:r>
      <w:r>
        <w:rPr>
          <w:rFonts w:ascii="Arial" w:hAnsi="Arial" w:eastAsia="Times New Roman" w:cs="Arial"/>
          <w:bCs/>
          <w:color w:val="000000"/>
          <w:sz w:val="24"/>
          <w:szCs w:val="24"/>
          <w:shd w:val="clear" w:color="auto" w:fill="FFFFFF"/>
        </w:rPr>
        <w:t xml:space="preserve">) uzeće se u razmatranje broj referenci na istim poslovima u kojima je lice bilo angažovano kao </w:t>
      </w:r>
      <w:r>
        <w:rPr>
          <w:rFonts w:ascii="Arial" w:hAnsi="Arial" w:eastAsia="Times New Roman" w:cs="Arial"/>
          <w:sz w:val="24"/>
          <w:szCs w:val="24"/>
        </w:rPr>
        <w:t>IT projektant</w:t>
      </w:r>
      <w:r>
        <w:rPr>
          <w:rFonts w:ascii="Arial" w:hAnsi="Arial" w:eastAsia="Times New Roman" w:cs="Arial"/>
          <w:bCs/>
          <w:color w:val="000000"/>
          <w:sz w:val="24"/>
          <w:szCs w:val="24"/>
          <w:shd w:val="clear" w:color="auto" w:fill="FFFFFF"/>
        </w:rPr>
        <w:t>.</w:t>
      </w:r>
    </w:p>
    <w:p>
      <w:pPr>
        <w:spacing w:after="0" w:line="240" w:lineRule="auto"/>
        <w:jc w:val="both"/>
        <w:rPr>
          <w:rFonts w:ascii="Arial" w:hAnsi="Arial" w:eastAsia="Times New Roman" w:cs="Arial"/>
          <w:bCs/>
          <w:color w:val="000000"/>
          <w:sz w:val="24"/>
          <w:szCs w:val="24"/>
          <w:shd w:val="clear" w:color="auto" w:fill="FFFFFF"/>
        </w:rPr>
      </w:pPr>
      <w:r>
        <w:rPr>
          <w:rFonts w:ascii="Arial" w:hAnsi="Arial" w:eastAsia="Times New Roman" w:cs="Arial"/>
          <w:bCs/>
          <w:color w:val="000000"/>
          <w:sz w:val="24"/>
          <w:szCs w:val="24"/>
          <w:shd w:val="clear" w:color="auto" w:fill="FFFFFF"/>
        </w:rPr>
        <w:t xml:space="preserve">Princip vrednovanja je sljedeći: </w:t>
      </w:r>
      <w:r>
        <w:rPr>
          <w:rFonts w:ascii="Arial" w:hAnsi="Arial" w:eastAsia="Times New Roman" w:cs="Arial"/>
          <w:sz w:val="24"/>
          <w:szCs w:val="24"/>
        </w:rPr>
        <w:t>IT projektant</w:t>
      </w:r>
      <w:r>
        <w:rPr>
          <w:rFonts w:ascii="Arial" w:hAnsi="Arial" w:eastAsia="Times New Roman" w:cs="Arial"/>
          <w:bCs/>
          <w:color w:val="000000"/>
          <w:sz w:val="24"/>
          <w:szCs w:val="24"/>
          <w:shd w:val="clear" w:color="auto" w:fill="FFFFFF"/>
        </w:rPr>
        <w:t xml:space="preserve"> koji ima najveći broj potvrđenih referenci dobija maksimalan broj bodova po ovom pod-parametru, a vrednovanje ostalih ponuđača izvršiće se na osnovu sljedeće formule:</w:t>
      </w:r>
    </w:p>
    <w:p>
      <w:pPr>
        <w:spacing w:after="0" w:line="240" w:lineRule="auto"/>
        <w:jc w:val="both"/>
        <w:rPr>
          <w:rFonts w:ascii="Arial" w:hAnsi="Arial" w:eastAsia="Times New Roman" w:cs="Arial"/>
          <w:bCs/>
          <w:color w:val="000000"/>
          <w:sz w:val="24"/>
          <w:szCs w:val="24"/>
          <w:shd w:val="clear" w:color="auto" w:fill="FFFFFF"/>
        </w:rPr>
      </w:pPr>
    </w:p>
    <w:p>
      <w:pPr>
        <w:spacing w:after="0" w:line="240" w:lineRule="auto"/>
        <w:ind w:left="1418"/>
        <w:rPr>
          <w:rFonts w:ascii="Arial" w:hAnsi="Arial" w:eastAsia="Times New Roman" w:cs="Arial"/>
          <w:color w:val="000000"/>
          <w:sz w:val="24"/>
          <w:szCs w:val="24"/>
          <w:shd w:val="clear" w:color="auto" w:fill="FFFFFF"/>
        </w:rPr>
      </w:pPr>
      <m:oMathPara>
        <m:oMath>
          <m:r>
            <m:rPr>
              <m:sty m:val="b"/>
            </m:rPr>
            <w:rPr>
              <w:rFonts w:ascii="Cambria Math" w:hAnsi="Cambria Math" w:eastAsia="Times New Roman" w:cs="Arial"/>
              <w:color w:val="000000"/>
              <w:sz w:val="24"/>
              <w:szCs w:val="24"/>
              <w:shd w:val="clear" w:color="auto" w:fill="FFFFFF"/>
            </w:rPr>
            <m:t>Broj bodova (R3)</m:t>
          </m:r>
          <m:r>
            <m:rPr/>
            <w:rPr>
              <w:rFonts w:ascii="Cambria Math" w:hAnsi="Cambria Math" w:eastAsia="Times New Roman" w:cs="Arial"/>
              <w:color w:val="000000"/>
              <w:sz w:val="24"/>
              <w:szCs w:val="24"/>
              <w:shd w:val="clear" w:color="auto" w:fill="FFFFFF"/>
            </w:rPr>
            <m:t>=</m:t>
          </m:r>
          <m:f>
            <m:fPr>
              <m:ctrlPr>
                <w:rPr>
                  <w:rFonts w:ascii="Cambria Math" w:hAnsi="Cambria Math" w:eastAsia="Times New Roman" w:cs="Arial"/>
                  <w:bCs/>
                  <w:i/>
                  <w:color w:val="000000"/>
                  <w:sz w:val="24"/>
                  <w:szCs w:val="24"/>
                  <w:shd w:val="clear" w:color="auto" w:fill="FFFFFF"/>
                </w:rPr>
              </m:ctrlPr>
            </m:fPr>
            <m:num>
              <m:r>
                <m:rPr>
                  <m:sty m:val="p"/>
                </m:rPr>
                <w:rPr>
                  <w:rFonts w:ascii="Cambria Math" w:hAnsi="Cambria Math" w:eastAsia="Times New Roman" w:cs="Arial"/>
                  <w:color w:val="000000"/>
                  <w:sz w:val="24"/>
                  <w:szCs w:val="24"/>
                  <w:shd w:val="clear" w:color="auto" w:fill="FFFFFF"/>
                </w:rPr>
                <m:t xml:space="preserve">broj potvrdjenih referenci </m:t>
              </m:r>
              <m:ctrlPr>
                <w:rPr>
                  <w:rFonts w:ascii="Cambria Math" w:hAnsi="Cambria Math" w:eastAsia="Times New Roman" w:cs="Arial"/>
                  <w:bCs/>
                  <w:i/>
                  <w:color w:val="000000"/>
                  <w:sz w:val="24"/>
                  <w:szCs w:val="24"/>
                  <w:shd w:val="clear" w:color="auto" w:fill="FFFFFF"/>
                </w:rPr>
              </m:ctrlPr>
            </m:num>
            <m:den>
              <m:r>
                <m:rPr>
                  <m:sty m:val="p"/>
                </m:rPr>
                <w:rPr>
                  <w:rFonts w:ascii="Cambria Math" w:hAnsi="Cambria Math" w:eastAsia="Times New Roman" w:cs="Arial"/>
                  <w:color w:val="000000"/>
                  <w:sz w:val="24"/>
                  <w:szCs w:val="24"/>
                  <w:shd w:val="clear" w:color="auto" w:fill="FFFFFF"/>
                </w:rPr>
                <m:t>najveći broj potvrdjenih referenci</m:t>
              </m:r>
              <m:ctrlPr>
                <w:rPr>
                  <w:rFonts w:ascii="Cambria Math" w:hAnsi="Cambria Math" w:eastAsia="Times New Roman" w:cs="Arial"/>
                  <w:bCs/>
                  <w:i/>
                  <w:color w:val="000000"/>
                  <w:sz w:val="24"/>
                  <w:szCs w:val="24"/>
                  <w:shd w:val="clear" w:color="auto" w:fill="FFFFFF"/>
                </w:rPr>
              </m:ctrlPr>
            </m:den>
          </m:f>
          <m:r>
            <m:rPr/>
            <w:rPr>
              <w:rFonts w:ascii="Cambria Math" w:hAnsi="Cambria Math" w:eastAsia="Times New Roman" w:cs="Arial"/>
              <w:color w:val="000000"/>
              <w:sz w:val="24"/>
              <w:szCs w:val="24"/>
              <w:shd w:val="clear" w:color="auto" w:fill="FFFFFF"/>
            </w:rPr>
            <m:t>×10</m:t>
          </m:r>
        </m:oMath>
      </m:oMathPara>
    </w:p>
    <w:p>
      <w:pPr>
        <w:spacing w:after="0" w:line="240" w:lineRule="auto"/>
        <w:ind w:left="1418"/>
        <w:rPr>
          <w:rFonts w:ascii="Arial" w:hAnsi="Arial" w:eastAsia="Times New Roman" w:cs="Arial"/>
          <w:color w:val="000000"/>
          <w:sz w:val="24"/>
          <w:szCs w:val="24"/>
          <w:shd w:val="clear" w:color="auto" w:fill="FFFFFF"/>
        </w:rPr>
      </w:pPr>
    </w:p>
    <w:p>
      <w:pPr>
        <w:numPr>
          <w:ilvl w:val="0"/>
          <w:numId w:val="7"/>
        </w:numPr>
        <w:spacing w:before="96" w:after="120" w:line="360" w:lineRule="atLeast"/>
        <w:contextualSpacing/>
        <w:jc w:val="both"/>
        <w:rPr>
          <w:rFonts w:ascii="Arial" w:hAnsi="Arial" w:eastAsia="Times New Roman" w:cs="Arial"/>
          <w:bCs/>
          <w:color w:val="000000"/>
          <w:sz w:val="24"/>
          <w:szCs w:val="24"/>
          <w:shd w:val="clear" w:color="auto" w:fill="FFFFFF"/>
        </w:rPr>
      </w:pPr>
      <w:r>
        <w:rPr>
          <w:rFonts w:ascii="Arial" w:hAnsi="Arial" w:eastAsia="Times New Roman" w:cs="Arial"/>
          <w:bCs/>
          <w:color w:val="000000"/>
          <w:sz w:val="24"/>
          <w:szCs w:val="24"/>
          <w:shd w:val="clear" w:color="auto" w:fill="FFFFFF"/>
        </w:rPr>
        <w:t xml:space="preserve">Princip vrednovanja R4 </w:t>
      </w:r>
      <w:r>
        <w:rPr>
          <w:rFonts w:ascii="Arial" w:hAnsi="Arial" w:eastAsia="Times New Roman" w:cs="Arial"/>
          <w:sz w:val="24"/>
          <w:szCs w:val="24"/>
        </w:rPr>
        <w:t>Sistem administrator za dizajn hardverske infrastructure, instalaciju, podešavanje i puštanje u rad hardverske infrastrukture – lice sa  sertifikatom - Microsoft Certified: DevOps Engineer Expert</w:t>
      </w:r>
      <w:r>
        <w:rPr>
          <w:rFonts w:ascii="Arial" w:hAnsi="Arial" w:eastAsia="Times New Roman" w:cs="Arial"/>
          <w:bCs/>
          <w:color w:val="000000"/>
          <w:sz w:val="24"/>
          <w:szCs w:val="24"/>
          <w:shd w:val="clear" w:color="auto" w:fill="FFFFFF"/>
        </w:rPr>
        <w:t>:</w:t>
      </w:r>
    </w:p>
    <w:p>
      <w:pPr>
        <w:spacing w:before="96" w:after="120" w:line="360" w:lineRule="atLeast"/>
        <w:jc w:val="both"/>
        <w:rPr>
          <w:rFonts w:ascii="Arial" w:hAnsi="Arial" w:eastAsia="Times New Roman" w:cs="Arial"/>
          <w:bCs/>
          <w:color w:val="000000"/>
          <w:sz w:val="24"/>
          <w:szCs w:val="24"/>
          <w:shd w:val="clear" w:color="auto" w:fill="FFFFFF"/>
        </w:rPr>
      </w:pPr>
      <w:r>
        <w:rPr>
          <w:rFonts w:ascii="Arial" w:hAnsi="Arial" w:eastAsia="Times New Roman" w:cs="Arial"/>
          <w:bCs/>
          <w:color w:val="000000"/>
          <w:sz w:val="24"/>
          <w:szCs w:val="24"/>
          <w:shd w:val="clear" w:color="auto" w:fill="FFFFFF"/>
        </w:rPr>
        <w:t xml:space="preserve">Za predloženog </w:t>
      </w:r>
      <w:r>
        <w:rPr>
          <w:rFonts w:ascii="Arial" w:hAnsi="Arial" w:eastAsia="Times New Roman" w:cs="Arial"/>
          <w:sz w:val="24"/>
          <w:szCs w:val="24"/>
        </w:rPr>
        <w:t>Sistem administrator za dizajn hardverske infrastructure, instalaciju, podešavanje i puštanje u rad hardverske infrastrukture – lice sa  sertifikatom - Microsoft Certified: DevOps Engineer Expert</w:t>
      </w:r>
      <w:r>
        <w:rPr>
          <w:rFonts w:ascii="Arial" w:hAnsi="Arial" w:eastAsia="Times New Roman" w:cs="Arial"/>
          <w:bCs/>
          <w:color w:val="000000"/>
          <w:sz w:val="24"/>
          <w:szCs w:val="24"/>
          <w:shd w:val="clear" w:color="auto" w:fill="FFFFFF"/>
        </w:rPr>
        <w:t xml:space="preserve"> (</w:t>
      </w:r>
      <w:r>
        <w:rPr>
          <w:rFonts w:ascii="Arial" w:hAnsi="Arial" w:eastAsia="Calibri" w:cs="Arial"/>
          <w:sz w:val="24"/>
          <w:szCs w:val="24"/>
          <w:shd w:val="clear" w:color="auto" w:fill="FFFFFF"/>
        </w:rPr>
        <w:t>R</w:t>
      </w:r>
      <w:r>
        <w:rPr>
          <w:rFonts w:ascii="Arial" w:hAnsi="Arial" w:eastAsia="Calibri" w:cs="Arial"/>
          <w:sz w:val="24"/>
          <w:szCs w:val="24"/>
          <w:shd w:val="clear" w:color="auto" w:fill="FFFFFF"/>
          <w:lang w:val="sr-Latn-RS"/>
        </w:rPr>
        <w:t>4</w:t>
      </w:r>
      <w:r>
        <w:rPr>
          <w:rFonts w:ascii="Arial" w:hAnsi="Arial" w:eastAsia="Times New Roman" w:cs="Arial"/>
          <w:bCs/>
          <w:color w:val="000000"/>
          <w:sz w:val="24"/>
          <w:szCs w:val="24"/>
          <w:shd w:val="clear" w:color="auto" w:fill="FFFFFF"/>
        </w:rPr>
        <w:t xml:space="preserve">) uzeće se u razmatranje broj referenci na istim poslovima u kojima je lice bilo angažovano kao </w:t>
      </w:r>
      <w:r>
        <w:rPr>
          <w:rFonts w:ascii="Arial" w:hAnsi="Arial" w:eastAsia="Times New Roman" w:cs="Arial"/>
          <w:sz w:val="24"/>
          <w:szCs w:val="24"/>
        </w:rPr>
        <w:t>Sistem administrator za dizajn hardverske infrastructure, instalaciju, podešavanje i puštanje u rad hardverske infrastrukture – lice sa  sertifikatom - Microsoft Certified: DevOps Engineer Expert</w:t>
      </w:r>
      <w:r>
        <w:rPr>
          <w:rFonts w:ascii="Arial" w:hAnsi="Arial" w:eastAsia="Times New Roman" w:cs="Arial"/>
          <w:bCs/>
          <w:color w:val="000000"/>
          <w:sz w:val="24"/>
          <w:szCs w:val="24"/>
          <w:shd w:val="clear" w:color="auto" w:fill="FFFFFF"/>
        </w:rPr>
        <w:t>.</w:t>
      </w:r>
    </w:p>
    <w:p>
      <w:pPr>
        <w:spacing w:after="0" w:line="240" w:lineRule="auto"/>
        <w:jc w:val="both"/>
        <w:rPr>
          <w:rFonts w:ascii="Arial" w:hAnsi="Arial" w:eastAsia="Times New Roman" w:cs="Arial"/>
          <w:bCs/>
          <w:color w:val="000000"/>
          <w:sz w:val="24"/>
          <w:szCs w:val="24"/>
          <w:shd w:val="clear" w:color="auto" w:fill="FFFFFF"/>
        </w:rPr>
      </w:pPr>
      <w:r>
        <w:rPr>
          <w:rFonts w:ascii="Arial" w:hAnsi="Arial" w:eastAsia="Times New Roman" w:cs="Arial"/>
          <w:bCs/>
          <w:color w:val="000000"/>
          <w:sz w:val="24"/>
          <w:szCs w:val="24"/>
          <w:shd w:val="clear" w:color="auto" w:fill="FFFFFF"/>
        </w:rPr>
        <w:t xml:space="preserve">Princip vrednovanja je sljedeći: </w:t>
      </w:r>
      <w:r>
        <w:rPr>
          <w:rFonts w:ascii="Arial" w:hAnsi="Arial" w:eastAsia="Times New Roman" w:cs="Arial"/>
          <w:sz w:val="24"/>
          <w:szCs w:val="24"/>
        </w:rPr>
        <w:t>Sistem administrator za dizajn hardverske infrastructure, instalaciju, podešavanje i puštanje u rad hardverske infrastrukture – lice sa  sertifikatom - Microsoft Certified: DevOps Engineer Expert</w:t>
      </w:r>
      <w:r>
        <w:rPr>
          <w:rFonts w:ascii="Arial" w:hAnsi="Arial" w:eastAsia="Times New Roman" w:cs="Arial"/>
          <w:bCs/>
          <w:color w:val="000000"/>
          <w:sz w:val="24"/>
          <w:szCs w:val="24"/>
          <w:shd w:val="clear" w:color="auto" w:fill="FFFFFF"/>
        </w:rPr>
        <w:t xml:space="preserve"> koji ima najveći broj potvrđenih referenci dobija maksimalan broj bodova po ovom pod-parametru, a vrednovanje ostalih ponuđača izvršiće se na osnovu sljedeće formule:</w:t>
      </w:r>
    </w:p>
    <w:p>
      <w:pPr>
        <w:spacing w:after="0" w:line="240" w:lineRule="auto"/>
        <w:jc w:val="both"/>
        <w:rPr>
          <w:rFonts w:ascii="Arial" w:hAnsi="Arial" w:eastAsia="Times New Roman" w:cs="Arial"/>
          <w:bCs/>
          <w:color w:val="000000"/>
          <w:sz w:val="24"/>
          <w:szCs w:val="24"/>
          <w:shd w:val="clear" w:color="auto" w:fill="FFFFFF"/>
        </w:rPr>
      </w:pPr>
    </w:p>
    <w:p>
      <w:pPr>
        <w:spacing w:after="0" w:line="240" w:lineRule="auto"/>
        <w:ind w:left="1418"/>
        <w:rPr>
          <w:rFonts w:ascii="Arial" w:hAnsi="Arial" w:eastAsia="Times New Roman" w:cs="Arial"/>
          <w:color w:val="000000"/>
          <w:sz w:val="24"/>
          <w:szCs w:val="24"/>
          <w:shd w:val="clear" w:color="auto" w:fill="FFFFFF"/>
        </w:rPr>
      </w:pPr>
      <m:oMathPara>
        <m:oMath>
          <m:r>
            <m:rPr>
              <m:sty m:val="b"/>
            </m:rPr>
            <w:rPr>
              <w:rFonts w:ascii="Cambria Math" w:hAnsi="Cambria Math" w:eastAsia="Times New Roman" w:cs="Arial"/>
              <w:color w:val="000000"/>
              <w:sz w:val="24"/>
              <w:szCs w:val="24"/>
              <w:shd w:val="clear" w:color="auto" w:fill="FFFFFF"/>
            </w:rPr>
            <m:t>Broj bodova (R4)</m:t>
          </m:r>
          <m:r>
            <m:rPr/>
            <w:rPr>
              <w:rFonts w:ascii="Cambria Math" w:hAnsi="Cambria Math" w:eastAsia="Times New Roman" w:cs="Arial"/>
              <w:color w:val="000000"/>
              <w:sz w:val="24"/>
              <w:szCs w:val="24"/>
              <w:shd w:val="clear" w:color="auto" w:fill="FFFFFF"/>
            </w:rPr>
            <m:t>=</m:t>
          </m:r>
          <m:f>
            <m:fPr>
              <m:ctrlPr>
                <w:rPr>
                  <w:rFonts w:ascii="Cambria Math" w:hAnsi="Cambria Math" w:eastAsia="Times New Roman" w:cs="Arial"/>
                  <w:bCs/>
                  <w:i/>
                  <w:color w:val="000000"/>
                  <w:sz w:val="24"/>
                  <w:szCs w:val="24"/>
                  <w:shd w:val="clear" w:color="auto" w:fill="FFFFFF"/>
                </w:rPr>
              </m:ctrlPr>
            </m:fPr>
            <m:num>
              <m:r>
                <m:rPr>
                  <m:sty m:val="p"/>
                </m:rPr>
                <w:rPr>
                  <w:rFonts w:ascii="Cambria Math" w:hAnsi="Cambria Math" w:eastAsia="Times New Roman" w:cs="Arial"/>
                  <w:color w:val="000000"/>
                  <w:sz w:val="24"/>
                  <w:szCs w:val="24"/>
                  <w:shd w:val="clear" w:color="auto" w:fill="FFFFFF"/>
                </w:rPr>
                <m:t xml:space="preserve">broj potvrdjenih referenci </m:t>
              </m:r>
              <m:ctrlPr>
                <w:rPr>
                  <w:rFonts w:ascii="Cambria Math" w:hAnsi="Cambria Math" w:eastAsia="Times New Roman" w:cs="Arial"/>
                  <w:bCs/>
                  <w:i/>
                  <w:color w:val="000000"/>
                  <w:sz w:val="24"/>
                  <w:szCs w:val="24"/>
                  <w:shd w:val="clear" w:color="auto" w:fill="FFFFFF"/>
                </w:rPr>
              </m:ctrlPr>
            </m:num>
            <m:den>
              <m:r>
                <m:rPr>
                  <m:sty m:val="p"/>
                </m:rPr>
                <w:rPr>
                  <w:rFonts w:ascii="Cambria Math" w:hAnsi="Cambria Math" w:eastAsia="Times New Roman" w:cs="Arial"/>
                  <w:color w:val="000000"/>
                  <w:sz w:val="24"/>
                  <w:szCs w:val="24"/>
                  <w:shd w:val="clear" w:color="auto" w:fill="FFFFFF"/>
                </w:rPr>
                <m:t>najveći broj potvrdjenih referenci</m:t>
              </m:r>
              <m:ctrlPr>
                <w:rPr>
                  <w:rFonts w:ascii="Cambria Math" w:hAnsi="Cambria Math" w:eastAsia="Times New Roman" w:cs="Arial"/>
                  <w:bCs/>
                  <w:i/>
                  <w:color w:val="000000"/>
                  <w:sz w:val="24"/>
                  <w:szCs w:val="24"/>
                  <w:shd w:val="clear" w:color="auto" w:fill="FFFFFF"/>
                </w:rPr>
              </m:ctrlPr>
            </m:den>
          </m:f>
          <m:r>
            <m:rPr/>
            <w:rPr>
              <w:rFonts w:ascii="Cambria Math" w:hAnsi="Cambria Math" w:eastAsia="Times New Roman" w:cs="Arial"/>
              <w:color w:val="000000"/>
              <w:sz w:val="24"/>
              <w:szCs w:val="24"/>
              <w:shd w:val="clear" w:color="auto" w:fill="FFFFFF"/>
            </w:rPr>
            <m:t>×5</m:t>
          </m:r>
        </m:oMath>
      </m:oMathPara>
    </w:p>
    <w:p>
      <w:pPr>
        <w:spacing w:after="0" w:line="240" w:lineRule="auto"/>
        <w:ind w:left="1418"/>
        <w:rPr>
          <w:rFonts w:ascii="Arial" w:hAnsi="Arial" w:eastAsia="Times New Roman" w:cs="Arial"/>
          <w:color w:val="000000"/>
          <w:sz w:val="24"/>
          <w:szCs w:val="24"/>
          <w:shd w:val="clear" w:color="auto" w:fill="FFFFFF"/>
        </w:rPr>
      </w:pPr>
    </w:p>
    <w:p>
      <w:pPr>
        <w:spacing w:after="0" w:line="240" w:lineRule="auto"/>
        <w:rPr>
          <w:rFonts w:ascii="Arial" w:hAnsi="Arial" w:eastAsia="Times New Roman" w:cs="Arial"/>
          <w:bCs/>
          <w:color w:val="000000"/>
          <w:sz w:val="24"/>
          <w:szCs w:val="24"/>
          <w:shd w:val="clear" w:color="auto" w:fill="FFFFFF"/>
        </w:rPr>
      </w:pPr>
    </w:p>
    <w:p>
      <w:pPr>
        <w:pStyle w:val="9"/>
        <w:numPr>
          <w:ilvl w:val="0"/>
          <w:numId w:val="7"/>
        </w:numPr>
        <w:spacing w:after="0" w:line="240" w:lineRule="auto"/>
        <w:rPr>
          <w:rFonts w:ascii="Arial" w:hAnsi="Arial" w:eastAsia="Times New Roman" w:cs="Arial"/>
          <w:bCs/>
          <w:color w:val="000000"/>
          <w:sz w:val="24"/>
          <w:szCs w:val="24"/>
          <w:shd w:val="clear" w:color="auto" w:fill="FFFFFF"/>
        </w:rPr>
      </w:pPr>
      <w:r>
        <w:rPr>
          <w:rFonts w:ascii="Arial" w:hAnsi="Arial" w:eastAsia="Times New Roman" w:cs="Arial"/>
          <w:color w:val="000000" w:themeColor="text1"/>
          <w:sz w:val="24"/>
          <w:szCs w:val="24"/>
          <w14:textFill>
            <w14:solidFill>
              <w14:schemeClr w14:val="tx1"/>
            </w14:solidFill>
          </w14:textFill>
        </w:rPr>
        <w:t>Takodje odredjen broj bodova dodijeliće se i ponudjačima na osnovu ponudjenih sati razvoja sistema.</w:t>
      </w:r>
    </w:p>
    <w:p>
      <w:pPr>
        <w:pStyle w:val="9"/>
        <w:spacing w:after="0" w:line="240" w:lineRule="auto"/>
        <w:rPr>
          <w:rFonts w:ascii="Arial" w:hAnsi="Arial" w:eastAsia="Times New Roman" w:cs="Arial"/>
          <w:bCs/>
          <w:color w:val="000000"/>
          <w:sz w:val="24"/>
          <w:szCs w:val="24"/>
          <w:shd w:val="clear" w:color="auto" w:fill="FFFFFF"/>
        </w:rPr>
      </w:pPr>
      <w:r>
        <w:rPr>
          <w:rFonts w:ascii="Arial" w:hAnsi="Arial" w:eastAsia="Times New Roman" w:cs="Arial"/>
          <w:color w:val="000000" w:themeColor="text1"/>
          <w:sz w:val="24"/>
          <w:szCs w:val="24"/>
          <w14:textFill>
            <w14:solidFill>
              <w14:schemeClr w14:val="tx1"/>
            </w14:solidFill>
          </w14:textFill>
        </w:rPr>
        <w:t xml:space="preserve">Princip vrednovanja </w:t>
      </w:r>
      <w:r>
        <w:rPr>
          <w:rFonts w:ascii="Arial" w:hAnsi="Arial" w:eastAsia="Times New Roman" w:cs="Arial"/>
          <w:b/>
          <w:color w:val="000000" w:themeColor="text1"/>
          <w:sz w:val="24"/>
          <w:szCs w:val="24"/>
          <w14:textFill>
            <w14:solidFill>
              <w14:schemeClr w14:val="tx1"/>
            </w14:solidFill>
          </w14:textFill>
        </w:rPr>
        <w:t>S</w:t>
      </w:r>
      <w:r>
        <w:rPr>
          <w:rFonts w:ascii="Arial" w:hAnsi="Arial" w:eastAsia="Times New Roman" w:cs="Arial"/>
          <w:color w:val="000000" w:themeColor="text1"/>
          <w:sz w:val="24"/>
          <w:szCs w:val="24"/>
          <w14:textFill>
            <w14:solidFill>
              <w14:schemeClr w14:val="tx1"/>
            </w14:solidFill>
          </w14:textFill>
        </w:rPr>
        <w:t xml:space="preserve"> - </w:t>
      </w:r>
      <w:r>
        <w:rPr>
          <w:rFonts w:ascii="Arial" w:hAnsi="Arial" w:eastAsia="Times New Roman" w:cs="Arial"/>
          <w:bCs/>
          <w:color w:val="000000"/>
          <w:sz w:val="24"/>
          <w:szCs w:val="24"/>
          <w:shd w:val="clear" w:color="auto" w:fill="FFFFFF"/>
        </w:rPr>
        <w:t xml:space="preserve">ponudjen broj sati razvoja (minimum koji je odredio naručilac je  </w:t>
      </w:r>
      <w:r>
        <w:rPr>
          <w:rFonts w:ascii="Arial" w:hAnsi="Arial" w:eastAsia="Times New Roman" w:cs="Arial"/>
          <w:bCs/>
          <w:color w:val="000000"/>
          <w:sz w:val="24"/>
          <w:szCs w:val="24"/>
          <w:shd w:val="clear" w:color="auto" w:fill="FFFFFF"/>
          <w:lang w:val="sr-Latn-RS"/>
        </w:rPr>
        <w:t>5</w:t>
      </w:r>
      <w:r>
        <w:rPr>
          <w:rFonts w:ascii="Arial" w:hAnsi="Arial" w:eastAsia="Times New Roman" w:cs="Arial"/>
          <w:bCs/>
          <w:color w:val="000000"/>
          <w:sz w:val="24"/>
          <w:szCs w:val="24"/>
          <w:shd w:val="clear" w:color="auto" w:fill="FFFFFF"/>
        </w:rPr>
        <w:t xml:space="preserve">00 sati razvoja sistema) </w:t>
      </w:r>
    </w:p>
    <w:p>
      <w:pPr>
        <w:spacing w:after="0" w:line="240" w:lineRule="auto"/>
        <w:jc w:val="both"/>
        <w:rPr>
          <w:rFonts w:ascii="Arial" w:hAnsi="Arial" w:eastAsia="Times New Roman" w:cs="Arial"/>
          <w:bCs/>
          <w:color w:val="000000"/>
          <w:sz w:val="24"/>
          <w:szCs w:val="24"/>
          <w:shd w:val="clear" w:color="auto" w:fill="FFFFFF"/>
        </w:rPr>
      </w:pPr>
      <w:r>
        <w:rPr>
          <w:rFonts w:ascii="Arial" w:hAnsi="Arial" w:eastAsia="Times New Roman" w:cs="Arial"/>
          <w:bCs/>
          <w:color w:val="000000"/>
          <w:sz w:val="24"/>
          <w:szCs w:val="24"/>
          <w:shd w:val="clear" w:color="auto" w:fill="FFFFFF"/>
        </w:rPr>
        <w:t xml:space="preserve">Princip vrednovanja je sljedeći: </w:t>
      </w:r>
      <w:r>
        <w:rPr>
          <w:rFonts w:ascii="Arial" w:hAnsi="Arial" w:eastAsia="Times New Roman" w:cs="Arial"/>
          <w:sz w:val="24"/>
          <w:szCs w:val="24"/>
        </w:rPr>
        <w:t>Ponuda</w:t>
      </w:r>
      <w:r>
        <w:rPr>
          <w:rFonts w:ascii="Arial" w:hAnsi="Arial" w:eastAsia="Times New Roman" w:cs="Arial"/>
          <w:bCs/>
          <w:color w:val="000000"/>
          <w:sz w:val="24"/>
          <w:szCs w:val="24"/>
          <w:shd w:val="clear" w:color="auto" w:fill="FFFFFF"/>
        </w:rPr>
        <w:t xml:space="preserve"> koja ima najveći broj ponuđenih sati razvoja sistema dobija maksimalan broj bodova po ovom pod-parametru, a vrednovanje ostalih ponuđača izvršiće se na osnovu sljedeće formule:</w:t>
      </w:r>
    </w:p>
    <w:p>
      <w:pPr>
        <w:spacing w:after="0" w:line="240" w:lineRule="auto"/>
        <w:rPr>
          <w:rFonts w:ascii="Arial" w:hAnsi="Arial" w:eastAsia="Times New Roman" w:cs="Arial"/>
          <w:bCs/>
          <w:color w:val="000000"/>
          <w:sz w:val="24"/>
          <w:szCs w:val="24"/>
          <w:shd w:val="clear" w:color="auto" w:fill="FFFFFF"/>
        </w:rPr>
      </w:pPr>
    </w:p>
    <w:p>
      <w:pPr>
        <w:spacing w:after="0" w:line="240" w:lineRule="auto"/>
        <w:ind w:left="1418"/>
        <w:rPr>
          <w:rFonts w:ascii="Arial" w:hAnsi="Arial" w:eastAsia="Times New Roman" w:cs="Arial"/>
          <w:color w:val="000000"/>
          <w:sz w:val="24"/>
          <w:szCs w:val="24"/>
          <w:shd w:val="clear" w:color="auto" w:fill="FFFFFF"/>
        </w:rPr>
      </w:pPr>
      <m:oMathPara>
        <m:oMath>
          <m:r>
            <m:rPr>
              <m:sty m:val="b"/>
            </m:rPr>
            <w:rPr>
              <w:rFonts w:ascii="Cambria Math" w:hAnsi="Cambria Math" w:eastAsia="Times New Roman" w:cs="Arial"/>
              <w:color w:val="000000"/>
              <w:sz w:val="24"/>
              <w:szCs w:val="24"/>
              <w:shd w:val="clear" w:color="auto" w:fill="FFFFFF"/>
            </w:rPr>
            <m:t>Broj bodova (S)</m:t>
          </m:r>
          <m:r>
            <m:rPr/>
            <w:rPr>
              <w:rFonts w:ascii="Cambria Math" w:hAnsi="Cambria Math" w:eastAsia="Times New Roman" w:cs="Arial"/>
              <w:color w:val="000000"/>
              <w:sz w:val="24"/>
              <w:szCs w:val="24"/>
              <w:shd w:val="clear" w:color="auto" w:fill="FFFFFF"/>
            </w:rPr>
            <m:t>=</m:t>
          </m:r>
          <m:f>
            <m:fPr>
              <m:ctrlPr>
                <w:rPr>
                  <w:rFonts w:ascii="Cambria Math" w:hAnsi="Cambria Math" w:eastAsia="Times New Roman" w:cs="Arial"/>
                  <w:bCs/>
                  <w:i/>
                  <w:color w:val="000000"/>
                  <w:sz w:val="24"/>
                  <w:szCs w:val="24"/>
                  <w:shd w:val="clear" w:color="auto" w:fill="FFFFFF"/>
                </w:rPr>
              </m:ctrlPr>
            </m:fPr>
            <m:num>
              <m:r>
                <m:rPr>
                  <m:sty m:val="p"/>
                </m:rPr>
                <w:rPr>
                  <w:rFonts w:ascii="Cambria Math" w:hAnsi="Cambria Math" w:eastAsia="Times New Roman" w:cs="Arial"/>
                  <w:color w:val="000000"/>
                  <w:sz w:val="24"/>
                  <w:szCs w:val="24"/>
                  <w:shd w:val="clear" w:color="auto" w:fill="FFFFFF"/>
                </w:rPr>
                <m:t>broj ponuđenih sati razvoja</m:t>
              </m:r>
              <m:ctrlPr>
                <w:rPr>
                  <w:rFonts w:ascii="Cambria Math" w:hAnsi="Cambria Math" w:eastAsia="Times New Roman" w:cs="Arial"/>
                  <w:bCs/>
                  <w:i/>
                  <w:color w:val="000000"/>
                  <w:sz w:val="24"/>
                  <w:szCs w:val="24"/>
                  <w:shd w:val="clear" w:color="auto" w:fill="FFFFFF"/>
                </w:rPr>
              </m:ctrlPr>
            </m:num>
            <m:den>
              <m:r>
                <m:rPr>
                  <m:sty m:val="p"/>
                </m:rPr>
                <w:rPr>
                  <w:rFonts w:ascii="Cambria Math" w:hAnsi="Cambria Math" w:eastAsia="Times New Roman" w:cs="Arial"/>
                  <w:color w:val="000000"/>
                  <w:sz w:val="24"/>
                  <w:szCs w:val="24"/>
                  <w:shd w:val="clear" w:color="auto" w:fill="FFFFFF"/>
                </w:rPr>
                <m:t>najveći broj ponuđenih sati razvoja</m:t>
              </m:r>
              <m:ctrlPr>
                <w:rPr>
                  <w:rFonts w:ascii="Cambria Math" w:hAnsi="Cambria Math" w:eastAsia="Times New Roman" w:cs="Arial"/>
                  <w:bCs/>
                  <w:i/>
                  <w:color w:val="000000"/>
                  <w:sz w:val="24"/>
                  <w:szCs w:val="24"/>
                  <w:shd w:val="clear" w:color="auto" w:fill="FFFFFF"/>
                </w:rPr>
              </m:ctrlPr>
            </m:den>
          </m:f>
          <m:r>
            <m:rPr/>
            <w:rPr>
              <w:rFonts w:ascii="Cambria Math" w:hAnsi="Cambria Math" w:eastAsia="Times New Roman" w:cs="Arial"/>
              <w:color w:val="000000"/>
              <w:sz w:val="24"/>
              <w:szCs w:val="24"/>
              <w:shd w:val="clear" w:color="auto" w:fill="FFFFFF"/>
            </w:rPr>
            <m:t>×10</m:t>
          </m:r>
        </m:oMath>
      </m:oMathPara>
    </w:p>
    <w:p>
      <w:pPr>
        <w:spacing w:after="0" w:line="240" w:lineRule="auto"/>
        <w:rPr>
          <w:rFonts w:ascii="Arial" w:hAnsi="Arial" w:eastAsia="Times New Roman" w:cs="Arial"/>
          <w:bCs/>
          <w:color w:val="000000"/>
          <w:sz w:val="24"/>
          <w:szCs w:val="24"/>
          <w:shd w:val="clear" w:color="auto" w:fill="FFFFFF"/>
        </w:rPr>
      </w:pPr>
    </w:p>
    <w:p>
      <w:pPr>
        <w:spacing w:after="0" w:line="240" w:lineRule="auto"/>
        <w:rPr>
          <w:rFonts w:ascii="Arial" w:hAnsi="Arial" w:eastAsia="Times New Roman" w:cs="Arial"/>
          <w:bCs/>
          <w:color w:val="000000"/>
          <w:sz w:val="24"/>
          <w:szCs w:val="24"/>
          <w:shd w:val="clear" w:color="auto" w:fill="FFFFFF"/>
        </w:rPr>
      </w:pPr>
    </w:p>
    <w:p>
      <w:pPr>
        <w:spacing w:after="0" w:line="240" w:lineRule="auto"/>
        <w:rPr>
          <w:rFonts w:ascii="Arial" w:hAnsi="Arial" w:eastAsia="Times New Roman" w:cs="Arial"/>
          <w:bCs/>
          <w:color w:val="000000"/>
          <w:sz w:val="24"/>
          <w:szCs w:val="24"/>
          <w:shd w:val="clear" w:color="auto" w:fill="FFFFFF"/>
        </w:rPr>
      </w:pPr>
      <w:r>
        <w:rPr>
          <w:rFonts w:ascii="Arial" w:hAnsi="Arial" w:eastAsia="Times New Roman" w:cs="Arial"/>
          <w:bCs/>
          <w:color w:val="000000"/>
          <w:sz w:val="24"/>
          <w:szCs w:val="24"/>
          <w:shd w:val="clear" w:color="auto" w:fill="FFFFFF"/>
        </w:rPr>
        <w:t>Napomena: Vrednovanje će se vršiti iznad predviđenih minimalnih zahtjeva stručne i tehničke osposobljenosti.</w:t>
      </w:r>
    </w:p>
    <w:p>
      <w:pPr>
        <w:spacing w:after="0" w:line="240" w:lineRule="auto"/>
        <w:rPr>
          <w:rFonts w:ascii="Arial" w:hAnsi="Arial" w:eastAsia="Times New Roman" w:cs="Arial"/>
          <w:b/>
          <w:bCs/>
          <w:color w:val="000000"/>
          <w:sz w:val="24"/>
          <w:szCs w:val="24"/>
          <w:shd w:val="clear" w:color="auto" w:fill="FFFFFF"/>
        </w:rPr>
      </w:pPr>
    </w:p>
    <w:p>
      <w:pPr>
        <w:spacing w:after="0" w:line="240" w:lineRule="auto"/>
        <w:rPr>
          <w:rFonts w:ascii="Arial" w:hAnsi="Arial" w:eastAsia="Times New Roman" w:cs="Arial"/>
          <w:b/>
          <w:bCs/>
          <w:color w:val="000000"/>
          <w:sz w:val="24"/>
          <w:szCs w:val="24"/>
          <w:shd w:val="clear" w:color="auto" w:fill="FFFFFF"/>
        </w:rPr>
      </w:pPr>
      <w:r>
        <w:rPr>
          <w:rFonts w:ascii="Arial" w:hAnsi="Arial" w:eastAsia="Times New Roman" w:cs="Arial"/>
          <w:b/>
          <w:bCs/>
          <w:color w:val="000000"/>
          <w:sz w:val="24"/>
          <w:szCs w:val="24"/>
          <w:shd w:val="clear" w:color="auto" w:fill="FFFFFF"/>
        </w:rPr>
        <w:t>UKUPAN BROJ BODOVA= C+R+S</w:t>
      </w:r>
    </w:p>
    <w:p>
      <w:pPr>
        <w:spacing w:after="0" w:line="240" w:lineRule="auto"/>
        <w:jc w:val="both"/>
        <w:rPr>
          <w:rFonts w:ascii="Arial" w:hAnsi="Arial" w:eastAsia="Times New Roman" w:cs="Arial"/>
          <w:sz w:val="24"/>
          <w:szCs w:val="24"/>
        </w:rPr>
      </w:pPr>
    </w:p>
    <w:p>
      <w:pPr>
        <w:jc w:val="both"/>
        <w:rPr>
          <w:rFonts w:ascii="Arial" w:hAnsi="Arial" w:cs="Arial"/>
          <w:color w:val="000000"/>
          <w:sz w:val="24"/>
          <w:szCs w:val="24"/>
        </w:rPr>
      </w:pPr>
    </w:p>
    <w:p>
      <w:pPr>
        <w:keepNext/>
        <w:keepLines/>
        <w:numPr>
          <w:ilvl w:val="0"/>
          <w:numId w:val="8"/>
        </w:numPr>
        <w:pBdr>
          <w:top w:val="single" w:color="auto" w:sz="4" w:space="1"/>
          <w:left w:val="single" w:color="auto" w:sz="4" w:space="4"/>
          <w:bottom w:val="single" w:color="auto" w:sz="4" w:space="1"/>
          <w:right w:val="single" w:color="auto" w:sz="4" w:space="4"/>
        </w:pBdr>
        <w:shd w:val="clear" w:color="auto" w:fill="D9D9D9"/>
        <w:spacing w:before="240"/>
        <w:outlineLvl w:val="0"/>
        <w:rPr>
          <w:rFonts w:ascii="Arial" w:hAnsi="Arial" w:cs="Arial"/>
          <w:b/>
          <w:sz w:val="24"/>
          <w:szCs w:val="24"/>
        </w:rPr>
      </w:pPr>
      <w:bookmarkStart w:id="7" w:name="_Toc62730560"/>
      <w:r>
        <w:rPr>
          <w:rFonts w:ascii="Arial" w:hAnsi="Arial" w:cs="Arial"/>
          <w:b/>
          <w:sz w:val="24"/>
          <w:szCs w:val="24"/>
        </w:rPr>
        <w:t>JEZIK PONUDE</w:t>
      </w:r>
      <w:bookmarkEnd w:id="7"/>
    </w:p>
    <w:p>
      <w:pPr>
        <w:jc w:val="both"/>
        <w:rPr>
          <w:rFonts w:ascii="Arial" w:hAnsi="Arial" w:cs="Arial"/>
          <w:b/>
          <w:bCs/>
          <w:color w:val="000000"/>
          <w:sz w:val="24"/>
          <w:szCs w:val="24"/>
        </w:rPr>
      </w:pPr>
    </w:p>
    <w:p>
      <w:pPr>
        <w:jc w:val="both"/>
        <w:rPr>
          <w:rFonts w:ascii="Arial" w:hAnsi="Arial" w:cs="Arial"/>
          <w:b/>
          <w:bCs/>
          <w:color w:val="000000"/>
          <w:sz w:val="24"/>
          <w:szCs w:val="24"/>
        </w:rPr>
      </w:pPr>
      <w:r>
        <w:rPr>
          <w:rFonts w:ascii="Arial" w:hAnsi="Arial" w:cs="Arial"/>
          <w:color w:val="000000"/>
          <w:sz w:val="24"/>
          <w:szCs w:val="24"/>
        </w:rPr>
        <w:t>Ponuda se sačinjava na:</w:t>
      </w:r>
    </w:p>
    <w:p>
      <w:pPr>
        <w:spacing w:after="0" w:line="240" w:lineRule="auto"/>
        <w:jc w:val="both"/>
        <w:rPr>
          <w:rFonts w:ascii="Arial" w:hAnsi="Arial" w:eastAsia="Times New Roman" w:cs="Arial"/>
          <w:color w:val="000000"/>
          <w:sz w:val="24"/>
          <w:szCs w:val="24"/>
        </w:rPr>
      </w:pPr>
      <w:r>
        <w:rPr>
          <w:rFonts w:ascii="Arial" w:hAnsi="Arial" w:eastAsia="Times New Roman" w:cs="Arial"/>
          <w:color w:val="000000"/>
          <w:sz w:val="24"/>
          <w:szCs w:val="24"/>
        </w:rPr>
        <w:sym w:font="Wingdings" w:char="F0A8"/>
      </w:r>
      <w:r>
        <w:rPr>
          <w:rFonts w:ascii="Arial" w:hAnsi="Arial" w:eastAsia="Times New Roman" w:cs="Arial"/>
          <w:color w:val="000000"/>
          <w:sz w:val="24"/>
          <w:szCs w:val="24"/>
        </w:rPr>
        <w:t xml:space="preserve"> crnogorski jezik i drugi jezik koji je u službenoj upotrebi u Crnoj Gori, u skladu sa Ustavom i zakonom</w:t>
      </w:r>
    </w:p>
    <w:p>
      <w:pPr>
        <w:spacing w:after="0" w:line="240" w:lineRule="auto"/>
        <w:jc w:val="both"/>
        <w:rPr>
          <w:rFonts w:ascii="Arial" w:hAnsi="Arial" w:eastAsia="Times New Roman" w:cs="Arial"/>
          <w:color w:val="000000"/>
          <w:sz w:val="24"/>
          <w:szCs w:val="24"/>
        </w:rPr>
      </w:pPr>
    </w:p>
    <w:p>
      <w:pPr>
        <w:spacing w:after="0" w:line="240" w:lineRule="auto"/>
        <w:jc w:val="both"/>
        <w:rPr>
          <w:rFonts w:ascii="Arial" w:hAnsi="Arial" w:eastAsia="Times New Roman" w:cs="Arial"/>
          <w:color w:val="000000"/>
          <w:sz w:val="24"/>
          <w:szCs w:val="24"/>
        </w:rPr>
      </w:pPr>
      <w:r>
        <w:rPr>
          <w:rFonts w:ascii="Arial" w:hAnsi="Arial" w:eastAsia="Times New Roman" w:cs="Arial"/>
          <w:color w:val="000000"/>
          <w:sz w:val="24"/>
          <w:szCs w:val="24"/>
        </w:rPr>
        <w:sym w:font="Wingdings" w:char="F0A8"/>
      </w:r>
      <w:r>
        <w:rPr>
          <w:rFonts w:ascii="Arial" w:hAnsi="Arial" w:eastAsia="Times New Roman" w:cs="Arial"/>
          <w:color w:val="000000"/>
          <w:sz w:val="24"/>
          <w:szCs w:val="24"/>
        </w:rPr>
        <w:t xml:space="preserve"> </w:t>
      </w:r>
      <w:r>
        <w:rPr>
          <w:rFonts w:ascii="Arial" w:hAnsi="Arial" w:eastAsia="Times New Roman" w:cs="Arial"/>
          <w:color w:val="000000"/>
          <w:sz w:val="24"/>
          <w:szCs w:val="24"/>
          <w:u w:val="single"/>
        </w:rPr>
        <w:t xml:space="preserve">engleski </w:t>
      </w:r>
      <w:r>
        <w:rPr>
          <w:rFonts w:ascii="Arial" w:hAnsi="Arial" w:eastAsia="Times New Roman" w:cs="Arial"/>
          <w:color w:val="000000"/>
          <w:sz w:val="24"/>
          <w:szCs w:val="24"/>
        </w:rPr>
        <w:t xml:space="preserve"> jezik za djelove ponude koji se odnose na </w:t>
      </w:r>
      <w:r>
        <w:rPr>
          <w:rFonts w:ascii="Arial" w:hAnsi="Arial" w:eastAsia="Calibri" w:cs="Arial"/>
          <w:color w:val="000000"/>
          <w:sz w:val="24"/>
          <w:szCs w:val="24"/>
        </w:rPr>
        <w:t>tehničku specifikaciju</w:t>
      </w:r>
    </w:p>
    <w:p>
      <w:pPr>
        <w:jc w:val="both"/>
        <w:rPr>
          <w:rFonts w:ascii="Arial" w:hAnsi="Arial" w:cs="Arial"/>
          <w:sz w:val="24"/>
          <w:szCs w:val="24"/>
        </w:rPr>
      </w:pPr>
    </w:p>
    <w:p>
      <w:pPr>
        <w:keepNext/>
        <w:keepLines/>
        <w:numPr>
          <w:ilvl w:val="0"/>
          <w:numId w:val="8"/>
        </w:numPr>
        <w:pBdr>
          <w:top w:val="single" w:color="auto" w:sz="4" w:space="1"/>
          <w:left w:val="single" w:color="auto" w:sz="4" w:space="4"/>
          <w:bottom w:val="single" w:color="auto" w:sz="4" w:space="1"/>
          <w:right w:val="single" w:color="auto" w:sz="4" w:space="4"/>
        </w:pBdr>
        <w:shd w:val="clear" w:color="auto" w:fill="D9D9D9"/>
        <w:spacing w:before="240"/>
        <w:outlineLvl w:val="0"/>
        <w:rPr>
          <w:rFonts w:ascii="Arial" w:hAnsi="Arial" w:cs="Arial"/>
          <w:b/>
          <w:sz w:val="24"/>
          <w:szCs w:val="24"/>
        </w:rPr>
      </w:pPr>
      <w:bookmarkStart w:id="8" w:name="_Toc62730561"/>
      <w:r>
        <w:rPr>
          <w:rFonts w:ascii="Arial" w:hAnsi="Arial" w:cs="Arial"/>
          <w:b/>
          <w:sz w:val="24"/>
          <w:szCs w:val="24"/>
        </w:rPr>
        <w:t>NAČIN, MJESTO I VRIJEME PODNOŠENJA PONUDA I OTVARANJA PONUDA</w:t>
      </w:r>
      <w:bookmarkEnd w:id="8"/>
    </w:p>
    <w:p>
      <w:pPr>
        <w:jc w:val="both"/>
        <w:rPr>
          <w:rFonts w:ascii="Arial" w:hAnsi="Arial" w:cs="Arial"/>
          <w:b/>
          <w:bCs/>
          <w:color w:val="000000"/>
          <w:sz w:val="24"/>
          <w:szCs w:val="24"/>
        </w:rPr>
      </w:pPr>
    </w:p>
    <w:p>
      <w:pPr>
        <w:jc w:val="both"/>
        <w:rPr>
          <w:rFonts w:ascii="Arial" w:hAnsi="Arial" w:cs="Arial"/>
          <w:color w:val="000000"/>
          <w:sz w:val="24"/>
          <w:szCs w:val="24"/>
        </w:rPr>
      </w:pPr>
      <w:r>
        <w:rPr>
          <w:rFonts w:ascii="Arial" w:hAnsi="Arial" w:cs="Arial"/>
          <w:color w:val="000000"/>
          <w:sz w:val="24"/>
          <w:szCs w:val="24"/>
        </w:rPr>
        <w:t>Ponude se podnose preko ESJN-a zaključno sa danom</w:t>
      </w:r>
      <w:r>
        <w:rPr>
          <w:rFonts w:ascii="Arial" w:hAnsi="Arial" w:cs="Arial"/>
          <w:color w:val="000000"/>
          <w:sz w:val="24"/>
          <w:szCs w:val="24"/>
          <w:lang w:val="sr-Latn-RS"/>
        </w:rPr>
        <w:t xml:space="preserve"> </w:t>
      </w:r>
      <w:r>
        <w:rPr>
          <w:rFonts w:hint="default" w:ascii="Arial" w:hAnsi="Arial" w:cs="Arial"/>
          <w:color w:val="000000"/>
          <w:sz w:val="24"/>
          <w:szCs w:val="24"/>
          <w:lang w:val="sr-Latn-ME"/>
        </w:rPr>
        <w:t>29.12.2025</w:t>
      </w:r>
      <w:r>
        <w:rPr>
          <w:rFonts w:ascii="Arial" w:hAnsi="Arial" w:cs="Arial"/>
          <w:color w:val="000000"/>
          <w:sz w:val="24"/>
          <w:szCs w:val="24"/>
          <w:lang w:val="sr-Latn-RS"/>
        </w:rPr>
        <w:t>.</w:t>
      </w:r>
      <w:r>
        <w:rPr>
          <w:rFonts w:ascii="Arial" w:hAnsi="Arial" w:cs="Arial"/>
          <w:color w:val="000000"/>
          <w:sz w:val="24"/>
          <w:szCs w:val="24"/>
        </w:rPr>
        <w:t xml:space="preserve"> godine do </w:t>
      </w:r>
      <w:r>
        <w:rPr>
          <w:rFonts w:hint="default" w:ascii="Arial" w:hAnsi="Arial" w:cs="Arial"/>
          <w:color w:val="000000"/>
          <w:sz w:val="24"/>
          <w:szCs w:val="24"/>
          <w:lang w:val="sr-Latn-ME"/>
        </w:rPr>
        <w:t>9</w:t>
      </w:r>
      <w:r>
        <w:rPr>
          <w:rFonts w:ascii="Arial" w:hAnsi="Arial" w:cs="Arial"/>
          <w:color w:val="000000"/>
          <w:sz w:val="24"/>
          <w:szCs w:val="24"/>
          <w:lang w:val="sr-Latn-RS"/>
        </w:rPr>
        <w:t>:00</w:t>
      </w:r>
      <w:r>
        <w:rPr>
          <w:rFonts w:ascii="Arial" w:hAnsi="Arial" w:cs="Arial"/>
          <w:color w:val="000000"/>
          <w:sz w:val="24"/>
          <w:szCs w:val="24"/>
        </w:rPr>
        <w:t xml:space="preserve"> sati.</w:t>
      </w:r>
    </w:p>
    <w:p>
      <w:pPr>
        <w:jc w:val="both"/>
        <w:rPr>
          <w:rFonts w:ascii="Arial" w:hAnsi="Arial" w:cs="Arial"/>
          <w:color w:val="000000"/>
          <w:sz w:val="24"/>
          <w:szCs w:val="24"/>
        </w:rPr>
      </w:pPr>
      <w:r>
        <w:rPr>
          <w:rFonts w:ascii="Arial" w:hAnsi="Arial" w:cs="Arial"/>
          <w:color w:val="000000"/>
          <w:sz w:val="24"/>
          <w:szCs w:val="24"/>
        </w:rPr>
        <w:t xml:space="preserve">Otvaranje ponuda održaće se dana </w:t>
      </w:r>
      <w:r>
        <w:rPr>
          <w:rFonts w:hint="default" w:ascii="Arial" w:hAnsi="Arial" w:cs="Arial"/>
          <w:color w:val="000000"/>
          <w:sz w:val="24"/>
          <w:szCs w:val="24"/>
          <w:lang w:val="sr-Latn-ME"/>
        </w:rPr>
        <w:t>29.12.2025</w:t>
      </w:r>
      <w:r>
        <w:rPr>
          <w:rFonts w:ascii="Arial" w:hAnsi="Arial" w:cs="Arial"/>
          <w:color w:val="000000"/>
          <w:sz w:val="24"/>
          <w:szCs w:val="24"/>
          <w:lang w:val="sr-Latn-RS"/>
        </w:rPr>
        <w:t>.</w:t>
      </w:r>
      <w:r>
        <w:rPr>
          <w:rFonts w:ascii="Arial" w:hAnsi="Arial" w:cs="Arial"/>
          <w:color w:val="000000"/>
          <w:sz w:val="24"/>
          <w:szCs w:val="24"/>
        </w:rPr>
        <w:t xml:space="preserve"> godine u </w:t>
      </w:r>
      <w:r>
        <w:rPr>
          <w:rFonts w:hint="default" w:ascii="Arial" w:hAnsi="Arial" w:cs="Arial"/>
          <w:color w:val="000000"/>
          <w:sz w:val="24"/>
          <w:szCs w:val="24"/>
          <w:lang w:val="sr-Latn-ME"/>
        </w:rPr>
        <w:t>9</w:t>
      </w:r>
      <w:r>
        <w:rPr>
          <w:rFonts w:ascii="Arial" w:hAnsi="Arial" w:cs="Arial"/>
          <w:color w:val="000000"/>
          <w:sz w:val="24"/>
          <w:szCs w:val="24"/>
          <w:lang w:val="sr-Latn-RS"/>
        </w:rPr>
        <w:t xml:space="preserve">:00 </w:t>
      </w:r>
      <w:r>
        <w:rPr>
          <w:rFonts w:ascii="Arial" w:hAnsi="Arial" w:cs="Arial"/>
          <w:color w:val="000000"/>
          <w:sz w:val="24"/>
          <w:szCs w:val="24"/>
        </w:rPr>
        <w:t xml:space="preserve">sati. </w:t>
      </w:r>
    </w:p>
    <w:p>
      <w:pPr>
        <w:jc w:val="both"/>
        <w:rPr>
          <w:rFonts w:ascii="Arial" w:hAnsi="Arial" w:cs="Arial"/>
          <w:color w:val="000000"/>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Dio ponude koje se ne dostavlja preko ESJN-a, a odnosi se na garanciju ponude dostavlja se: </w:t>
      </w:r>
    </w:p>
    <w:p>
      <w:pPr>
        <w:numPr>
          <w:ilvl w:val="0"/>
          <w:numId w:val="9"/>
        </w:numPr>
        <w:spacing w:before="96"/>
        <w:jc w:val="both"/>
        <w:rPr>
          <w:rFonts w:ascii="Arial" w:hAnsi="Arial" w:eastAsia="Calibri" w:cs="Arial"/>
          <w:color w:val="000000"/>
          <w:sz w:val="24"/>
          <w:szCs w:val="24"/>
        </w:rPr>
      </w:pPr>
      <w:r>
        <w:rPr>
          <w:rFonts w:ascii="Arial" w:hAnsi="Arial" w:eastAsia="Calibri" w:cs="Arial"/>
          <w:color w:val="000000"/>
          <w:sz w:val="24"/>
          <w:szCs w:val="24"/>
        </w:rPr>
        <w:t xml:space="preserve">neposrednom predajom na arhivi naručioca na adresi </w:t>
      </w:r>
      <w:r>
        <w:rPr>
          <w:rFonts w:ascii="Arial" w:hAnsi="Arial" w:eastAsia="Calibri" w:cs="Arial"/>
          <w:color w:val="000000"/>
          <w:sz w:val="24"/>
          <w:szCs w:val="24"/>
          <w:lang w:val="sr-Latn-RS"/>
        </w:rPr>
        <w:t>Stanka Dragojevi</w:t>
      </w:r>
      <w:r>
        <w:rPr>
          <w:rFonts w:ascii="Arial" w:hAnsi="Arial" w:eastAsia="Calibri" w:cs="Arial"/>
          <w:color w:val="000000"/>
          <w:sz w:val="24"/>
          <w:szCs w:val="24"/>
        </w:rPr>
        <w:t>ća 2, Podgorica</w:t>
      </w:r>
    </w:p>
    <w:p>
      <w:pPr>
        <w:numPr>
          <w:ilvl w:val="0"/>
          <w:numId w:val="9"/>
        </w:numPr>
        <w:spacing w:before="96"/>
        <w:jc w:val="both"/>
        <w:rPr>
          <w:rFonts w:ascii="Arial" w:hAnsi="Arial" w:eastAsia="Calibri" w:cs="Arial"/>
          <w:color w:val="000000"/>
          <w:sz w:val="24"/>
          <w:szCs w:val="24"/>
        </w:rPr>
      </w:pPr>
      <w:r>
        <w:rPr>
          <w:rFonts w:ascii="Arial" w:hAnsi="Arial" w:eastAsia="Calibri" w:cs="Arial"/>
          <w:color w:val="000000"/>
          <w:sz w:val="24"/>
          <w:szCs w:val="24"/>
        </w:rPr>
        <w:t xml:space="preserve">preporučenom pošiljkom sa povratnicom na adresi </w:t>
      </w:r>
      <w:r>
        <w:rPr>
          <w:rFonts w:ascii="Arial" w:hAnsi="Arial" w:eastAsia="Calibri" w:cs="Arial"/>
          <w:color w:val="000000"/>
          <w:sz w:val="24"/>
          <w:szCs w:val="24"/>
          <w:lang w:val="sr-Latn-RS"/>
        </w:rPr>
        <w:t>Stanka Dragojevi</w:t>
      </w:r>
      <w:r>
        <w:rPr>
          <w:rFonts w:ascii="Arial" w:hAnsi="Arial" w:eastAsia="Calibri" w:cs="Arial"/>
          <w:color w:val="000000"/>
          <w:sz w:val="24"/>
          <w:szCs w:val="24"/>
        </w:rPr>
        <w:t>ća 2, Podgorica</w:t>
      </w:r>
    </w:p>
    <w:p>
      <w:pPr>
        <w:spacing w:before="96"/>
        <w:ind w:left="360"/>
        <w:jc w:val="both"/>
        <w:rPr>
          <w:rFonts w:ascii="Arial" w:hAnsi="Arial" w:eastAsia="Calibri"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r>
        <w:rPr>
          <w:rFonts w:ascii="Arial" w:hAnsi="Arial" w:cs="Arial"/>
          <w:color w:val="000000"/>
          <w:sz w:val="24"/>
          <w:szCs w:val="24"/>
        </w:rPr>
        <w:t>radnim danima od 07 do 15 sati, zaključno sa danom</w:t>
      </w:r>
      <w:r>
        <w:rPr>
          <w:rFonts w:hint="default" w:ascii="Arial" w:hAnsi="Arial" w:cs="Arial"/>
          <w:color w:val="000000"/>
          <w:sz w:val="24"/>
          <w:szCs w:val="24"/>
          <w:lang w:val="sr-Latn-ME"/>
        </w:rPr>
        <w:t xml:space="preserve"> 29.12.2025</w:t>
      </w:r>
      <w:r>
        <w:rPr>
          <w:rFonts w:ascii="Arial" w:hAnsi="Arial" w:cs="Arial"/>
          <w:color w:val="000000"/>
          <w:sz w:val="24"/>
          <w:szCs w:val="24"/>
        </w:rPr>
        <w:t xml:space="preserve">. godine do </w:t>
      </w:r>
      <w:r>
        <w:rPr>
          <w:rFonts w:hint="default" w:ascii="Arial" w:hAnsi="Arial" w:cs="Arial"/>
          <w:color w:val="000000"/>
          <w:sz w:val="24"/>
          <w:szCs w:val="24"/>
          <w:lang w:val="sr-Latn-ME"/>
        </w:rPr>
        <w:t>9</w:t>
      </w:r>
      <w:r>
        <w:rPr>
          <w:rFonts w:ascii="Arial" w:hAnsi="Arial" w:cs="Arial"/>
          <w:color w:val="000000"/>
          <w:sz w:val="24"/>
          <w:szCs w:val="24"/>
        </w:rPr>
        <w:t>:</w:t>
      </w:r>
      <w:r>
        <w:rPr>
          <w:rFonts w:ascii="Arial" w:hAnsi="Arial" w:cs="Arial"/>
          <w:color w:val="000000"/>
          <w:sz w:val="24"/>
          <w:szCs w:val="24"/>
          <w:lang w:val="sr-Latn-RS"/>
        </w:rPr>
        <w:t>0</w:t>
      </w:r>
      <w:r>
        <w:rPr>
          <w:rFonts w:ascii="Arial" w:hAnsi="Arial" w:cs="Arial"/>
          <w:color w:val="000000"/>
          <w:sz w:val="24"/>
          <w:szCs w:val="24"/>
        </w:rPr>
        <w:t>0 sati.</w:t>
      </w:r>
    </w:p>
    <w:p>
      <w:pPr>
        <w:rPr>
          <w:rFonts w:ascii="Arial" w:hAnsi="Arial" w:cs="Arial"/>
          <w:i/>
          <w:iCs/>
          <w:color w:val="000000"/>
          <w:sz w:val="24"/>
          <w:szCs w:val="24"/>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outlineLvl w:val="0"/>
        <w:rPr>
          <w:rFonts w:ascii="Arial" w:hAnsi="Arial" w:cs="Arial"/>
          <w:b/>
          <w:bCs/>
          <w:color w:val="000000"/>
          <w:sz w:val="24"/>
          <w:szCs w:val="24"/>
        </w:rPr>
      </w:pPr>
      <w:bookmarkStart w:id="9" w:name="_Toc62730562"/>
      <w:r>
        <w:rPr>
          <w:rFonts w:ascii="Arial" w:hAnsi="Arial" w:cs="Arial"/>
          <w:b/>
          <w:sz w:val="24"/>
          <w:szCs w:val="24"/>
          <w:lang w:val="sr-Latn-RS"/>
        </w:rPr>
        <w:t>10.</w:t>
      </w:r>
      <w:r>
        <w:rPr>
          <w:rFonts w:ascii="Arial" w:hAnsi="Arial" w:cs="Arial"/>
          <w:b/>
          <w:sz w:val="24"/>
          <w:szCs w:val="24"/>
        </w:rPr>
        <w:t>USLOVI ZA AKTIVIRANJE GARANCIJE PONUDE</w:t>
      </w:r>
      <w:r>
        <w:rPr>
          <w:rFonts w:ascii="Arial" w:hAnsi="Arial" w:cs="Arial"/>
          <w:b/>
          <w:sz w:val="24"/>
          <w:szCs w:val="24"/>
          <w:vertAlign w:val="superscript"/>
        </w:rPr>
        <w:footnoteReference w:id="7"/>
      </w:r>
      <w:bookmarkEnd w:id="9"/>
    </w:p>
    <w:p>
      <w:pPr>
        <w:jc w:val="both"/>
        <w:rPr>
          <w:rFonts w:ascii="Arial" w:hAnsi="Arial" w:cs="Arial"/>
          <w:sz w:val="24"/>
          <w:szCs w:val="24"/>
        </w:rPr>
      </w:pPr>
      <w:r>
        <w:rPr>
          <w:rFonts w:ascii="Arial" w:hAnsi="Arial" w:cs="Arial"/>
          <w:sz w:val="24"/>
          <w:szCs w:val="24"/>
        </w:rPr>
        <w:t xml:space="preserve">Garancija ponude će se aktivirati ako ponuđač: </w:t>
      </w:r>
    </w:p>
    <w:p>
      <w:pPr>
        <w:pStyle w:val="7"/>
        <w:ind w:left="567" w:hanging="283"/>
        <w:rPr>
          <w:rFonts w:ascii="Arial" w:hAnsi="Arial" w:cs="Arial"/>
          <w:sz w:val="24"/>
          <w:szCs w:val="24"/>
          <w:lang w:val="sr-Latn-ME"/>
        </w:rPr>
      </w:pPr>
      <w:r>
        <w:rPr>
          <w:rFonts w:ascii="Arial" w:hAnsi="Arial" w:cs="Arial"/>
          <w:sz w:val="24"/>
          <w:szCs w:val="24"/>
          <w:lang w:val="sr-Latn-ME"/>
        </w:rPr>
        <w:t>1) odustane od ponude u roku važenja ponude i/ili</w:t>
      </w:r>
    </w:p>
    <w:p>
      <w:pPr>
        <w:pStyle w:val="7"/>
        <w:rPr>
          <w:rFonts w:ascii="Arial" w:hAnsi="Arial" w:cs="Arial"/>
          <w:sz w:val="24"/>
          <w:szCs w:val="24"/>
          <w:lang w:val="sr-Latn-ME"/>
        </w:rPr>
      </w:pPr>
      <w:r>
        <w:rPr>
          <w:rFonts w:ascii="Arial" w:hAnsi="Arial" w:cs="Arial"/>
          <w:sz w:val="24"/>
          <w:szCs w:val="24"/>
          <w:lang w:val="sr-Latn-ME"/>
        </w:rPr>
        <w:t xml:space="preserve"> 2) odbije da zaključi ugovor o javnoj nabavci ili okvirni sporazum.</w:t>
      </w:r>
    </w:p>
    <w:p>
      <w:pPr>
        <w:keepNext/>
        <w:keepLines/>
        <w:pBdr>
          <w:top w:val="single" w:color="auto" w:sz="4" w:space="1"/>
          <w:left w:val="single" w:color="auto" w:sz="4" w:space="4"/>
          <w:bottom w:val="single" w:color="auto" w:sz="4" w:space="1"/>
          <w:right w:val="single" w:color="auto" w:sz="4" w:space="4"/>
        </w:pBdr>
        <w:shd w:val="clear" w:color="auto" w:fill="D9D9D9"/>
        <w:spacing w:before="240"/>
        <w:outlineLvl w:val="0"/>
        <w:rPr>
          <w:rFonts w:ascii="Arial" w:hAnsi="Arial" w:cs="Arial"/>
          <w:b/>
          <w:sz w:val="24"/>
          <w:szCs w:val="24"/>
        </w:rPr>
      </w:pPr>
      <w:bookmarkStart w:id="10" w:name="_Toc62730563"/>
      <w:r>
        <w:rPr>
          <w:rFonts w:ascii="Arial" w:hAnsi="Arial" w:cs="Arial"/>
          <w:b/>
          <w:sz w:val="24"/>
          <w:szCs w:val="24"/>
          <w:lang w:val="sr-Latn-RS"/>
        </w:rPr>
        <w:t>11.</w:t>
      </w:r>
      <w:r>
        <w:rPr>
          <w:rFonts w:ascii="Arial" w:hAnsi="Arial" w:cs="Arial"/>
          <w:b/>
          <w:sz w:val="24"/>
          <w:szCs w:val="24"/>
        </w:rPr>
        <w:t>TAJNOST PODATAKA</w:t>
      </w:r>
      <w:bookmarkEnd w:id="10"/>
    </w:p>
    <w:p>
      <w:pPr>
        <w:jc w:val="both"/>
        <w:rPr>
          <w:rFonts w:ascii="Arial" w:hAnsi="Arial" w:cs="Arial"/>
          <w:color w:val="000000"/>
          <w:sz w:val="24"/>
          <w:szCs w:val="24"/>
        </w:rPr>
      </w:pPr>
      <w:r>
        <w:rPr>
          <w:rFonts w:ascii="Arial" w:hAnsi="Arial" w:cs="Arial"/>
          <w:color w:val="000000"/>
          <w:sz w:val="24"/>
          <w:szCs w:val="24"/>
        </w:rPr>
        <w:t xml:space="preserve"> </w:t>
      </w:r>
    </w:p>
    <w:p>
      <w:pPr>
        <w:jc w:val="both"/>
        <w:rPr>
          <w:rFonts w:ascii="Arial" w:hAnsi="Arial" w:cs="Arial"/>
          <w:color w:val="000000"/>
          <w:sz w:val="24"/>
          <w:szCs w:val="24"/>
        </w:rPr>
      </w:pPr>
      <w:r>
        <w:rPr>
          <w:rFonts w:ascii="Arial" w:hAnsi="Arial" w:cs="Arial"/>
          <w:color w:val="000000"/>
          <w:sz w:val="24"/>
          <w:szCs w:val="24"/>
        </w:rPr>
        <w:t>Tenderska dokumentacija sadrži tajne podatke</w:t>
      </w:r>
    </w:p>
    <w:p>
      <w:pPr>
        <w:jc w:val="both"/>
        <w:rPr>
          <w:rFonts w:ascii="Arial" w:hAnsi="Arial" w:cs="Arial"/>
          <w:color w:val="000000"/>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ne</w:t>
      </w:r>
    </w:p>
    <w:p>
      <w:pPr>
        <w:keepNext/>
        <w:keepLines/>
        <w:pBdr>
          <w:top w:val="single" w:color="auto" w:sz="4" w:space="1"/>
          <w:left w:val="single" w:color="auto" w:sz="4" w:space="4"/>
          <w:bottom w:val="single" w:color="auto" w:sz="4" w:space="1"/>
          <w:right w:val="single" w:color="auto" w:sz="4" w:space="4"/>
        </w:pBdr>
        <w:shd w:val="clear" w:color="auto" w:fill="D9D9D9"/>
        <w:spacing w:before="240"/>
        <w:outlineLvl w:val="0"/>
        <w:rPr>
          <w:rFonts w:ascii="Arial" w:hAnsi="Arial" w:cs="Arial"/>
          <w:b/>
          <w:sz w:val="24"/>
          <w:szCs w:val="24"/>
        </w:rPr>
      </w:pPr>
      <w:bookmarkStart w:id="11" w:name="_Toc62730564"/>
      <w:r>
        <w:rPr>
          <w:rFonts w:ascii="Arial" w:hAnsi="Arial" w:cs="Arial"/>
          <w:b/>
          <w:sz w:val="24"/>
          <w:szCs w:val="24"/>
          <w:lang w:val="sr-Latn-RS"/>
        </w:rPr>
        <w:t>12.</w:t>
      </w:r>
      <w:r>
        <w:rPr>
          <w:rFonts w:ascii="Arial" w:hAnsi="Arial" w:cs="Arial"/>
          <w:b/>
          <w:sz w:val="24"/>
          <w:szCs w:val="24"/>
        </w:rPr>
        <w:t>UPUTSTVO ZA SAČINJAVANJE PONUDE</w:t>
      </w:r>
      <w:bookmarkEnd w:id="11"/>
    </w:p>
    <w:p>
      <w:pPr>
        <w:rPr>
          <w:rFonts w:ascii="Arial" w:hAnsi="Arial" w:cs="Arial"/>
          <w:sz w:val="24"/>
          <w:szCs w:val="24"/>
        </w:rPr>
      </w:pPr>
    </w:p>
    <w:p>
      <w:pPr>
        <w:jc w:val="both"/>
        <w:rPr>
          <w:rFonts w:ascii="Arial" w:hAnsi="Arial" w:cs="Arial"/>
          <w:sz w:val="24"/>
          <w:szCs w:val="24"/>
        </w:rPr>
      </w:pPr>
      <w:r>
        <w:rPr>
          <w:rFonts w:ascii="Arial" w:hAnsi="Arial" w:cs="Arial"/>
          <w:sz w:val="24"/>
          <w:szCs w:val="24"/>
        </w:rPr>
        <w:t xml:space="preserve">Ponude se sačinjava u ESJN u skladu sa tenderskom dokumentacijom i važećim Pravilnikom o sadržaju ponude i uputstvu za sačinjavanje i podnošenje ponude. </w:t>
      </w:r>
    </w:p>
    <w:p>
      <w:pPr>
        <w:jc w:val="both"/>
        <w:rPr>
          <w:rFonts w:ascii="Arial" w:hAnsi="Arial" w:cs="Arial"/>
          <w:sz w:val="24"/>
          <w:szCs w:val="24"/>
        </w:rPr>
      </w:pPr>
      <w:r>
        <w:rPr>
          <w:rFonts w:ascii="Arial" w:hAnsi="Arial" w:cs="Arial"/>
          <w:sz w:val="24"/>
          <w:szCs w:val="24"/>
        </w:rPr>
        <w:t>Ispunjenost uslova za učešće u postupku javne nabavke dokazuje se izjavom privrednog subjekta, koja se sačinjava na obrascu datom u Pravilniku o obrascu izjave privrednog subjekta.</w:t>
      </w:r>
    </w:p>
    <w:p>
      <w:pPr>
        <w:jc w:val="both"/>
        <w:rPr>
          <w:rFonts w:ascii="Arial" w:hAnsi="Arial" w:cs="Arial"/>
          <w:i/>
          <w:iCs/>
          <w:color w:val="000000"/>
          <w:sz w:val="24"/>
          <w:szCs w:val="24"/>
        </w:rPr>
      </w:pPr>
      <w:r>
        <w:rPr>
          <w:rFonts w:ascii="Arial" w:hAnsi="Arial" w:cs="Arial"/>
          <w:sz w:val="24"/>
          <w:szCs w:val="24"/>
        </w:rPr>
        <w:t xml:space="preserve">Ponuđač je dužan da tačno, potpuno, pravilno i nedvosmisleno popuni </w:t>
      </w:r>
      <w:r>
        <w:rPr>
          <w:rFonts w:ascii="Arial" w:hAnsi="Arial" w:eastAsia="Calibri" w:cs="Arial"/>
          <w:sz w:val="24"/>
          <w:szCs w:val="24"/>
        </w:rPr>
        <w:t>Izjavu privrednog subjekta u skladu sa zahtjevima iz tenderske dokumentacije.</w:t>
      </w:r>
    </w:p>
    <w:p>
      <w:pPr>
        <w:jc w:val="both"/>
        <w:rPr>
          <w:rFonts w:ascii="Arial" w:hAnsi="Arial" w:cs="Arial"/>
          <w:b/>
          <w:bCs/>
          <w:color w:val="000000"/>
          <w:sz w:val="24"/>
          <w:szCs w:val="24"/>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jc w:val="both"/>
        <w:outlineLvl w:val="0"/>
        <w:rPr>
          <w:rFonts w:ascii="Arial" w:hAnsi="Arial" w:cs="Arial"/>
          <w:b/>
          <w:sz w:val="24"/>
          <w:szCs w:val="24"/>
        </w:rPr>
      </w:pPr>
      <w:bookmarkStart w:id="12" w:name="_Toc62730565"/>
      <w:r>
        <w:rPr>
          <w:rFonts w:ascii="Arial" w:hAnsi="Arial" w:cs="Arial"/>
          <w:b/>
          <w:sz w:val="24"/>
          <w:szCs w:val="24"/>
          <w:lang w:val="sr-Latn-RS"/>
        </w:rPr>
        <w:t>13.</w:t>
      </w:r>
      <w:r>
        <w:rPr>
          <w:rFonts w:ascii="Arial" w:hAnsi="Arial" w:cs="Arial"/>
          <w:b/>
          <w:sz w:val="24"/>
          <w:szCs w:val="24"/>
        </w:rPr>
        <w:t>NAČIN ZAKLJUČIVANJA I IZMJENE UGOVORA O JAVNOJ NABAVCI</w:t>
      </w:r>
      <w:bookmarkEnd w:id="12"/>
    </w:p>
    <w:p>
      <w:pPr>
        <w:jc w:val="both"/>
        <w:rPr>
          <w:rFonts w:ascii="Arial" w:hAnsi="Arial" w:cs="Arial"/>
          <w:i/>
          <w:sz w:val="24"/>
          <w:szCs w:val="24"/>
        </w:rPr>
      </w:pPr>
    </w:p>
    <w:p>
      <w:pPr>
        <w:jc w:val="both"/>
        <w:rPr>
          <w:rFonts w:ascii="Arial" w:hAnsi="Arial" w:cs="Arial"/>
          <w:sz w:val="24"/>
          <w:szCs w:val="24"/>
        </w:rPr>
      </w:pPr>
      <w:r>
        <w:rPr>
          <w:rFonts w:ascii="Arial" w:hAnsi="Arial" w:cs="Arial"/>
          <w:sz w:val="24"/>
          <w:szCs w:val="24"/>
        </w:rPr>
        <w:t xml:space="preserve">Naručilac zaključuje ugovor o javnoj nabavci u pisanom ili elektronskom obliku sa ponuđačem čija je ponuda izabrana kao najpovoljnija, nakon izvršnosti odluke o izboru najpovoljnije ponude. </w:t>
      </w:r>
    </w:p>
    <w:p>
      <w:pPr>
        <w:jc w:val="both"/>
        <w:rPr>
          <w:rFonts w:ascii="Arial" w:hAnsi="Arial" w:cs="Arial"/>
          <w:sz w:val="24"/>
          <w:szCs w:val="24"/>
        </w:rPr>
      </w:pPr>
    </w:p>
    <w:p>
      <w:pPr>
        <w:jc w:val="both"/>
        <w:rPr>
          <w:rFonts w:ascii="Arial" w:hAnsi="Arial" w:cs="Arial"/>
          <w:sz w:val="24"/>
          <w:szCs w:val="24"/>
        </w:rPr>
      </w:pPr>
      <w:r>
        <w:rPr>
          <w:rFonts w:ascii="Arial" w:hAnsi="Arial" w:cs="Arial"/>
          <w:sz w:val="24"/>
          <w:szCs w:val="24"/>
        </w:rPr>
        <w:t>Ugovor o javnoj nabavci mora da bude u skladu sa uslovima utvrđenim tenderskom dokumentacijom, izabranom ponudom i odlukom o izboru najpovoljnije ponude, osim u pogledu iskazivanja PDV-a.</w:t>
      </w:r>
    </w:p>
    <w:p>
      <w:pPr>
        <w:jc w:val="both"/>
        <w:rPr>
          <w:rFonts w:ascii="Arial" w:hAnsi="Arial" w:cs="Arial"/>
          <w:color w:val="000000"/>
          <w:sz w:val="24"/>
          <w:szCs w:val="24"/>
        </w:rPr>
      </w:pPr>
      <w:r>
        <w:rPr>
          <w:rFonts w:ascii="Arial" w:hAnsi="Arial" w:cs="Arial"/>
          <w:color w:val="000000"/>
          <w:sz w:val="24"/>
          <w:szCs w:val="24"/>
        </w:rPr>
        <w:t>Ugovor između naručioca i ponuđača čija je ponuda izabrana kao najpovoljnija, pored uslova koji su propisani ovom tenderskom dokumentacijom, će sadržati i sljedeće:</w:t>
      </w:r>
      <w:r>
        <w:rPr>
          <w:rFonts w:ascii="Arial" w:hAnsi="Arial" w:cs="Arial"/>
          <w:color w:val="000000"/>
          <w:sz w:val="24"/>
          <w:szCs w:val="24"/>
          <w:vertAlign w:val="superscript"/>
        </w:rPr>
        <w:footnoteReference w:id="8"/>
      </w:r>
    </w:p>
    <w:p>
      <w:pPr>
        <w:pStyle w:val="9"/>
        <w:numPr>
          <w:ilvl w:val="0"/>
          <w:numId w:val="10"/>
        </w:numPr>
        <w:spacing w:after="0" w:line="240" w:lineRule="auto"/>
        <w:jc w:val="both"/>
        <w:rPr>
          <w:rFonts w:ascii="Arial" w:hAnsi="Arial" w:eastAsia="Calibri" w:cs="Arial"/>
          <w:color w:val="000000"/>
          <w:sz w:val="24"/>
          <w:szCs w:val="24"/>
          <w:lang w:eastAsia="sr-Latn-ME"/>
        </w:rPr>
      </w:pPr>
      <w:r>
        <w:rPr>
          <w:rFonts w:ascii="Arial" w:hAnsi="Arial" w:eastAsia="Calibri" w:cs="Arial"/>
          <w:color w:val="000000"/>
          <w:sz w:val="24"/>
          <w:szCs w:val="24"/>
          <w:lang w:eastAsia="sr-Latn-ME"/>
        </w:rPr>
        <w:t xml:space="preserve">Ugovor  se može raskinuti sporazumno ili po zahtjevu jedne od Ugovornih strana. </w:t>
      </w:r>
    </w:p>
    <w:p>
      <w:pPr>
        <w:pStyle w:val="9"/>
        <w:numPr>
          <w:ilvl w:val="0"/>
          <w:numId w:val="10"/>
        </w:numPr>
        <w:spacing w:after="0" w:line="240" w:lineRule="auto"/>
        <w:jc w:val="both"/>
        <w:rPr>
          <w:rFonts w:ascii="Arial" w:hAnsi="Arial" w:eastAsia="Calibri" w:cs="Arial"/>
          <w:color w:val="000000"/>
          <w:sz w:val="24"/>
          <w:szCs w:val="24"/>
          <w:lang w:eastAsia="sr-Latn-ME"/>
        </w:rPr>
      </w:pPr>
      <w:r>
        <w:rPr>
          <w:rFonts w:ascii="Arial" w:hAnsi="Arial" w:eastAsia="Calibri" w:cs="Arial"/>
          <w:color w:val="000000"/>
          <w:sz w:val="24"/>
          <w:szCs w:val="24"/>
          <w:lang w:eastAsia="sr-Latn-ME"/>
        </w:rPr>
        <w:t>Ako strane ugovora sporazumno raskinu Ugovor, sporazumom o raskidu ugovora utvrđuju se međusobna prava i obaveze koje proističu iz raskida Ugovora.</w:t>
      </w:r>
    </w:p>
    <w:p>
      <w:pPr>
        <w:pStyle w:val="9"/>
        <w:numPr>
          <w:ilvl w:val="0"/>
          <w:numId w:val="10"/>
        </w:numPr>
        <w:spacing w:after="0" w:line="240" w:lineRule="auto"/>
        <w:jc w:val="both"/>
        <w:rPr>
          <w:rFonts w:ascii="Arial" w:hAnsi="Arial" w:eastAsia="Calibri" w:cs="Arial"/>
          <w:color w:val="000000"/>
          <w:sz w:val="24"/>
          <w:szCs w:val="24"/>
          <w:lang w:eastAsia="sr-Latn-ME"/>
        </w:rPr>
      </w:pPr>
      <w:r>
        <w:rPr>
          <w:rFonts w:ascii="Arial" w:hAnsi="Arial" w:eastAsia="Calibri" w:cs="Arial"/>
          <w:color w:val="000000"/>
          <w:sz w:val="24"/>
          <w:szCs w:val="24"/>
          <w:lang w:eastAsia="sr-Latn-ME"/>
        </w:rPr>
        <w:t>U slučaju jednostranog raskida Ugovora, Ugovor će se raskinuti pisanim obavještenjem sa otkaznim rokom od 15 (petnaest) dana koje se dostavlja drugoj Ugovornoj strani. U obavještenju mora biti naznačeno po kom osnovu se Ugovor raskida.</w:t>
      </w:r>
    </w:p>
    <w:p>
      <w:pPr>
        <w:pStyle w:val="9"/>
        <w:numPr>
          <w:ilvl w:val="0"/>
          <w:numId w:val="10"/>
        </w:numPr>
        <w:spacing w:after="0" w:line="240" w:lineRule="auto"/>
        <w:jc w:val="both"/>
        <w:rPr>
          <w:rFonts w:ascii="Arial" w:hAnsi="Arial" w:eastAsia="Calibri" w:cs="Arial"/>
          <w:color w:val="000000"/>
          <w:sz w:val="24"/>
          <w:szCs w:val="24"/>
          <w:lang w:eastAsia="sr-Latn-ME"/>
        </w:rPr>
      </w:pPr>
      <w:r>
        <w:rPr>
          <w:rFonts w:ascii="Arial" w:hAnsi="Arial" w:eastAsia="Calibri" w:cs="Arial"/>
          <w:color w:val="000000"/>
          <w:sz w:val="24"/>
          <w:szCs w:val="24"/>
          <w:lang w:eastAsia="sr-Latn-ME"/>
        </w:rPr>
        <w:t>Naručilac će jednostrano raskinuti Ugovor u slučaju da:</w:t>
      </w:r>
    </w:p>
    <w:p>
      <w:pPr>
        <w:numPr>
          <w:ilvl w:val="0"/>
          <w:numId w:val="11"/>
        </w:numPr>
        <w:spacing w:after="0" w:line="240" w:lineRule="auto"/>
        <w:jc w:val="both"/>
        <w:rPr>
          <w:rFonts w:ascii="Arial" w:hAnsi="Arial" w:eastAsia="Calibri" w:cs="Arial"/>
          <w:color w:val="000000"/>
          <w:sz w:val="24"/>
          <w:szCs w:val="24"/>
          <w:lang w:eastAsia="sr-Latn-ME"/>
        </w:rPr>
      </w:pPr>
      <w:r>
        <w:rPr>
          <w:rFonts w:ascii="Arial" w:hAnsi="Arial" w:eastAsia="Calibri" w:cs="Arial"/>
          <w:color w:val="000000"/>
          <w:sz w:val="24"/>
          <w:szCs w:val="24"/>
          <w:lang w:eastAsia="sr-Latn-ME"/>
        </w:rPr>
        <w:t>Izvršilac ne bude izvršavao svoje obaveze u rokovima i na način predviđenim Ugovorom</w:t>
      </w:r>
    </w:p>
    <w:p>
      <w:pPr>
        <w:numPr>
          <w:ilvl w:val="0"/>
          <w:numId w:val="11"/>
        </w:numPr>
        <w:spacing w:after="0" w:line="240" w:lineRule="auto"/>
        <w:jc w:val="both"/>
        <w:rPr>
          <w:rFonts w:ascii="Arial" w:hAnsi="Arial" w:eastAsia="Calibri" w:cs="Arial"/>
          <w:color w:val="000000"/>
          <w:sz w:val="24"/>
          <w:szCs w:val="24"/>
          <w:lang w:eastAsia="sr-Latn-ME"/>
        </w:rPr>
      </w:pPr>
      <w:r>
        <w:rPr>
          <w:rFonts w:ascii="Arial" w:hAnsi="Arial" w:eastAsia="Calibri" w:cs="Arial"/>
          <w:color w:val="000000"/>
          <w:sz w:val="24"/>
          <w:szCs w:val="24"/>
          <w:lang w:eastAsia="sr-Latn-ME"/>
        </w:rPr>
        <w:t>Izvršilac obustavi pružanje usluga ili na neki drugi način jasno ispolji svoju namjeru da ne nastavi sa izvršavanjem svojih ugovornih obaveza;</w:t>
      </w:r>
    </w:p>
    <w:p>
      <w:pPr>
        <w:numPr>
          <w:ilvl w:val="0"/>
          <w:numId w:val="11"/>
        </w:numPr>
        <w:spacing w:after="0" w:line="240" w:lineRule="auto"/>
        <w:jc w:val="both"/>
        <w:rPr>
          <w:rFonts w:ascii="Arial" w:hAnsi="Arial" w:eastAsia="Calibri" w:cs="Arial"/>
          <w:color w:val="000000"/>
          <w:sz w:val="24"/>
          <w:szCs w:val="24"/>
          <w:lang w:eastAsia="sr-Latn-ME"/>
        </w:rPr>
      </w:pPr>
      <w:r>
        <w:rPr>
          <w:rFonts w:ascii="Arial" w:hAnsi="Arial" w:eastAsia="Calibri" w:cs="Arial"/>
          <w:color w:val="000000"/>
          <w:sz w:val="24"/>
          <w:szCs w:val="24"/>
          <w:lang w:eastAsia="sr-Latn-ME"/>
        </w:rPr>
        <w:t>Nastupe okolnosti iz člana 150 ZJN (Sl.list CG br. 74/19</w:t>
      </w:r>
      <w:r>
        <w:rPr>
          <w:rFonts w:ascii="Arial" w:hAnsi="Arial" w:eastAsia="Calibri" w:cs="Arial"/>
          <w:color w:val="000000"/>
          <w:sz w:val="24"/>
          <w:szCs w:val="24"/>
          <w:lang w:val="en-US" w:eastAsia="sr-Latn-ME"/>
        </w:rPr>
        <w:t>,3/23, 11/23 i 84/24</w:t>
      </w:r>
      <w:r>
        <w:rPr>
          <w:rFonts w:ascii="Arial" w:hAnsi="Arial" w:eastAsia="Calibri" w:cs="Arial"/>
          <w:color w:val="000000"/>
          <w:sz w:val="24"/>
          <w:szCs w:val="24"/>
          <w:lang w:eastAsia="sr-Latn-ME"/>
        </w:rPr>
        <w:t>).</w:t>
      </w:r>
    </w:p>
    <w:p>
      <w:pPr>
        <w:pStyle w:val="9"/>
        <w:numPr>
          <w:ilvl w:val="0"/>
          <w:numId w:val="12"/>
        </w:numPr>
        <w:spacing w:after="0" w:line="240" w:lineRule="auto"/>
        <w:jc w:val="both"/>
        <w:rPr>
          <w:rFonts w:ascii="Arial" w:hAnsi="Arial" w:eastAsia="Calibri" w:cs="Arial"/>
          <w:color w:val="000000"/>
          <w:sz w:val="24"/>
          <w:szCs w:val="24"/>
          <w:lang w:eastAsia="sr-Latn-ME"/>
        </w:rPr>
      </w:pPr>
      <w:r>
        <w:rPr>
          <w:rFonts w:ascii="Arial" w:hAnsi="Arial" w:eastAsia="Calibri" w:cs="Arial"/>
          <w:color w:val="000000"/>
          <w:sz w:val="24"/>
          <w:szCs w:val="24"/>
          <w:lang w:eastAsia="sr-Latn-ME"/>
        </w:rPr>
        <w:t>Izvršilac ima pravo da jednostrano raskine Ugovor ako Naručilac ne plaća Izvršiocu u rokovima i na način predviđen Ugovorom.</w:t>
      </w:r>
    </w:p>
    <w:p>
      <w:pPr>
        <w:pStyle w:val="9"/>
        <w:numPr>
          <w:ilvl w:val="0"/>
          <w:numId w:val="12"/>
        </w:numPr>
        <w:spacing w:after="0" w:line="240" w:lineRule="auto"/>
        <w:jc w:val="both"/>
        <w:rPr>
          <w:rFonts w:ascii="Arial" w:hAnsi="Arial" w:eastAsia="PMingLiU" w:cs="Arial"/>
          <w:sz w:val="24"/>
          <w:szCs w:val="24"/>
          <w:lang w:eastAsia="zh-TW"/>
        </w:rPr>
      </w:pPr>
      <w:r>
        <w:rPr>
          <w:rFonts w:ascii="Arial" w:hAnsi="Arial" w:eastAsia="PMingLiU" w:cs="Arial"/>
          <w:sz w:val="24"/>
          <w:szCs w:val="24"/>
          <w:lang w:eastAsia="zh-TW"/>
        </w:rPr>
        <w:t>Na sva prava i obaveze ugovornih strana, a koja nijesu regulisana Ugovorom, primjenjuju se važeći zakonski i podzakonski propisi države Crne Gore.</w:t>
      </w:r>
    </w:p>
    <w:p>
      <w:pPr>
        <w:pStyle w:val="9"/>
        <w:numPr>
          <w:ilvl w:val="0"/>
          <w:numId w:val="12"/>
        </w:numPr>
        <w:spacing w:after="0" w:line="240" w:lineRule="auto"/>
        <w:jc w:val="both"/>
        <w:rPr>
          <w:rFonts w:ascii="Arial" w:hAnsi="Arial" w:eastAsia="PMingLiU" w:cs="Arial"/>
          <w:sz w:val="24"/>
          <w:szCs w:val="24"/>
          <w:lang w:eastAsia="zh-TW"/>
        </w:rPr>
      </w:pPr>
      <w:r>
        <w:rPr>
          <w:rFonts w:ascii="Arial" w:hAnsi="Arial" w:eastAsia="PMingLiU" w:cs="Arial"/>
          <w:sz w:val="24"/>
          <w:szCs w:val="24"/>
          <w:lang w:eastAsia="zh-TW"/>
        </w:rPr>
        <w:t>Sve eventualne sporove koji nastanu u vezi sa Ugovorom, ugovorne strane će rješavati sporazumno, a ako to ne bude moguće za rješavanje istih nadležan je Privredni sud Crne Gore.</w:t>
      </w:r>
    </w:p>
    <w:p>
      <w:pPr>
        <w:pStyle w:val="9"/>
        <w:numPr>
          <w:ilvl w:val="0"/>
          <w:numId w:val="12"/>
        </w:numPr>
        <w:spacing w:after="0" w:line="240" w:lineRule="auto"/>
        <w:jc w:val="both"/>
        <w:rPr>
          <w:rFonts w:ascii="Arial" w:hAnsi="Arial" w:eastAsia="Times New Roman" w:cs="Arial"/>
          <w:color w:val="000000"/>
          <w:sz w:val="24"/>
          <w:szCs w:val="24"/>
        </w:rPr>
      </w:pPr>
      <w:r>
        <w:rPr>
          <w:rFonts w:ascii="Arial" w:hAnsi="Arial" w:eastAsia="Times New Roman" w:cs="Arial"/>
          <w:color w:val="000000"/>
          <w:sz w:val="24"/>
          <w:szCs w:val="24"/>
        </w:rPr>
        <w:t>Ugovor o javnoj nabavci koji je zaključen uz kršenje antikorupcijskog pravila u skladu sa odredbama važećeg Zakona o javnim nabavkama ništavan je.</w:t>
      </w:r>
    </w:p>
    <w:p>
      <w:pPr>
        <w:pStyle w:val="9"/>
        <w:numPr>
          <w:ilvl w:val="0"/>
          <w:numId w:val="12"/>
        </w:numPr>
        <w:spacing w:after="0" w:line="240" w:lineRule="auto"/>
        <w:jc w:val="both"/>
        <w:rPr>
          <w:rFonts w:ascii="Arial" w:hAnsi="Arial" w:eastAsia="Times New Roman" w:cs="Arial"/>
          <w:color w:val="000000"/>
          <w:sz w:val="24"/>
          <w:szCs w:val="24"/>
        </w:rPr>
      </w:pPr>
      <w:r>
        <w:rPr>
          <w:rFonts w:ascii="Arial" w:hAnsi="Arial" w:eastAsia="Times New Roman" w:cs="Arial"/>
          <w:color w:val="000000"/>
          <w:sz w:val="24"/>
          <w:szCs w:val="24"/>
        </w:rPr>
        <w:t>Ugovor će se smatrati zaključenim i stupa na snagu danom potpisivanja i ovjere od strane ovlašćenih predstavnika Ugovornih strana.</w:t>
      </w:r>
    </w:p>
    <w:p>
      <w:pPr>
        <w:spacing w:after="0" w:line="240" w:lineRule="auto"/>
        <w:jc w:val="both"/>
        <w:rPr>
          <w:rFonts w:ascii="Arial" w:hAnsi="Arial" w:eastAsia="Times New Roman" w:cs="Arial"/>
          <w:b/>
          <w:bCs/>
          <w:color w:val="000000"/>
          <w:sz w:val="24"/>
          <w:szCs w:val="24"/>
        </w:rPr>
      </w:pPr>
    </w:p>
    <w:p>
      <w:pPr>
        <w:spacing w:after="0" w:line="240" w:lineRule="auto"/>
        <w:jc w:val="both"/>
        <w:rPr>
          <w:rFonts w:ascii="Arial" w:hAnsi="Arial" w:eastAsia="Times New Roman" w:cs="Arial"/>
          <w:b/>
          <w:bCs/>
          <w:color w:val="FF0000"/>
          <w:sz w:val="24"/>
          <w:szCs w:val="24"/>
        </w:rPr>
      </w:pPr>
      <w:r>
        <w:rPr>
          <w:rFonts w:ascii="Arial" w:hAnsi="Arial" w:eastAsia="Times New Roman" w:cs="Arial"/>
          <w:color w:val="000000"/>
          <w:sz w:val="24"/>
          <w:szCs w:val="24"/>
        </w:rPr>
        <w:sym w:font="Wingdings" w:char="F0A8"/>
      </w:r>
      <w:r>
        <w:rPr>
          <w:rFonts w:ascii="Arial" w:hAnsi="Arial" w:eastAsia="Times New Roman" w:cs="Arial"/>
          <w:color w:val="000000"/>
          <w:sz w:val="24"/>
          <w:szCs w:val="24"/>
        </w:rPr>
        <w:t xml:space="preserve"> Ugovor o javnoj nabavci tokom njegovog trajanja može da se izmijeni bez sprovođenja novog postupka javne nabavke u skladu sa članom 151 Zakona o javnim nabavkama tačka 1 stav 1 ili 2. </w:t>
      </w:r>
    </w:p>
    <w:p>
      <w:pPr>
        <w:keepNext/>
        <w:keepLines/>
        <w:numPr>
          <w:ilvl w:val="0"/>
          <w:numId w:val="13"/>
        </w:numPr>
        <w:pBdr>
          <w:top w:val="single" w:color="auto" w:sz="4" w:space="1"/>
          <w:left w:val="single" w:color="auto" w:sz="4" w:space="4"/>
          <w:bottom w:val="single" w:color="auto" w:sz="4" w:space="1"/>
          <w:right w:val="single" w:color="auto" w:sz="4" w:space="4"/>
        </w:pBdr>
        <w:shd w:val="clear" w:color="auto" w:fill="D9D9D9"/>
        <w:spacing w:before="240"/>
        <w:jc w:val="both"/>
        <w:outlineLvl w:val="0"/>
        <w:rPr>
          <w:rFonts w:ascii="Arial" w:hAnsi="Arial" w:cs="Arial"/>
          <w:b/>
          <w:sz w:val="24"/>
          <w:szCs w:val="24"/>
        </w:rPr>
      </w:pPr>
      <w:bookmarkStart w:id="13" w:name="_Toc62730566"/>
      <w:r>
        <w:rPr>
          <w:rFonts w:ascii="Arial" w:hAnsi="Arial" w:cs="Arial"/>
          <w:b/>
          <w:sz w:val="24"/>
          <w:szCs w:val="24"/>
        </w:rPr>
        <w:t>ZAHTJEV ZA POJAŠNJENJE ILI IZMJENU I DOPUNU TENDERSKE DOKUMENTACIJE</w:t>
      </w:r>
      <w:bookmarkEnd w:id="13"/>
    </w:p>
    <w:p>
      <w:pPr>
        <w:autoSpaceDE w:val="0"/>
        <w:autoSpaceDN w:val="0"/>
        <w:adjustRightInd w:val="0"/>
        <w:jc w:val="both"/>
        <w:rPr>
          <w:rFonts w:ascii="Arial" w:hAnsi="Arial" w:cs="Arial"/>
          <w:sz w:val="24"/>
          <w:szCs w:val="24"/>
        </w:rPr>
      </w:pPr>
      <w:r>
        <w:rPr>
          <w:rFonts w:ascii="Arial"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pPr>
        <w:jc w:val="both"/>
        <w:rPr>
          <w:rFonts w:ascii="Arial" w:hAnsi="Arial" w:cs="Arial"/>
          <w:sz w:val="24"/>
          <w:szCs w:val="24"/>
        </w:rPr>
      </w:pPr>
      <w:r>
        <w:rPr>
          <w:rFonts w:ascii="Arial" w:hAnsi="Arial" w:cs="Arial"/>
          <w:sz w:val="24"/>
          <w:szCs w:val="24"/>
        </w:rPr>
        <w:t>Privredni subjekat ima pravo da pisanim zahtjevom traži od naručioca pojašnjenje tenderske dokumentacije najkasnije deset dana prije isteka roka određenog za dostavljanje ponuda.</w:t>
      </w:r>
    </w:p>
    <w:p>
      <w:pPr>
        <w:jc w:val="both"/>
        <w:rPr>
          <w:rFonts w:ascii="Arial" w:hAnsi="Arial" w:cs="Arial"/>
          <w:color w:val="000000"/>
          <w:sz w:val="24"/>
          <w:szCs w:val="24"/>
        </w:rPr>
      </w:pPr>
      <w:r>
        <w:rPr>
          <w:rFonts w:ascii="Arial" w:hAnsi="Arial" w:cs="Arial"/>
          <w:color w:val="000000"/>
          <w:sz w:val="24"/>
          <w:szCs w:val="24"/>
        </w:rPr>
        <w:t>Zahtjev se podnosi isključivo putem ESJN-a</w:t>
      </w: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ascii="Arial" w:hAnsi="Arial" w:eastAsia="Times New Roman" w:cs="Arial"/>
          <w:b/>
          <w:color w:val="000000"/>
          <w:sz w:val="24"/>
          <w:szCs w:val="24"/>
        </w:rPr>
      </w:pPr>
      <w:r>
        <w:rPr>
          <w:rFonts w:ascii="Arial" w:hAnsi="Arial" w:eastAsia="Times New Roman" w:cs="Arial"/>
          <w:b/>
          <w:sz w:val="24"/>
          <w:szCs w:val="24"/>
          <w:lang w:val="sr-Latn-RS"/>
        </w:rPr>
        <w:t>15</w:t>
      </w:r>
      <w:r>
        <w:rPr>
          <w:rFonts w:ascii="Arial" w:hAnsi="Arial" w:eastAsia="Times New Roman" w:cs="Arial"/>
          <w:b/>
          <w:sz w:val="24"/>
          <w:szCs w:val="24"/>
        </w:rPr>
        <w:t>. IZJAVA NARUČIOCA O NEPOSTOJANJU SUKOBA INTERESA</w:t>
      </w:r>
    </w:p>
    <w:p>
      <w:pPr>
        <w:tabs>
          <w:tab w:val="left" w:pos="1701"/>
          <w:tab w:val="left" w:pos="4820"/>
        </w:tabs>
        <w:spacing w:after="0" w:line="240" w:lineRule="auto"/>
        <w:jc w:val="both"/>
        <w:rPr>
          <w:rFonts w:ascii="Arial" w:hAnsi="Arial" w:eastAsia="Times New Roman" w:cs="Arial"/>
          <w:color w:val="000000"/>
          <w:sz w:val="24"/>
          <w:szCs w:val="24"/>
          <w:u w:val="single"/>
        </w:rPr>
      </w:pPr>
    </w:p>
    <w:p>
      <w:pPr>
        <w:tabs>
          <w:tab w:val="left" w:pos="851"/>
          <w:tab w:val="right" w:pos="3402"/>
        </w:tabs>
        <w:spacing w:after="0" w:line="240" w:lineRule="auto"/>
        <w:jc w:val="both"/>
        <w:rPr>
          <w:rFonts w:ascii="Arial" w:hAnsi="Arial" w:eastAsia="Calibri" w:cs="Arial"/>
          <w:color w:val="000000"/>
          <w:sz w:val="24"/>
          <w:szCs w:val="24"/>
          <w:lang w:val="pl-PL"/>
        </w:rPr>
      </w:pPr>
      <w:r>
        <w:rPr>
          <w:rFonts w:ascii="Arial" w:hAnsi="Arial" w:eastAsia="Calibri" w:cs="Arial"/>
          <w:color w:val="000000"/>
          <w:sz w:val="24"/>
          <w:szCs w:val="24"/>
          <w:lang w:val="pl-PL"/>
        </w:rPr>
        <w:t xml:space="preserve">Naručilac: Ministarstvo finansija </w:t>
      </w:r>
    </w:p>
    <w:p>
      <w:pPr>
        <w:tabs>
          <w:tab w:val="right" w:pos="3402"/>
        </w:tabs>
        <w:spacing w:after="0" w:line="240" w:lineRule="auto"/>
        <w:jc w:val="both"/>
        <w:rPr>
          <w:rFonts w:hint="default" w:ascii="Arial" w:hAnsi="Arial" w:eastAsia="Calibri" w:cs="Arial"/>
          <w:color w:val="000000"/>
          <w:sz w:val="24"/>
          <w:szCs w:val="24"/>
          <w:lang w:val="sr-Latn-ME"/>
        </w:rPr>
      </w:pPr>
      <w:r>
        <w:rPr>
          <w:rFonts w:ascii="Arial" w:hAnsi="Arial" w:eastAsia="Calibri" w:cs="Arial"/>
          <w:color w:val="000000"/>
          <w:sz w:val="24"/>
          <w:szCs w:val="24"/>
          <w:lang w:val="pl-PL"/>
        </w:rPr>
        <w:t xml:space="preserve">Broj: </w:t>
      </w:r>
      <w:r>
        <w:rPr>
          <w:rFonts w:hint="default" w:ascii="Arial" w:hAnsi="Arial" w:eastAsia="Calibri" w:cs="Arial"/>
          <w:color w:val="000000"/>
          <w:sz w:val="24"/>
          <w:szCs w:val="24"/>
          <w:lang w:val="sr-Latn-ME"/>
        </w:rPr>
        <w:t>21/2-426/25-32422/2</w:t>
      </w:r>
    </w:p>
    <w:p>
      <w:pPr>
        <w:tabs>
          <w:tab w:val="right" w:pos="3402"/>
        </w:tabs>
        <w:spacing w:after="0" w:line="240" w:lineRule="auto"/>
        <w:rPr>
          <w:rFonts w:hint="default" w:ascii="Arial" w:hAnsi="Arial" w:eastAsia="Calibri" w:cs="Arial"/>
          <w:color w:val="000000"/>
          <w:sz w:val="24"/>
          <w:szCs w:val="24"/>
          <w:lang w:val="sr-Latn-ME"/>
        </w:rPr>
      </w:pPr>
      <w:r>
        <w:rPr>
          <w:rFonts w:ascii="Arial" w:hAnsi="Arial" w:eastAsia="Calibri" w:cs="Arial"/>
          <w:color w:val="000000"/>
          <w:sz w:val="24"/>
          <w:szCs w:val="24"/>
          <w:lang w:val="pl-PL"/>
        </w:rPr>
        <w:t>Podgorica,</w:t>
      </w:r>
      <w:r>
        <w:rPr>
          <w:rFonts w:ascii="Arial" w:hAnsi="Arial" w:eastAsia="Calibri" w:cs="Arial"/>
          <w:color w:val="000000"/>
          <w:sz w:val="24"/>
          <w:szCs w:val="24"/>
          <w:lang w:val="sr-Latn-RS"/>
        </w:rPr>
        <w:t xml:space="preserve"> </w:t>
      </w:r>
      <w:r>
        <w:rPr>
          <w:rFonts w:hint="default" w:ascii="Arial" w:hAnsi="Arial" w:eastAsia="Calibri" w:cs="Arial"/>
          <w:color w:val="000000"/>
          <w:sz w:val="24"/>
          <w:szCs w:val="24"/>
          <w:lang w:val="sr-Latn-ME"/>
        </w:rPr>
        <w:t>24.09.2025. godine</w:t>
      </w:r>
    </w:p>
    <w:p>
      <w:pPr>
        <w:spacing w:after="0" w:line="240" w:lineRule="auto"/>
        <w:jc w:val="both"/>
        <w:rPr>
          <w:rFonts w:ascii="Arial" w:hAnsi="Arial" w:eastAsia="Times New Roman" w:cs="Arial"/>
          <w:b/>
          <w:bCs/>
          <w:color w:val="000000"/>
          <w:sz w:val="24"/>
          <w:szCs w:val="24"/>
          <w:highlight w:val="yellow"/>
        </w:rPr>
      </w:pPr>
    </w:p>
    <w:p>
      <w:pPr>
        <w:tabs>
          <w:tab w:val="left" w:pos="3290"/>
        </w:tabs>
        <w:spacing w:after="0" w:line="240" w:lineRule="auto"/>
        <w:ind w:firstLine="708"/>
        <w:jc w:val="both"/>
        <w:rPr>
          <w:rFonts w:ascii="Arial" w:hAnsi="Arial" w:eastAsia="Times New Roman" w:cs="Arial"/>
          <w:color w:val="000000"/>
          <w:sz w:val="24"/>
          <w:szCs w:val="24"/>
        </w:rPr>
      </w:pPr>
      <w:r>
        <w:rPr>
          <w:rFonts w:ascii="Arial" w:hAnsi="Arial" w:eastAsia="Times New Roman" w:cs="Arial"/>
          <w:color w:val="000000"/>
          <w:sz w:val="24"/>
          <w:szCs w:val="24"/>
        </w:rPr>
        <w:t>U skladu sa članom 43 stav 1 Zakona o javnim nabavkama (,,SI. List CG" broj 074/19 od 30.12.2019, 003/23 od 10.01.2023, 011/23 od 27.01.2023.</w:t>
      </w:r>
      <w:r>
        <w:rPr>
          <w:rFonts w:hint="default" w:ascii="Arial" w:hAnsi="Arial" w:eastAsia="Times New Roman" w:cs="Arial"/>
          <w:color w:val="000000"/>
          <w:sz w:val="24"/>
          <w:szCs w:val="24"/>
          <w:lang w:val="sr-Latn-ME"/>
        </w:rPr>
        <w:t xml:space="preserve"> i 84/24 od 06.09.2024.</w:t>
      </w:r>
      <w:r>
        <w:rPr>
          <w:rFonts w:ascii="Arial" w:hAnsi="Arial" w:eastAsia="Times New Roman" w:cs="Arial"/>
          <w:color w:val="000000"/>
          <w:sz w:val="24"/>
          <w:szCs w:val="24"/>
        </w:rPr>
        <w:t xml:space="preserve">), </w:t>
      </w:r>
    </w:p>
    <w:p>
      <w:pPr>
        <w:tabs>
          <w:tab w:val="left" w:pos="3290"/>
        </w:tabs>
        <w:spacing w:after="0" w:line="240" w:lineRule="auto"/>
        <w:jc w:val="both"/>
        <w:rPr>
          <w:rFonts w:ascii="Arial" w:hAnsi="Arial" w:eastAsia="Times New Roman" w:cs="Arial"/>
          <w:color w:val="000000"/>
          <w:sz w:val="24"/>
          <w:szCs w:val="24"/>
        </w:rPr>
      </w:pPr>
    </w:p>
    <w:p>
      <w:pPr>
        <w:tabs>
          <w:tab w:val="left" w:pos="3290"/>
        </w:tabs>
        <w:spacing w:after="0" w:line="240" w:lineRule="auto"/>
        <w:jc w:val="both"/>
        <w:rPr>
          <w:rFonts w:ascii="Arial" w:hAnsi="Arial" w:eastAsia="Times New Roman" w:cs="Arial"/>
          <w:color w:val="000000"/>
          <w:sz w:val="24"/>
          <w:szCs w:val="24"/>
        </w:rPr>
      </w:pPr>
    </w:p>
    <w:p>
      <w:pPr>
        <w:tabs>
          <w:tab w:val="left" w:pos="3290"/>
        </w:tabs>
        <w:spacing w:after="0" w:line="240" w:lineRule="auto"/>
        <w:jc w:val="both"/>
        <w:rPr>
          <w:rFonts w:ascii="Arial" w:hAnsi="Arial" w:eastAsia="Times New Roman" w:cs="Arial"/>
          <w:color w:val="000000"/>
          <w:sz w:val="24"/>
          <w:szCs w:val="24"/>
        </w:rPr>
      </w:pPr>
    </w:p>
    <w:p>
      <w:pPr>
        <w:tabs>
          <w:tab w:val="left" w:pos="3290"/>
        </w:tabs>
        <w:spacing w:after="0" w:line="240" w:lineRule="auto"/>
        <w:jc w:val="center"/>
        <w:rPr>
          <w:rFonts w:ascii="Arial" w:hAnsi="Arial" w:eastAsia="Times New Roman" w:cs="Arial"/>
          <w:b/>
          <w:bCs/>
          <w:color w:val="000000"/>
          <w:sz w:val="24"/>
          <w:szCs w:val="24"/>
        </w:rPr>
      </w:pPr>
      <w:r>
        <w:rPr>
          <w:rFonts w:ascii="Arial" w:hAnsi="Arial" w:eastAsia="Times New Roman" w:cs="Arial"/>
          <w:b/>
          <w:bCs/>
          <w:color w:val="000000"/>
          <w:sz w:val="24"/>
          <w:szCs w:val="24"/>
        </w:rPr>
        <w:t>Izjavljujem</w:t>
      </w:r>
    </w:p>
    <w:p>
      <w:pPr>
        <w:tabs>
          <w:tab w:val="left" w:pos="3290"/>
        </w:tabs>
        <w:spacing w:after="0" w:line="240" w:lineRule="auto"/>
        <w:jc w:val="center"/>
        <w:rPr>
          <w:rFonts w:ascii="Arial" w:hAnsi="Arial" w:eastAsia="Times New Roman" w:cs="Arial"/>
          <w:b/>
          <w:bCs/>
          <w:color w:val="000000"/>
          <w:sz w:val="24"/>
          <w:szCs w:val="24"/>
        </w:rPr>
      </w:pPr>
    </w:p>
    <w:p>
      <w:pPr>
        <w:tabs>
          <w:tab w:val="left" w:pos="3290"/>
        </w:tabs>
        <w:spacing w:after="0" w:line="240" w:lineRule="auto"/>
        <w:jc w:val="both"/>
        <w:rPr>
          <w:rFonts w:ascii="Arial" w:hAnsi="Arial" w:eastAsia="Times New Roman" w:cs="Arial"/>
          <w:color w:val="000000"/>
          <w:sz w:val="24"/>
          <w:szCs w:val="24"/>
        </w:rPr>
      </w:pPr>
    </w:p>
    <w:p>
      <w:pPr>
        <w:spacing w:after="0" w:line="240" w:lineRule="auto"/>
        <w:jc w:val="both"/>
        <w:rPr>
          <w:rFonts w:ascii="Arial" w:hAnsi="Arial" w:eastAsia="Calibri" w:cs="Arial"/>
          <w:sz w:val="24"/>
          <w:szCs w:val="24"/>
          <w:lang w:val="en-US"/>
        </w:rPr>
      </w:pPr>
      <w:r>
        <w:rPr>
          <w:rFonts w:ascii="Arial" w:hAnsi="Arial" w:eastAsia="Times New Roman" w:cs="Arial"/>
          <w:color w:val="000000"/>
          <w:sz w:val="24"/>
          <w:szCs w:val="24"/>
        </w:rPr>
        <w:t>da u postupku javne nabavke redni broj 11</w:t>
      </w:r>
      <w:r>
        <w:rPr>
          <w:rFonts w:ascii="Arial" w:hAnsi="Arial" w:eastAsia="Times New Roman" w:cs="Arial"/>
          <w:color w:val="000000"/>
          <w:sz w:val="24"/>
          <w:szCs w:val="24"/>
          <w:lang w:val="sr-Latn-RS"/>
        </w:rPr>
        <w:t>,</w:t>
      </w:r>
      <w:r>
        <w:rPr>
          <w:rFonts w:ascii="Arial" w:hAnsi="Arial" w:eastAsia="Times New Roman" w:cs="Arial"/>
          <w:color w:val="000000"/>
          <w:sz w:val="24"/>
          <w:szCs w:val="24"/>
        </w:rPr>
        <w:t xml:space="preserve"> iz Plana javne nabavke </w:t>
      </w:r>
      <w:r>
        <w:rPr>
          <w:rFonts w:ascii="Arial" w:hAnsi="Arial" w:eastAsia="Times New Roman" w:cs="Arial"/>
          <w:color w:val="000000"/>
          <w:sz w:val="24"/>
          <w:szCs w:val="24"/>
          <w:lang w:val="sr-Latn-RS"/>
        </w:rPr>
        <w:t xml:space="preserve"> broj  </w:t>
      </w:r>
      <w:r>
        <w:rPr>
          <w:rFonts w:hint="default" w:ascii="Arial" w:hAnsi="Arial" w:eastAsia="Times New Roman"/>
          <w:color w:val="000000"/>
          <w:sz w:val="24"/>
          <w:szCs w:val="24"/>
          <w:lang w:val="sr-Latn-RS"/>
        </w:rPr>
        <w:t>21/1-426/25-31983/1 od 19.09.2025. godine</w:t>
      </w:r>
      <w:r>
        <w:rPr>
          <w:rFonts w:ascii="Arial" w:hAnsi="Arial" w:eastAsia="Times New Roman" w:cs="Arial"/>
          <w:color w:val="000000"/>
          <w:sz w:val="24"/>
          <w:szCs w:val="24"/>
          <w:lang w:val="sr-Latn-RS"/>
        </w:rPr>
        <w:t xml:space="preserve">, šifra </w:t>
      </w:r>
      <w:r>
        <w:rPr>
          <w:rFonts w:hint="default" w:ascii="Arial" w:hAnsi="Arial" w:eastAsia="Times New Roman" w:cs="Arial"/>
          <w:color w:val="000000"/>
          <w:sz w:val="24"/>
          <w:szCs w:val="24"/>
          <w:lang w:val="sr-Latn-ME"/>
        </w:rPr>
        <w:t>21746</w:t>
      </w:r>
      <w:r>
        <w:rPr>
          <w:rFonts w:ascii="Arial" w:hAnsi="Arial" w:eastAsia="Times New Roman" w:cs="Arial"/>
          <w:color w:val="000000"/>
          <w:sz w:val="24"/>
          <w:szCs w:val="24"/>
          <w:lang w:val="sr-Latn-RS"/>
        </w:rPr>
        <w:t>, na poziciji 11,</w:t>
      </w:r>
      <w:r>
        <w:rPr>
          <w:rFonts w:ascii="Arial" w:hAnsi="Arial" w:eastAsia="Times New Roman" w:cs="Arial"/>
          <w:color w:val="000000"/>
          <w:sz w:val="24"/>
          <w:szCs w:val="24"/>
        </w:rPr>
        <w:t xml:space="preserve"> </w:t>
      </w:r>
      <w:r>
        <w:rPr>
          <w:rFonts w:ascii="Arial" w:hAnsi="Arial" w:eastAsia="Times New Roman" w:cs="Arial"/>
          <w:color w:val="000000"/>
          <w:sz w:val="24"/>
          <w:szCs w:val="24"/>
          <w:lang w:val="sr-Latn-RS"/>
        </w:rPr>
        <w:t>uslug</w:t>
      </w:r>
      <w:r>
        <w:rPr>
          <w:rFonts w:ascii="Arial" w:hAnsi="Arial" w:eastAsia="Times New Roman" w:cs="Arial"/>
          <w:color w:val="000000"/>
          <w:sz w:val="24"/>
          <w:szCs w:val="24"/>
        </w:rPr>
        <w:t>e</w:t>
      </w:r>
      <w:r>
        <w:rPr>
          <w:rFonts w:ascii="Arial" w:hAnsi="Arial" w:eastAsia="Times New Roman" w:cs="Arial"/>
          <w:color w:val="000000"/>
          <w:sz w:val="24"/>
          <w:szCs w:val="24"/>
          <w:lang w:val="sr-Latn-RS"/>
        </w:rPr>
        <w:t xml:space="preserve">  održavanja i unapredjenja funkcionalnosti softvera ESJN</w:t>
      </w:r>
      <w:r>
        <w:rPr>
          <w:rFonts w:ascii="Arial" w:hAnsi="Arial" w:eastAsia="Times New Roman" w:cs="Arial"/>
          <w:color w:val="000000"/>
          <w:sz w:val="24"/>
          <w:szCs w:val="24"/>
        </w:rPr>
        <w:t xml:space="preserve"> , nijesam u sukobu interesa u smislu člana 41 stav 1 tačka 1 Zakona o javnim nabavkama i da ne postoji ekonomski i drugi lični interes koji može uticati na moju nepristrasnost i nezavisnost u ovom postupku javne nabavke.</w:t>
      </w:r>
    </w:p>
    <w:p>
      <w:pPr>
        <w:tabs>
          <w:tab w:val="left" w:pos="3290"/>
        </w:tabs>
        <w:spacing w:after="0" w:line="240" w:lineRule="auto"/>
        <w:jc w:val="both"/>
        <w:rPr>
          <w:rFonts w:ascii="Arial" w:hAnsi="Arial" w:eastAsia="Times New Roman" w:cs="Arial"/>
          <w:color w:val="000000"/>
          <w:sz w:val="24"/>
          <w:szCs w:val="24"/>
        </w:rPr>
      </w:pPr>
    </w:p>
    <w:p>
      <w:pPr>
        <w:tabs>
          <w:tab w:val="left" w:pos="3290"/>
        </w:tabs>
        <w:spacing w:after="0" w:line="240" w:lineRule="auto"/>
        <w:jc w:val="both"/>
        <w:rPr>
          <w:rFonts w:ascii="Arial" w:hAnsi="Arial" w:eastAsia="Times New Roman" w:cs="Arial"/>
          <w:color w:val="000000"/>
          <w:sz w:val="24"/>
          <w:szCs w:val="24"/>
        </w:rPr>
      </w:pPr>
    </w:p>
    <w:p>
      <w:pPr>
        <w:spacing w:after="0" w:line="240" w:lineRule="auto"/>
        <w:ind w:firstLine="1134"/>
        <w:rPr>
          <w:rFonts w:ascii="Arial" w:hAnsi="Arial" w:eastAsia="Calibri" w:cs="Arial"/>
          <w:color w:val="000000"/>
          <w:sz w:val="24"/>
          <w:szCs w:val="24"/>
          <w:lang w:val="en-US"/>
        </w:rPr>
      </w:pPr>
      <w:r>
        <w:rPr>
          <w:rFonts w:ascii="Arial" w:hAnsi="Arial" w:eastAsia="Calibri" w:cs="Arial"/>
          <w:color w:val="000000"/>
          <w:sz w:val="24"/>
          <w:szCs w:val="24"/>
          <w:lang w:val="en-US"/>
        </w:rPr>
        <w:t xml:space="preserve">                       Ovlašćeno lice naručioca:                        </w:t>
      </w:r>
      <w:r>
        <w:rPr>
          <w:rFonts w:ascii="Arial" w:hAnsi="Arial" w:eastAsia="Calibri" w:cs="Arial"/>
          <w:color w:val="000000"/>
          <w:sz w:val="24"/>
          <w:szCs w:val="24"/>
          <w:lang w:val="sr-Latn-RS"/>
        </w:rPr>
        <w:t xml:space="preserve">     </w:t>
      </w:r>
      <w:r>
        <w:rPr>
          <w:rFonts w:ascii="Arial" w:hAnsi="Arial" w:eastAsia="Calibri" w:cs="Arial"/>
          <w:color w:val="000000"/>
          <w:sz w:val="24"/>
          <w:szCs w:val="24"/>
          <w:lang w:val="en-US"/>
        </w:rPr>
        <w:t xml:space="preserve">Sekretarka </w:t>
      </w:r>
    </w:p>
    <w:p>
      <w:pPr>
        <w:spacing w:after="0" w:line="240" w:lineRule="auto"/>
        <w:ind w:firstLine="1134"/>
        <w:jc w:val="center"/>
        <w:rPr>
          <w:rFonts w:ascii="Arial" w:hAnsi="Arial" w:eastAsia="Calibri" w:cs="Arial"/>
          <w:color w:val="000000"/>
          <w:sz w:val="24"/>
          <w:szCs w:val="24"/>
          <w:lang w:val="en-US"/>
        </w:rPr>
      </w:pPr>
      <w:r>
        <w:rPr>
          <w:rFonts w:ascii="Arial" w:hAnsi="Arial" w:eastAsia="Calibri" w:cs="Arial"/>
          <w:color w:val="000000"/>
          <w:sz w:val="24"/>
          <w:szCs w:val="24"/>
          <w:lang w:val="en-US"/>
        </w:rPr>
        <w:t xml:space="preserve">                                                                                  </w:t>
      </w:r>
      <w:r>
        <w:rPr>
          <w:rFonts w:ascii="Arial" w:hAnsi="Arial" w:eastAsia="Calibri" w:cs="Arial"/>
          <w:color w:val="000000"/>
          <w:sz w:val="24"/>
          <w:szCs w:val="24"/>
          <w:lang w:val="sr-Latn-RS"/>
        </w:rPr>
        <w:t>Maja Mitrovi</w:t>
      </w:r>
      <w:r>
        <w:rPr>
          <w:rFonts w:ascii="Arial" w:hAnsi="Arial" w:eastAsia="Calibri" w:cs="Arial"/>
          <w:color w:val="000000"/>
          <w:sz w:val="24"/>
          <w:szCs w:val="24"/>
          <w:lang w:val="en-US"/>
        </w:rPr>
        <w:t>ć</w:t>
      </w:r>
    </w:p>
    <w:p>
      <w:pPr>
        <w:spacing w:after="0" w:line="240" w:lineRule="auto"/>
        <w:ind w:firstLine="8160" w:firstLineChars="3400"/>
        <w:jc w:val="both"/>
        <w:rPr>
          <w:rFonts w:ascii="Arial" w:hAnsi="Arial" w:eastAsia="Calibri" w:cs="Arial"/>
          <w:i/>
          <w:iCs/>
          <w:color w:val="000000"/>
          <w:sz w:val="24"/>
          <w:szCs w:val="24"/>
          <w:lang w:val="en-US"/>
        </w:rPr>
      </w:pPr>
      <w:r>
        <w:rPr>
          <w:rFonts w:ascii="Arial" w:hAnsi="Arial" w:eastAsia="Calibri" w:cs="Arial"/>
          <w:i/>
          <w:iCs/>
          <w:color w:val="000000"/>
          <w:sz w:val="24"/>
          <w:szCs w:val="24"/>
          <w:lang w:val="en-US"/>
        </w:rPr>
        <w:t xml:space="preserve">  s.r.</w:t>
      </w:r>
    </w:p>
    <w:p>
      <w:pPr>
        <w:spacing w:after="0" w:line="240" w:lineRule="auto"/>
        <w:rPr>
          <w:rFonts w:ascii="Arial" w:hAnsi="Arial" w:eastAsia="Calibri" w:cs="Arial"/>
          <w:i/>
          <w:iCs/>
          <w:color w:val="000000"/>
          <w:sz w:val="24"/>
          <w:szCs w:val="24"/>
          <w:lang w:val="en-US"/>
        </w:rPr>
      </w:pPr>
    </w:p>
    <w:p>
      <w:pPr>
        <w:tabs>
          <w:tab w:val="left" w:pos="8160"/>
        </w:tabs>
        <w:spacing w:after="0" w:line="240" w:lineRule="auto"/>
        <w:jc w:val="both"/>
        <w:rPr>
          <w:rFonts w:ascii="Arial" w:hAnsi="Arial" w:eastAsia="Calibri" w:cs="Arial"/>
          <w:i/>
          <w:color w:val="000000"/>
          <w:sz w:val="24"/>
          <w:szCs w:val="24"/>
          <w:lang w:val="en-US"/>
        </w:rPr>
      </w:pPr>
    </w:p>
    <w:p>
      <w:pPr>
        <w:tabs>
          <w:tab w:val="left" w:pos="8160"/>
        </w:tabs>
        <w:spacing w:after="0" w:line="240" w:lineRule="auto"/>
        <w:jc w:val="center"/>
        <w:rPr>
          <w:rFonts w:ascii="Arial" w:hAnsi="Arial" w:eastAsia="Calibri" w:cs="Arial"/>
          <w:i/>
          <w:color w:val="000000"/>
          <w:sz w:val="24"/>
          <w:szCs w:val="24"/>
          <w:lang w:val="en-US"/>
        </w:rPr>
      </w:pPr>
    </w:p>
    <w:p>
      <w:pPr>
        <w:spacing w:after="0" w:line="240" w:lineRule="auto"/>
        <w:jc w:val="both"/>
        <w:rPr>
          <w:rFonts w:ascii="Arial" w:hAnsi="Arial" w:eastAsia="Calibri" w:cs="Arial"/>
          <w:color w:val="000000"/>
          <w:sz w:val="24"/>
          <w:szCs w:val="24"/>
        </w:rPr>
      </w:pPr>
      <w:r>
        <w:rPr>
          <w:rFonts w:ascii="Arial" w:hAnsi="Arial" w:eastAsia="Calibri" w:cs="Arial"/>
          <w:color w:val="000000"/>
          <w:sz w:val="24"/>
          <w:szCs w:val="24"/>
          <w:lang w:val="en-US"/>
        </w:rPr>
        <w:t xml:space="preserve">Lice koje je učestvovalo u planiranju javne nabavke:                           </w:t>
      </w:r>
      <w:r>
        <w:rPr>
          <w:rFonts w:ascii="Arial" w:hAnsi="Arial" w:eastAsia="Calibri" w:cs="Arial"/>
          <w:color w:val="000000"/>
          <w:sz w:val="24"/>
          <w:szCs w:val="24"/>
        </w:rPr>
        <w:t>Jelena Jovetić</w:t>
      </w:r>
    </w:p>
    <w:p>
      <w:pPr>
        <w:spacing w:after="0" w:line="240" w:lineRule="auto"/>
        <w:jc w:val="both"/>
        <w:rPr>
          <w:rFonts w:ascii="Arial" w:hAnsi="Arial" w:eastAsia="Calibri" w:cs="Arial"/>
          <w:color w:val="000000"/>
          <w:sz w:val="24"/>
          <w:szCs w:val="24"/>
        </w:rPr>
      </w:pPr>
      <w:r>
        <w:rPr>
          <w:rFonts w:ascii="Arial" w:hAnsi="Arial" w:eastAsia="Calibri" w:cs="Arial"/>
          <w:color w:val="000000"/>
          <w:sz w:val="24"/>
          <w:szCs w:val="24"/>
          <w:lang w:val="en-US"/>
        </w:rPr>
        <w:t>Direktor</w:t>
      </w:r>
      <w:r>
        <w:rPr>
          <w:rFonts w:ascii="Arial" w:hAnsi="Arial" w:eastAsia="Calibri" w:cs="Arial"/>
          <w:color w:val="000000"/>
          <w:sz w:val="24"/>
          <w:szCs w:val="24"/>
        </w:rPr>
        <w:t>ica</w:t>
      </w:r>
      <w:r>
        <w:rPr>
          <w:rFonts w:ascii="Arial" w:hAnsi="Arial" w:eastAsia="Calibri" w:cs="Arial"/>
          <w:color w:val="000000"/>
          <w:sz w:val="24"/>
          <w:szCs w:val="24"/>
          <w:lang w:val="en-US"/>
        </w:rPr>
        <w:t xml:space="preserve"> Direktorata za </w:t>
      </w:r>
      <w:r>
        <w:rPr>
          <w:rFonts w:ascii="Arial" w:hAnsi="Arial" w:eastAsia="Calibri" w:cs="Arial"/>
          <w:color w:val="000000"/>
          <w:sz w:val="24"/>
          <w:szCs w:val="24"/>
        </w:rPr>
        <w:t xml:space="preserve">upravljanje javnim investicijama i politiku          </w:t>
      </w:r>
      <w:r>
        <w:rPr>
          <w:rFonts w:ascii="Arial" w:hAnsi="Arial" w:eastAsia="Calibri" w:cs="Arial"/>
          <w:i/>
          <w:iCs/>
          <w:color w:val="000000"/>
          <w:sz w:val="24"/>
          <w:szCs w:val="24"/>
        </w:rPr>
        <w:t xml:space="preserve">   s.r</w:t>
      </w:r>
    </w:p>
    <w:p>
      <w:pPr>
        <w:spacing w:after="0" w:line="240" w:lineRule="auto"/>
        <w:jc w:val="both"/>
        <w:rPr>
          <w:rFonts w:ascii="Arial" w:hAnsi="Arial" w:eastAsia="Calibri" w:cs="Arial"/>
          <w:color w:val="000000"/>
          <w:sz w:val="24"/>
          <w:szCs w:val="24"/>
        </w:rPr>
      </w:pPr>
      <w:r>
        <w:rPr>
          <w:rFonts w:ascii="Arial" w:hAnsi="Arial" w:eastAsia="Calibri" w:cs="Arial"/>
          <w:color w:val="000000"/>
          <w:sz w:val="24"/>
          <w:szCs w:val="24"/>
        </w:rPr>
        <w:t>javnih nabavki</w:t>
      </w:r>
    </w:p>
    <w:p>
      <w:pPr>
        <w:spacing w:after="0" w:line="240" w:lineRule="auto"/>
        <w:jc w:val="both"/>
        <w:rPr>
          <w:rFonts w:ascii="Arial" w:hAnsi="Arial" w:eastAsia="Calibri" w:cs="Arial"/>
          <w:color w:val="000000"/>
          <w:sz w:val="24"/>
          <w:szCs w:val="24"/>
          <w:lang w:val="en-US"/>
        </w:rPr>
      </w:pPr>
      <w:r>
        <w:rPr>
          <w:rFonts w:ascii="Arial" w:hAnsi="Arial" w:eastAsia="Calibri" w:cs="Arial"/>
          <w:color w:val="000000"/>
          <w:sz w:val="24"/>
          <w:szCs w:val="24"/>
          <w:lang w:val="en-US"/>
        </w:rPr>
        <w:t xml:space="preserve">                                                                                           </w:t>
      </w:r>
    </w:p>
    <w:p>
      <w:pPr>
        <w:tabs>
          <w:tab w:val="left" w:pos="6405"/>
        </w:tabs>
        <w:spacing w:after="0" w:line="240" w:lineRule="auto"/>
        <w:rPr>
          <w:rFonts w:ascii="Arial" w:hAnsi="Arial" w:eastAsia="Calibri" w:cs="Arial"/>
          <w:color w:val="000000"/>
          <w:sz w:val="24"/>
          <w:szCs w:val="24"/>
          <w:lang w:val="en-US"/>
        </w:rPr>
      </w:pPr>
    </w:p>
    <w:p>
      <w:pPr>
        <w:tabs>
          <w:tab w:val="left" w:pos="6405"/>
        </w:tabs>
        <w:spacing w:after="0" w:line="240" w:lineRule="auto"/>
        <w:rPr>
          <w:rFonts w:ascii="Arial" w:hAnsi="Arial" w:eastAsia="Calibri" w:cs="Arial"/>
          <w:color w:val="000000"/>
          <w:sz w:val="24"/>
          <w:szCs w:val="24"/>
          <w:lang w:val="en-US"/>
        </w:rPr>
      </w:pPr>
    </w:p>
    <w:p>
      <w:pPr>
        <w:tabs>
          <w:tab w:val="left" w:pos="6405"/>
        </w:tabs>
        <w:spacing w:after="0" w:line="240" w:lineRule="auto"/>
        <w:jc w:val="both"/>
        <w:rPr>
          <w:rFonts w:ascii="Arial" w:hAnsi="Arial" w:eastAsia="Times New Roman" w:cs="Arial"/>
          <w:i/>
          <w:iCs/>
          <w:color w:val="000000"/>
          <w:sz w:val="24"/>
          <w:szCs w:val="24"/>
          <w:lang w:val="en-US"/>
        </w:rPr>
      </w:pPr>
      <w:r>
        <w:rPr>
          <w:rFonts w:ascii="Arial" w:hAnsi="Arial" w:eastAsia="Calibri" w:cs="Arial"/>
          <w:color w:val="000000"/>
          <w:sz w:val="24"/>
          <w:szCs w:val="24"/>
          <w:lang w:val="sr-Latn-RS"/>
        </w:rPr>
        <w:t>Predsjednik</w:t>
      </w:r>
      <w:r>
        <w:rPr>
          <w:rFonts w:ascii="Arial" w:hAnsi="Arial" w:eastAsia="Times New Roman" w:cs="Arial"/>
          <w:iCs/>
          <w:color w:val="000000"/>
          <w:sz w:val="24"/>
          <w:szCs w:val="24"/>
          <w:lang w:val="en-US"/>
        </w:rPr>
        <w:t xml:space="preserve"> komisije </w:t>
      </w:r>
      <w:r>
        <w:rPr>
          <w:rFonts w:ascii="Arial" w:hAnsi="Arial" w:eastAsia="Times New Roman" w:cs="Arial"/>
          <w:sz w:val="24"/>
          <w:szCs w:val="24"/>
          <w:lang w:val="en-US"/>
        </w:rPr>
        <w:t>za sprovođenje postupka javne nabavk</w:t>
      </w:r>
      <w:r>
        <w:rPr>
          <w:rFonts w:ascii="Arial" w:hAnsi="Arial" w:eastAsia="Times New Roman" w:cs="Arial"/>
          <w:iCs/>
          <w:color w:val="000000"/>
          <w:sz w:val="24"/>
          <w:szCs w:val="24"/>
          <w:lang w:val="en-US"/>
        </w:rPr>
        <w:t xml:space="preserve">e: </w:t>
      </w:r>
      <w:r>
        <w:rPr>
          <w:rFonts w:ascii="Arial" w:hAnsi="Arial" w:eastAsia="Times New Roman" w:cs="Arial"/>
          <w:iCs/>
          <w:color w:val="000000"/>
          <w:sz w:val="24"/>
          <w:szCs w:val="24"/>
        </w:rPr>
        <w:t>Gorana Mrvaljević</w:t>
      </w:r>
      <w:r>
        <w:rPr>
          <w:rFonts w:ascii="Arial" w:hAnsi="Arial" w:eastAsia="Times New Roman" w:cs="Arial"/>
          <w:iCs/>
          <w:color w:val="000000"/>
          <w:sz w:val="24"/>
          <w:szCs w:val="24"/>
          <w:lang w:val="en-US"/>
        </w:rPr>
        <w:t xml:space="preserve">, </w:t>
      </w:r>
      <w:r>
        <w:rPr>
          <w:rFonts w:ascii="Arial" w:hAnsi="Arial" w:eastAsia="Times New Roman" w:cs="Arial"/>
          <w:i/>
          <w:iCs/>
          <w:color w:val="000000"/>
          <w:sz w:val="24"/>
          <w:szCs w:val="24"/>
          <w:lang w:val="en-US"/>
        </w:rPr>
        <w:t>s.r.</w:t>
      </w:r>
    </w:p>
    <w:p>
      <w:pPr>
        <w:tabs>
          <w:tab w:val="left" w:pos="6405"/>
        </w:tabs>
        <w:spacing w:after="0" w:line="240" w:lineRule="auto"/>
        <w:jc w:val="both"/>
        <w:rPr>
          <w:rFonts w:ascii="Arial" w:hAnsi="Arial" w:eastAsia="Times New Roman" w:cs="Arial"/>
          <w:i/>
          <w:iCs/>
          <w:color w:val="000000"/>
          <w:sz w:val="24"/>
          <w:szCs w:val="24"/>
          <w:lang w:val="en-US"/>
        </w:rPr>
      </w:pPr>
    </w:p>
    <w:p>
      <w:pPr>
        <w:tabs>
          <w:tab w:val="left" w:pos="3290"/>
        </w:tabs>
        <w:spacing w:after="0" w:line="240" w:lineRule="auto"/>
        <w:jc w:val="both"/>
        <w:rPr>
          <w:rFonts w:ascii="Arial" w:hAnsi="Arial" w:eastAsia="Times New Roman" w:cs="Arial"/>
          <w:iCs/>
          <w:color w:val="000000"/>
          <w:sz w:val="24"/>
          <w:szCs w:val="24"/>
          <w:lang w:val="en-US"/>
        </w:rPr>
      </w:pPr>
    </w:p>
    <w:p>
      <w:pPr>
        <w:tabs>
          <w:tab w:val="left" w:pos="3290"/>
        </w:tabs>
        <w:spacing w:after="0" w:line="360" w:lineRule="auto"/>
        <w:rPr>
          <w:rFonts w:ascii="Arial" w:hAnsi="Arial" w:eastAsia="Times New Roman" w:cs="Arial"/>
          <w:i/>
          <w:iCs/>
          <w:color w:val="000000"/>
          <w:sz w:val="24"/>
          <w:szCs w:val="24"/>
          <w:lang w:val="en-US"/>
        </w:rPr>
      </w:pPr>
      <w:r>
        <w:rPr>
          <w:rFonts w:ascii="Arial" w:hAnsi="Arial" w:eastAsia="Times New Roman" w:cs="Arial"/>
          <w:iCs/>
          <w:color w:val="000000"/>
          <w:sz w:val="24"/>
          <w:szCs w:val="24"/>
          <w:lang w:val="en-US"/>
        </w:rPr>
        <w:t xml:space="preserve">Član komisije </w:t>
      </w:r>
      <w:r>
        <w:rPr>
          <w:rFonts w:ascii="Arial" w:hAnsi="Arial" w:eastAsia="Times New Roman" w:cs="Arial"/>
          <w:sz w:val="24"/>
          <w:szCs w:val="24"/>
          <w:lang w:val="en-US"/>
        </w:rPr>
        <w:t>za sprovođenje postupka javne nabavk</w:t>
      </w:r>
      <w:r>
        <w:rPr>
          <w:rFonts w:ascii="Arial" w:hAnsi="Arial" w:eastAsia="Times New Roman" w:cs="Arial"/>
          <w:iCs/>
          <w:color w:val="000000"/>
          <w:sz w:val="24"/>
          <w:szCs w:val="24"/>
          <w:lang w:val="en-US"/>
        </w:rPr>
        <w:t xml:space="preserve">e: </w:t>
      </w:r>
      <w:r>
        <w:rPr>
          <w:rFonts w:ascii="Arial" w:hAnsi="Arial" w:eastAsia="Times New Roman" w:cs="Arial"/>
          <w:iCs/>
          <w:color w:val="000000"/>
          <w:sz w:val="24"/>
          <w:szCs w:val="24"/>
        </w:rPr>
        <w:t>Farisa K</w:t>
      </w:r>
      <w:r>
        <w:rPr>
          <w:rFonts w:ascii="Arial" w:hAnsi="Arial" w:eastAsia="Times New Roman" w:cs="Arial"/>
          <w:iCs/>
          <w:color w:val="000000"/>
          <w:sz w:val="24"/>
          <w:szCs w:val="24"/>
          <w:lang w:val="sr-Latn-RS"/>
        </w:rPr>
        <w:t>urpejovi</w:t>
      </w:r>
      <w:r>
        <w:rPr>
          <w:rFonts w:ascii="Arial" w:hAnsi="Arial" w:eastAsia="Times New Roman" w:cs="Arial"/>
          <w:iCs/>
          <w:color w:val="000000"/>
          <w:sz w:val="24"/>
          <w:szCs w:val="24"/>
        </w:rPr>
        <w:t>ć</w:t>
      </w:r>
      <w:r>
        <w:rPr>
          <w:rFonts w:ascii="Arial" w:hAnsi="Arial" w:eastAsia="Times New Roman" w:cs="Arial"/>
          <w:iCs/>
          <w:color w:val="000000"/>
          <w:sz w:val="24"/>
          <w:szCs w:val="24"/>
          <w:lang w:val="en-US"/>
        </w:rPr>
        <w:t xml:space="preserve">, </w:t>
      </w:r>
      <w:r>
        <w:rPr>
          <w:rFonts w:ascii="Arial" w:hAnsi="Arial" w:eastAsia="Times New Roman" w:cs="Arial"/>
          <w:i/>
          <w:iCs/>
          <w:color w:val="000000"/>
          <w:sz w:val="24"/>
          <w:szCs w:val="24"/>
          <w:lang w:val="en-US"/>
        </w:rPr>
        <w:t>s.r.</w:t>
      </w:r>
    </w:p>
    <w:p>
      <w:pPr>
        <w:tabs>
          <w:tab w:val="left" w:pos="3290"/>
        </w:tabs>
        <w:spacing w:after="0" w:line="360" w:lineRule="auto"/>
        <w:rPr>
          <w:rFonts w:ascii="Arial" w:hAnsi="Arial" w:eastAsia="Times New Roman" w:cs="Arial"/>
          <w:i/>
          <w:iCs/>
          <w:color w:val="000000"/>
          <w:sz w:val="24"/>
          <w:szCs w:val="24"/>
          <w:lang w:val="en-US"/>
        </w:rPr>
      </w:pPr>
    </w:p>
    <w:p>
      <w:pPr>
        <w:tabs>
          <w:tab w:val="left" w:pos="3290"/>
        </w:tabs>
        <w:spacing w:after="0" w:line="360" w:lineRule="auto"/>
        <w:rPr>
          <w:rFonts w:ascii="Arial" w:hAnsi="Arial" w:eastAsia="Times New Roman" w:cs="Arial"/>
          <w:i/>
          <w:iCs/>
          <w:color w:val="000000"/>
          <w:sz w:val="24"/>
          <w:szCs w:val="24"/>
          <w:lang w:val="en-US"/>
        </w:rPr>
      </w:pPr>
      <w:r>
        <w:rPr>
          <w:rFonts w:ascii="Arial" w:hAnsi="Arial" w:eastAsia="Times New Roman" w:cs="Arial"/>
          <w:iCs/>
          <w:color w:val="000000"/>
          <w:sz w:val="24"/>
          <w:szCs w:val="24"/>
          <w:lang w:val="en-US"/>
        </w:rPr>
        <w:t xml:space="preserve">Član komisije </w:t>
      </w:r>
      <w:r>
        <w:rPr>
          <w:rFonts w:ascii="Arial" w:hAnsi="Arial" w:eastAsia="Times New Roman" w:cs="Arial"/>
          <w:sz w:val="24"/>
          <w:szCs w:val="24"/>
          <w:lang w:val="en-US"/>
        </w:rPr>
        <w:t>za sprovođenje postupka javne nabavk</w:t>
      </w:r>
      <w:r>
        <w:rPr>
          <w:rFonts w:ascii="Arial" w:hAnsi="Arial" w:eastAsia="Times New Roman" w:cs="Arial"/>
          <w:iCs/>
          <w:color w:val="000000"/>
          <w:sz w:val="24"/>
          <w:szCs w:val="24"/>
          <w:lang w:val="en-US"/>
        </w:rPr>
        <w:t>e:</w:t>
      </w:r>
      <w:r>
        <w:rPr>
          <w:rFonts w:ascii="Arial" w:hAnsi="Arial" w:eastAsia="Times New Roman" w:cs="Arial"/>
          <w:iCs/>
          <w:color w:val="000000"/>
          <w:sz w:val="24"/>
          <w:szCs w:val="24"/>
        </w:rPr>
        <w:t>Dragan Prenkić</w:t>
      </w:r>
      <w:r>
        <w:rPr>
          <w:rFonts w:ascii="Arial" w:hAnsi="Arial" w:eastAsia="Times New Roman" w:cs="Arial"/>
          <w:iCs/>
          <w:color w:val="000000"/>
          <w:sz w:val="24"/>
          <w:szCs w:val="24"/>
          <w:lang w:val="en-US"/>
        </w:rPr>
        <w:t xml:space="preserve">, </w:t>
      </w:r>
      <w:r>
        <w:rPr>
          <w:rFonts w:ascii="Arial" w:hAnsi="Arial" w:eastAsia="Times New Roman" w:cs="Arial"/>
          <w:i/>
          <w:iCs/>
          <w:color w:val="000000"/>
          <w:sz w:val="24"/>
          <w:szCs w:val="24"/>
          <w:lang w:val="en-US"/>
        </w:rPr>
        <w:t>s.r</w:t>
      </w:r>
    </w:p>
    <w:p>
      <w:pPr>
        <w:tabs>
          <w:tab w:val="left" w:pos="3290"/>
        </w:tabs>
        <w:spacing w:after="0" w:line="360" w:lineRule="auto"/>
        <w:rPr>
          <w:rFonts w:ascii="Arial" w:hAnsi="Arial" w:eastAsia="Times New Roman" w:cs="Arial"/>
          <w:i/>
          <w:iCs/>
          <w:color w:val="000000"/>
          <w:sz w:val="24"/>
          <w:szCs w:val="24"/>
          <w:lang w:val="en-US"/>
        </w:rPr>
      </w:pPr>
    </w:p>
    <w:p>
      <w:pPr>
        <w:tabs>
          <w:tab w:val="left" w:pos="3290"/>
        </w:tabs>
        <w:spacing w:after="0" w:line="360" w:lineRule="auto"/>
        <w:rPr>
          <w:rFonts w:ascii="Arial" w:hAnsi="Arial" w:eastAsia="Times New Roman" w:cs="Arial"/>
          <w:i/>
          <w:iCs/>
          <w:color w:val="000000"/>
          <w:sz w:val="24"/>
          <w:szCs w:val="24"/>
          <w:lang w:val="en-US"/>
        </w:rPr>
      </w:pPr>
    </w:p>
    <w:p>
      <w:pPr>
        <w:tabs>
          <w:tab w:val="left" w:pos="3290"/>
        </w:tabs>
        <w:spacing w:after="0" w:line="360" w:lineRule="auto"/>
        <w:rPr>
          <w:rFonts w:ascii="Arial" w:hAnsi="Arial" w:eastAsia="Times New Roman" w:cs="Arial"/>
          <w:i/>
          <w:iCs/>
          <w:color w:val="000000"/>
          <w:sz w:val="24"/>
          <w:szCs w:val="24"/>
          <w:lang w:val="en-US"/>
        </w:rPr>
      </w:pPr>
      <w:bookmarkStart w:id="15" w:name="_GoBack"/>
      <w:bookmarkEnd w:id="15"/>
    </w:p>
    <w:p>
      <w:pPr>
        <w:keepNext/>
        <w:keepLines/>
        <w:pBdr>
          <w:top w:val="single" w:color="auto" w:sz="4" w:space="1"/>
          <w:left w:val="single" w:color="auto" w:sz="4" w:space="4"/>
          <w:bottom w:val="single" w:color="auto" w:sz="4" w:space="1"/>
          <w:right w:val="single" w:color="auto" w:sz="4" w:space="4"/>
        </w:pBdr>
        <w:shd w:val="clear" w:color="auto" w:fill="D9D9D9"/>
        <w:spacing w:before="240"/>
        <w:outlineLvl w:val="0"/>
        <w:rPr>
          <w:rFonts w:ascii="Arial" w:hAnsi="Arial" w:cs="Arial"/>
          <w:b/>
          <w:iCs/>
          <w:sz w:val="24"/>
          <w:szCs w:val="24"/>
        </w:rPr>
      </w:pPr>
      <w:bookmarkStart w:id="14" w:name="_Toc62730568"/>
      <w:r>
        <w:rPr>
          <w:rFonts w:ascii="Arial" w:hAnsi="Arial" w:cs="Arial"/>
          <w:b/>
          <w:sz w:val="24"/>
          <w:szCs w:val="24"/>
          <w:lang w:val="sr-Latn-RS"/>
        </w:rPr>
        <w:t>16.</w:t>
      </w:r>
      <w:r>
        <w:rPr>
          <w:rFonts w:ascii="Arial" w:hAnsi="Arial" w:cs="Arial"/>
          <w:b/>
          <w:sz w:val="24"/>
          <w:szCs w:val="24"/>
        </w:rPr>
        <w:t>UPUTSTVO O PRAVNOM SREDSTVU</w:t>
      </w:r>
      <w:bookmarkEnd w:id="14"/>
    </w:p>
    <w:p>
      <w:pPr>
        <w:tabs>
          <w:tab w:val="left" w:pos="5760"/>
        </w:tabs>
        <w:jc w:val="center"/>
        <w:rPr>
          <w:rFonts w:ascii="Arial" w:hAnsi="Arial" w:cs="Arial"/>
          <w:color w:val="000000"/>
          <w:sz w:val="24"/>
          <w:szCs w:val="24"/>
        </w:rPr>
      </w:pPr>
    </w:p>
    <w:p>
      <w:pPr>
        <w:tabs>
          <w:tab w:val="left" w:pos="5760"/>
        </w:tabs>
        <w:ind w:firstLine="567"/>
        <w:jc w:val="both"/>
        <w:rPr>
          <w:rFonts w:ascii="Arial" w:hAnsi="Arial" w:cs="Arial"/>
          <w:color w:val="000000"/>
          <w:sz w:val="24"/>
          <w:szCs w:val="24"/>
        </w:rPr>
      </w:pPr>
      <w:r>
        <w:rPr>
          <w:rFonts w:ascii="Arial" w:hAnsi="Arial" w:cs="Arial"/>
          <w:color w:val="000000"/>
          <w:sz w:val="24"/>
          <w:szCs w:val="24"/>
        </w:rPr>
        <w:t>Privredni subjekat može da izjavi žalbu protiv ove tenderske dokumentacije Komisiji za zaštitu prava:</w:t>
      </w:r>
    </w:p>
    <w:p>
      <w:pPr>
        <w:pStyle w:val="7"/>
        <w:ind w:left="567" w:hanging="283"/>
        <w:rPr>
          <w:rFonts w:ascii="Arial" w:hAnsi="Arial" w:cs="Arial"/>
          <w:sz w:val="24"/>
          <w:szCs w:val="24"/>
        </w:rPr>
      </w:pPr>
      <w:r>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pPr>
        <w:pStyle w:val="7"/>
        <w:ind w:left="567" w:hanging="283"/>
        <w:rPr>
          <w:rFonts w:ascii="Arial" w:hAnsi="Arial" w:cs="Arial"/>
          <w:sz w:val="24"/>
          <w:szCs w:val="24"/>
        </w:rPr>
      </w:pPr>
      <w:r>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pPr>
        <w:pStyle w:val="7"/>
        <w:ind w:left="567" w:hanging="283"/>
        <w:rPr>
          <w:rFonts w:ascii="Arial" w:hAnsi="Arial" w:cs="Arial"/>
          <w:sz w:val="24"/>
          <w:szCs w:val="24"/>
        </w:rPr>
      </w:pPr>
      <w:r>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pPr>
        <w:pStyle w:val="7"/>
        <w:ind w:left="567" w:hanging="283"/>
        <w:rPr>
          <w:rFonts w:ascii="Arial" w:hAnsi="Arial" w:cs="Arial"/>
          <w:sz w:val="24"/>
          <w:szCs w:val="24"/>
        </w:rPr>
      </w:pPr>
    </w:p>
    <w:p>
      <w:pPr>
        <w:autoSpaceDE w:val="0"/>
        <w:autoSpaceDN w:val="0"/>
        <w:adjustRightInd w:val="0"/>
        <w:ind w:firstLine="567"/>
        <w:jc w:val="both"/>
        <w:rPr>
          <w:rFonts w:ascii="Arial" w:hAnsi="Arial" w:cs="Arial"/>
          <w:color w:val="000000"/>
          <w:sz w:val="24"/>
          <w:szCs w:val="24"/>
        </w:rPr>
      </w:pPr>
      <w:r>
        <w:rPr>
          <w:rFonts w:ascii="Arial" w:hAnsi="Arial" w:cs="Arial"/>
          <w:color w:val="000000"/>
          <w:sz w:val="24"/>
          <w:szCs w:val="24"/>
        </w:rPr>
        <w:t>Žalba se izjavljuje preko naručioca neposredno putem ESJN-a. Žalba koja nije podnesena na naprijed predviđeni način biće odbijena kao nedozvoljena.</w:t>
      </w:r>
    </w:p>
    <w:p>
      <w:pPr>
        <w:autoSpaceDE w:val="0"/>
        <w:autoSpaceDN w:val="0"/>
        <w:adjustRightInd w:val="0"/>
        <w:ind w:firstLine="567"/>
        <w:jc w:val="both"/>
        <w:rPr>
          <w:rFonts w:ascii="Arial" w:hAnsi="Arial" w:cs="Arial"/>
          <w:color w:val="000000"/>
          <w:sz w:val="24"/>
          <w:szCs w:val="24"/>
          <w:highlight w:val="yellow"/>
        </w:rPr>
      </w:pPr>
      <w:r>
        <w:rPr>
          <w:rFonts w:ascii="Arial"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pPr>
        <w:tabs>
          <w:tab w:val="left" w:pos="5760"/>
        </w:tabs>
        <w:ind w:firstLine="567"/>
        <w:jc w:val="both"/>
        <w:rPr>
          <w:rFonts w:ascii="Arial" w:hAnsi="Arial" w:cs="Arial"/>
          <w:color w:val="000000"/>
          <w:sz w:val="24"/>
          <w:szCs w:val="24"/>
        </w:rPr>
      </w:pPr>
      <w:r>
        <w:rPr>
          <w:rFonts w:ascii="Arial" w:hAnsi="Arial" w:cs="Arial"/>
          <w:color w:val="000000"/>
          <w:sz w:val="24"/>
          <w:szCs w:val="24"/>
        </w:rPr>
        <w:t>Ukoliko je predmet nabavke podijeljen po partijama, a žalba se odnosi samo na određenu/e partiju/e, naknada se plaća u iznosu 1% od procijenjene vrijednosti javne nabavke te/tih partije/a.</w:t>
      </w:r>
    </w:p>
    <w:p>
      <w:pPr>
        <w:tabs>
          <w:tab w:val="left" w:pos="5760"/>
        </w:tabs>
        <w:ind w:firstLine="567"/>
        <w:jc w:val="both"/>
        <w:rPr>
          <w:rFonts w:ascii="Arial" w:hAnsi="Arial" w:cs="Arial"/>
          <w:color w:val="000000"/>
          <w:sz w:val="24"/>
          <w:szCs w:val="24"/>
        </w:rPr>
      </w:pPr>
      <w:r>
        <w:rPr>
          <w:rFonts w:ascii="Arial" w:hAnsi="Arial" w:cs="Arial"/>
          <w:color w:val="000000"/>
          <w:sz w:val="24"/>
          <w:szCs w:val="24"/>
        </w:rPr>
        <w:t xml:space="preserve">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Style w:val="6"/>
          <w:rFonts w:ascii="Arial" w:hAnsi="Arial" w:cs="Arial"/>
          <w:sz w:val="24"/>
          <w:szCs w:val="24"/>
        </w:rPr>
        <w:t>http://www.kontrola-nabavki.me/</w:t>
      </w:r>
      <w:r>
        <w:rPr>
          <w:rStyle w:val="6"/>
          <w:rFonts w:ascii="Arial" w:hAnsi="Arial" w:cs="Arial"/>
          <w:sz w:val="24"/>
          <w:szCs w:val="24"/>
        </w:rPr>
        <w:fldChar w:fldCharType="end"/>
      </w:r>
      <w:r>
        <w:rPr>
          <w:rFonts w:ascii="Arial" w:hAnsi="Arial" w:cs="Arial"/>
          <w:color w:val="000000"/>
          <w:sz w:val="24"/>
          <w:szCs w:val="24"/>
        </w:rPr>
        <w:t>.“.</w:t>
      </w:r>
    </w:p>
    <w:p>
      <w:pPr>
        <w:tabs>
          <w:tab w:val="left" w:pos="5760"/>
        </w:tabs>
        <w:ind w:firstLine="567"/>
        <w:jc w:val="both"/>
        <w:rPr>
          <w:rFonts w:ascii="Arial" w:hAnsi="Arial" w:cs="Arial"/>
          <w:color w:val="000000"/>
          <w:sz w:val="24"/>
          <w:szCs w:val="24"/>
        </w:rPr>
      </w:pPr>
    </w:p>
    <w:p>
      <w:pPr>
        <w:tabs>
          <w:tab w:val="left" w:pos="5760"/>
        </w:tabs>
        <w:ind w:firstLine="567"/>
        <w:jc w:val="both"/>
        <w:rPr>
          <w:rFonts w:ascii="Arial" w:hAnsi="Arial" w:cs="Arial"/>
          <w:color w:val="000000"/>
          <w:sz w:val="24"/>
          <w:szCs w:val="24"/>
        </w:rPr>
      </w:pPr>
    </w:p>
    <w:p>
      <w:pPr>
        <w:rPr>
          <w:rFonts w:ascii="Arial" w:hAnsi="Arial" w:cs="Arial"/>
          <w:sz w:val="24"/>
          <w:szCs w:val="24"/>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ambria Math">
    <w:panose1 w:val="02040503050406030204"/>
    <w:charset w:val="EE"/>
    <w:family w:val="roman"/>
    <w:pitch w:val="default"/>
    <w:sig w:usb0="E00006FF" w:usb1="420024FF" w:usb2="02000000" w:usb3="00000000" w:csb0="2000019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8">
    <w:p>
      <w:pPr>
        <w:spacing w:before="0" w:after="0" w:line="259" w:lineRule="auto"/>
      </w:pPr>
      <w:r>
        <w:separator/>
      </w:r>
    </w:p>
  </w:footnote>
  <w:footnote w:type="continuationSeparator" w:id="19">
    <w:p>
      <w:pPr>
        <w:spacing w:before="0" w:after="0" w:line="259" w:lineRule="auto"/>
      </w:pPr>
      <w:r>
        <w:continuationSeparator/>
      </w:r>
    </w:p>
  </w:footnote>
  <w:footnote w:id="0">
    <w:p>
      <w:pPr>
        <w:pStyle w:val="5"/>
        <w:jc w:val="both"/>
        <w:rPr>
          <w:rFonts w:ascii="Arial" w:hAnsi="Arial" w:cs="Arial"/>
          <w:sz w:val="14"/>
          <w:szCs w:val="16"/>
          <w:lang w:val="sr-Latn-ME"/>
        </w:rPr>
      </w:pPr>
      <w:r>
        <w:rPr>
          <w:rStyle w:val="4"/>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1">
    <w:p>
      <w:pPr>
        <w:pStyle w:val="5"/>
        <w:jc w:val="both"/>
        <w:rPr>
          <w:rFonts w:ascii="Arial" w:hAnsi="Arial" w:cs="Arial"/>
          <w:sz w:val="14"/>
          <w:szCs w:val="16"/>
          <w:lang w:val="sr-Latn-ME"/>
        </w:rPr>
      </w:pPr>
      <w:r>
        <w:rPr>
          <w:rStyle w:val="4"/>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2">
    <w:p>
      <w:pPr>
        <w:pStyle w:val="5"/>
        <w:jc w:val="both"/>
        <w:rPr>
          <w:rFonts w:ascii="Arial" w:hAnsi="Arial" w:cs="Arial"/>
          <w:sz w:val="14"/>
          <w:szCs w:val="16"/>
          <w:lang w:val="sr-Latn-ME"/>
        </w:rPr>
      </w:pPr>
      <w:r>
        <w:rPr>
          <w:rStyle w:val="4"/>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3">
    <w:p>
      <w:pPr>
        <w:pStyle w:val="5"/>
        <w:jc w:val="both"/>
        <w:rPr>
          <w:rFonts w:ascii="Arial" w:hAnsi="Arial" w:cs="Arial"/>
          <w:sz w:val="14"/>
          <w:szCs w:val="16"/>
          <w:lang w:val="sr-Latn-ME"/>
        </w:rPr>
      </w:pPr>
      <w:r>
        <w:rPr>
          <w:rStyle w:val="4"/>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4">
    <w:p>
      <w:pPr>
        <w:pStyle w:val="5"/>
        <w:jc w:val="both"/>
        <w:rPr>
          <w:rFonts w:ascii="Arial" w:hAnsi="Arial" w:cs="Arial"/>
          <w:sz w:val="16"/>
          <w:szCs w:val="16"/>
          <w:lang w:val="sr-Latn-ME"/>
        </w:rPr>
      </w:pPr>
      <w:r>
        <w:rPr>
          <w:rStyle w:val="4"/>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5">
    <w:p>
      <w:pPr>
        <w:pStyle w:val="5"/>
        <w:jc w:val="both"/>
        <w:rPr>
          <w:rFonts w:ascii="Arial" w:hAnsi="Arial" w:cs="Arial"/>
          <w:sz w:val="14"/>
          <w:szCs w:val="16"/>
          <w:lang w:val="sr-Latn-ME"/>
        </w:rPr>
      </w:pPr>
      <w:r>
        <w:rPr>
          <w:rStyle w:val="4"/>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6">
    <w:p>
      <w:pPr>
        <w:pStyle w:val="5"/>
        <w:jc w:val="both"/>
        <w:rPr>
          <w:rFonts w:ascii="Arial" w:hAnsi="Arial" w:cs="Arial"/>
          <w:sz w:val="16"/>
          <w:szCs w:val="16"/>
          <w:lang w:val="sr-Latn-ME"/>
        </w:rPr>
      </w:pPr>
      <w:r>
        <w:rPr>
          <w:rStyle w:val="4"/>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se ne predvidja zaključivanje okvirnog sporazuma cijelu sekciju brisati iz tenderske dokumentacije</w:t>
      </w:r>
    </w:p>
  </w:footnote>
  <w:footnote w:id="7">
    <w:p>
      <w:pPr>
        <w:pStyle w:val="5"/>
        <w:jc w:val="both"/>
        <w:rPr>
          <w:rFonts w:ascii="Arial" w:hAnsi="Arial" w:cs="Arial"/>
          <w:sz w:val="14"/>
          <w:szCs w:val="14"/>
          <w:lang w:val="sr-Latn-ME"/>
        </w:rPr>
      </w:pPr>
      <w:r>
        <w:rPr>
          <w:rStyle w:val="4"/>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pPr>
        <w:jc w:val="both"/>
        <w:rPr>
          <w:rFonts w:ascii="Arial" w:hAnsi="Arial" w:cs="Arial"/>
          <w:color w:val="000000"/>
          <w:sz w:val="16"/>
          <w:szCs w:val="16"/>
        </w:rPr>
      </w:pPr>
      <w:r>
        <w:rPr>
          <w:rStyle w:val="4"/>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1">
    <w:nsid w:val="31B17EBB"/>
    <w:multiLevelType w:val="multilevel"/>
    <w:tmpl w:val="31B17EB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3D977A1B"/>
    <w:multiLevelType w:val="multilevel"/>
    <w:tmpl w:val="3D977A1B"/>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4C4B2F49"/>
    <w:multiLevelType w:val="multilevel"/>
    <w:tmpl w:val="4C4B2F4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5345C89B"/>
    <w:multiLevelType w:val="singleLevel"/>
    <w:tmpl w:val="5345C89B"/>
    <w:lvl w:ilvl="0" w:tentative="0">
      <w:start w:val="14"/>
      <w:numFmt w:val="decimal"/>
      <w:suff w:val="space"/>
      <w:lvlText w:val="%1."/>
      <w:lvlJc w:val="left"/>
    </w:lvl>
  </w:abstractNum>
  <w:abstractNum w:abstractNumId="5">
    <w:nsid w:val="5363574F"/>
    <w:multiLevelType w:val="multilevel"/>
    <w:tmpl w:val="5363574F"/>
    <w:lvl w:ilvl="0" w:tentative="0">
      <w:start w:val="18"/>
      <w:numFmt w:val="bullet"/>
      <w:lvlText w:val="-"/>
      <w:lvlJc w:val="left"/>
      <w:pPr>
        <w:ind w:left="1800" w:hanging="360"/>
      </w:pPr>
      <w:rPr>
        <w:rFonts w:hint="default" w:ascii="Times New Roman" w:hAnsi="Times New Roman" w:eastAsia="Times New Roman" w:cs="Times New Roman"/>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6">
    <w:nsid w:val="5831CFEC"/>
    <w:multiLevelType w:val="singleLevel"/>
    <w:tmpl w:val="5831CFEC"/>
    <w:lvl w:ilvl="0" w:tentative="0">
      <w:start w:val="8"/>
      <w:numFmt w:val="decimal"/>
      <w:suff w:val="space"/>
      <w:lvlText w:val="%1."/>
      <w:lvlJc w:val="left"/>
    </w:lvl>
  </w:abstractNum>
  <w:abstractNum w:abstractNumId="7">
    <w:nsid w:val="61234FFF"/>
    <w:multiLevelType w:val="multilevel"/>
    <w:tmpl w:val="61234FFF"/>
    <w:lvl w:ilvl="0" w:tentative="0">
      <w:start w:val="18"/>
      <w:numFmt w:val="bullet"/>
      <w:lvlText w:val="-"/>
      <w:lvlJc w:val="left"/>
      <w:pPr>
        <w:ind w:left="1778" w:hanging="360"/>
      </w:pPr>
      <w:rPr>
        <w:rFonts w:hint="default" w:ascii="Times New Roman" w:hAnsi="Times New Roman" w:eastAsia="Times New Roman" w:cs="Times New Roman"/>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8">
    <w:nsid w:val="63876E9C"/>
    <w:multiLevelType w:val="multilevel"/>
    <w:tmpl w:val="63876E9C"/>
    <w:lvl w:ilvl="0" w:tentative="0">
      <w:start w:val="0"/>
      <w:numFmt w:val="bullet"/>
      <w:lvlText w:val="-"/>
      <w:lvlJc w:val="left"/>
      <w:pPr>
        <w:ind w:left="720" w:hanging="360"/>
      </w:pPr>
      <w:rPr>
        <w:rFonts w:hint="default" w:ascii="Times New Roman" w:hAnsi="Times New Roman" w:eastAsia="PMingLiU"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6764291E"/>
    <w:multiLevelType w:val="multilevel"/>
    <w:tmpl w:val="6764291E"/>
    <w:lvl w:ilvl="0" w:tentative="0">
      <w:start w:val="1"/>
      <w:numFmt w:val="decimal"/>
      <w:lvlText w:val="%1."/>
      <w:lvlJc w:val="left"/>
      <w:pPr>
        <w:ind w:left="124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6EAE6A37"/>
    <w:multiLevelType w:val="multilevel"/>
    <w:tmpl w:val="6EAE6A37"/>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1">
    <w:nsid w:val="744C5EB7"/>
    <w:multiLevelType w:val="multilevel"/>
    <w:tmpl w:val="744C5EB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7A810C36"/>
    <w:multiLevelType w:val="multilevel"/>
    <w:tmpl w:val="7A810C36"/>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5"/>
  </w:num>
  <w:num w:numId="3">
    <w:abstractNumId w:val="7"/>
  </w:num>
  <w:num w:numId="4">
    <w:abstractNumId w:val="9"/>
  </w:num>
  <w:num w:numId="5">
    <w:abstractNumId w:val="10"/>
  </w:num>
  <w:num w:numId="6">
    <w:abstractNumId w:val="2"/>
  </w:num>
  <w:num w:numId="7">
    <w:abstractNumId w:val="12"/>
  </w:num>
  <w:num w:numId="8">
    <w:abstractNumId w:val="6"/>
  </w:num>
  <w:num w:numId="9">
    <w:abstractNumId w:val="1"/>
  </w:num>
  <w:num w:numId="10">
    <w:abstractNumId w:val="3"/>
  </w:num>
  <w:num w:numId="11">
    <w:abstractNumId w:val="8"/>
  </w:num>
  <w:num w:numId="12">
    <w:abstractNumId w:val="1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hyphenationZone w:val="425"/>
  <w:characterSpacingControl w:val="doNotCompress"/>
  <w:footnotePr>
    <w:footnote w:id="18"/>
    <w:footnote w:id="19"/>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D63"/>
    <w:rsid w:val="000400DC"/>
    <w:rsid w:val="0013580D"/>
    <w:rsid w:val="0016616C"/>
    <w:rsid w:val="00451077"/>
    <w:rsid w:val="00453337"/>
    <w:rsid w:val="004B54EE"/>
    <w:rsid w:val="004E6BE9"/>
    <w:rsid w:val="00550644"/>
    <w:rsid w:val="0055179D"/>
    <w:rsid w:val="00632390"/>
    <w:rsid w:val="006B6C67"/>
    <w:rsid w:val="00701D63"/>
    <w:rsid w:val="00766FEB"/>
    <w:rsid w:val="007E781B"/>
    <w:rsid w:val="00850B3B"/>
    <w:rsid w:val="008615F6"/>
    <w:rsid w:val="009E3B5B"/>
    <w:rsid w:val="00BE7292"/>
    <w:rsid w:val="00D23DA6"/>
    <w:rsid w:val="00D2485F"/>
    <w:rsid w:val="00D5460E"/>
    <w:rsid w:val="00EC58B5"/>
    <w:rsid w:val="1FF30E80"/>
    <w:rsid w:val="29246390"/>
    <w:rsid w:val="39945060"/>
    <w:rsid w:val="42BC15FD"/>
    <w:rsid w:val="52B04664"/>
    <w:rsid w:val="56363F9B"/>
    <w:rsid w:val="65DF33B0"/>
    <w:rsid w:val="672C6028"/>
    <w:rsid w:val="6AAF626D"/>
    <w:rsid w:val="6BAE2037"/>
    <w:rsid w:val="7C555DC9"/>
    <w:rsid w:val="7D661976"/>
    <w:rsid w:val="7D8A3429"/>
  </w:rsids>
  <m:mathPr>
    <m:mathFont m:val="Cambria Math"/>
    <m:brkBin m:val="before"/>
    <m:brkBinSub m:val="--"/>
    <m:smallFrac m:val="0"/>
    <m:dispDef/>
    <m:lMargin m:val="0"/>
    <m:rMargin m:val="0"/>
    <m:defJc m:val="centerGroup"/>
    <m:wrapIndent m:val="1440"/>
    <m:intLim m:val="subSup"/>
    <m:naryLim m:val="undOvr"/>
  </m:mathPr>
  <w:themeFontLang w:val="sr-Latn-M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sr-Latn-ME"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footnote reference"/>
    <w:unhideWhenUsed/>
    <w:qFormat/>
    <w:uiPriority w:val="99"/>
    <w:rPr>
      <w:vertAlign w:val="superscript"/>
    </w:rPr>
  </w:style>
  <w:style w:type="paragraph" w:styleId="5">
    <w:name w:val="footnote text"/>
    <w:basedOn w:val="1"/>
    <w:link w:val="8"/>
    <w:unhideWhenUsed/>
    <w:qFormat/>
    <w:uiPriority w:val="99"/>
    <w:pPr>
      <w:spacing w:after="0" w:line="240" w:lineRule="auto"/>
    </w:pPr>
    <w:rPr>
      <w:rFonts w:ascii="Calibri" w:hAnsi="Calibri" w:eastAsia="Calibri" w:cs="Times New Roman"/>
      <w:sz w:val="20"/>
      <w:szCs w:val="20"/>
      <w:lang w:val="en-US"/>
    </w:rPr>
  </w:style>
  <w:style w:type="character" w:styleId="6">
    <w:name w:val="Hyperlink"/>
    <w:qFormat/>
    <w:uiPriority w:val="99"/>
    <w:rPr>
      <w:color w:val="0000FF"/>
      <w:u w:val="single"/>
    </w:rPr>
  </w:style>
  <w:style w:type="paragraph" w:customStyle="1" w:styleId="7">
    <w:name w:val="T30X"/>
    <w:basedOn w:val="1"/>
    <w:qFormat/>
    <w:uiPriority w:val="99"/>
    <w:pPr>
      <w:autoSpaceDE w:val="0"/>
      <w:autoSpaceDN w:val="0"/>
      <w:adjustRightInd w:val="0"/>
      <w:spacing w:before="60" w:after="60" w:line="240" w:lineRule="auto"/>
      <w:ind w:firstLine="283"/>
      <w:jc w:val="both"/>
    </w:pPr>
    <w:rPr>
      <w:rFonts w:ascii="Times New Roman" w:hAnsi="Times New Roman" w:eastAsia="Times New Roman" w:cs="Times New Roman"/>
      <w:color w:val="000000"/>
      <w:lang w:val="en-US"/>
    </w:rPr>
  </w:style>
  <w:style w:type="character" w:customStyle="1" w:styleId="8">
    <w:name w:val="Footnote Text Char"/>
    <w:basedOn w:val="2"/>
    <w:link w:val="5"/>
    <w:qFormat/>
    <w:uiPriority w:val="99"/>
    <w:rPr>
      <w:rFonts w:ascii="Calibri" w:hAnsi="Calibri" w:eastAsia="Calibri" w:cs="Times New Roman"/>
      <w:sz w:val="20"/>
      <w:szCs w:val="20"/>
      <w:lang w:val="en-US"/>
    </w:rPr>
  </w:style>
  <w:style w:type="paragraph" w:styleId="9">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2709</Words>
  <Characters>15446</Characters>
  <Lines>128</Lines>
  <Paragraphs>36</Paragraphs>
  <TotalTime>126</TotalTime>
  <ScaleCrop>false</ScaleCrop>
  <LinksUpToDate>false</LinksUpToDate>
  <CharactersWithSpaces>18119</CharactersWithSpaces>
  <Application>WPS Office_11.2.0.11513_F1E327BC-269C-435d-A152-05C5408002CA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2023-09-28T11:11:00Z</dcterms:created>
  <dc:creator>Gorana Mrvaljević</dc:creator>
  <cp:lastModifiedBy>Dragan Prenkic</cp:lastModifiedBy>
  <cp:lastPrinted>2025-10-27T09:59:00Z</cp:lastPrinted>
  <dcterms:modified xsi:type="dcterms:W3CDTF">2025-11-27T11:32:31Z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5EEA6819FFA54881A0AF6A6BD6BAF459</vt:lpwstr>
  </property>
</Properties>
</file>