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BE225D" w:rsidRPr="00FC4B61" w:rsidTr="00B726E2">
        <w:trPr>
          <w:tblHeader/>
          <w:tblCellSpacing w:w="15" w:type="dxa"/>
          <w:jc w:val="center"/>
        </w:trPr>
        <w:tc>
          <w:tcPr>
            <w:tcW w:w="0" w:type="auto"/>
            <w:vAlign w:val="center"/>
          </w:tcPr>
          <w:p w:rsidR="00BE225D" w:rsidRPr="00FC4B61" w:rsidRDefault="00BE225D" w:rsidP="00957F16">
            <w:pPr>
              <w:spacing w:after="0" w:line="240" w:lineRule="auto"/>
              <w:jc w:val="both"/>
              <w:rPr>
                <w:rFonts w:ascii="Times New Roman" w:eastAsia="Times New Roman" w:hAnsi="Times New Roman" w:cs="Times New Roman"/>
                <w:b/>
                <w:bCs/>
                <w:lang w:eastAsia="en-GB"/>
              </w:rPr>
            </w:pPr>
          </w:p>
        </w:tc>
        <w:tc>
          <w:tcPr>
            <w:tcW w:w="0" w:type="auto"/>
            <w:vAlign w:val="center"/>
          </w:tcPr>
          <w:p w:rsidR="00BE225D" w:rsidRPr="00FC4B61" w:rsidRDefault="00BE225D" w:rsidP="00957F16">
            <w:pPr>
              <w:spacing w:after="0" w:line="240" w:lineRule="auto"/>
              <w:jc w:val="both"/>
              <w:rPr>
                <w:rFonts w:ascii="Times New Roman" w:eastAsia="Times New Roman" w:hAnsi="Times New Roman" w:cs="Times New Roman"/>
                <w:b/>
                <w:bCs/>
                <w:lang w:eastAsia="en-GB"/>
              </w:rPr>
            </w:pPr>
          </w:p>
        </w:tc>
        <w:tc>
          <w:tcPr>
            <w:tcW w:w="0" w:type="auto"/>
            <w:vAlign w:val="center"/>
          </w:tcPr>
          <w:p w:rsidR="00BE225D" w:rsidRPr="00FC4B61" w:rsidRDefault="00BE225D" w:rsidP="00957F16">
            <w:pPr>
              <w:spacing w:after="0" w:line="240" w:lineRule="auto"/>
              <w:jc w:val="both"/>
              <w:rPr>
                <w:rFonts w:ascii="Times New Roman" w:eastAsia="Times New Roman" w:hAnsi="Times New Roman" w:cs="Times New Roman"/>
                <w:b/>
                <w:bCs/>
                <w:lang w:eastAsia="en-GB"/>
              </w:rPr>
            </w:pPr>
          </w:p>
        </w:tc>
        <w:tc>
          <w:tcPr>
            <w:tcW w:w="0" w:type="auto"/>
            <w:vAlign w:val="center"/>
          </w:tcPr>
          <w:p w:rsidR="00BE225D" w:rsidRPr="00FC4B61" w:rsidRDefault="00BE225D" w:rsidP="00957F16">
            <w:pPr>
              <w:spacing w:after="0" w:line="240" w:lineRule="auto"/>
              <w:jc w:val="both"/>
              <w:rPr>
                <w:rFonts w:ascii="Times New Roman" w:eastAsia="Times New Roman" w:hAnsi="Times New Roman" w:cs="Times New Roman"/>
                <w:b/>
                <w:bCs/>
                <w:lang w:eastAsia="en-GB"/>
              </w:rPr>
            </w:pPr>
          </w:p>
        </w:tc>
      </w:tr>
    </w:tbl>
    <w:tbl>
      <w:tblPr>
        <w:tblStyle w:val="TableGrid"/>
        <w:tblW w:w="9360" w:type="dxa"/>
        <w:tblInd w:w="-95" w:type="dxa"/>
        <w:tblLook w:val="04A0" w:firstRow="1" w:lastRow="0" w:firstColumn="1" w:lastColumn="0" w:noHBand="0" w:noVBand="1"/>
      </w:tblPr>
      <w:tblGrid>
        <w:gridCol w:w="9360"/>
      </w:tblGrid>
      <w:tr w:rsidR="00AD16E1" w:rsidTr="00957F16">
        <w:tc>
          <w:tcPr>
            <w:tcW w:w="9360" w:type="dxa"/>
            <w:shd w:val="clear" w:color="auto" w:fill="D0CECE" w:themeFill="background2" w:themeFillShade="E6"/>
          </w:tcPr>
          <w:p w:rsidR="00AD16E1" w:rsidRPr="00FC4B61" w:rsidRDefault="00AD16E1" w:rsidP="00957F16">
            <w:pPr>
              <w:contextualSpacing/>
              <w:jc w:val="center"/>
              <w:rPr>
                <w:rFonts w:ascii="Times New Roman" w:eastAsia="Calibri" w:hAnsi="Times New Roman" w:cs="Times New Roman"/>
                <w:b/>
                <w:bCs/>
                <w:color w:val="000000"/>
                <w:sz w:val="40"/>
                <w:szCs w:val="40"/>
                <w:lang w:val="sr-Latn-ME" w:eastAsia="en-GB"/>
              </w:rPr>
            </w:pPr>
            <w:r w:rsidRPr="00FC4B61">
              <w:rPr>
                <w:rFonts w:ascii="Times New Roman" w:eastAsia="Calibri" w:hAnsi="Times New Roman" w:cs="Times New Roman"/>
                <w:b/>
                <w:bCs/>
                <w:color w:val="000000"/>
                <w:sz w:val="40"/>
                <w:szCs w:val="40"/>
                <w:lang w:val="sr-Latn-ME" w:eastAsia="en-GB"/>
              </w:rPr>
              <w:t>TEHNIČKA SPEC</w:t>
            </w:r>
            <w:r>
              <w:rPr>
                <w:rFonts w:ascii="Times New Roman" w:eastAsia="Calibri" w:hAnsi="Times New Roman" w:cs="Times New Roman"/>
                <w:b/>
                <w:bCs/>
                <w:color w:val="000000"/>
                <w:sz w:val="40"/>
                <w:szCs w:val="40"/>
                <w:lang w:val="sr-Latn-ME" w:eastAsia="en-GB"/>
              </w:rPr>
              <w:t>IFIKACIJA PREDMETA USLUGE RAZVOJA NOVOG SISTEMA IZVJEŠTAVANJA BI</w:t>
            </w:r>
          </w:p>
          <w:p w:rsidR="00AD16E1" w:rsidRDefault="00AD16E1" w:rsidP="00957F16">
            <w:pPr>
              <w:contextualSpacing/>
              <w:jc w:val="center"/>
              <w:rPr>
                <w:rFonts w:ascii="Times New Roman" w:eastAsia="Calibri" w:hAnsi="Times New Roman" w:cs="Times New Roman"/>
                <w:color w:val="000000"/>
                <w:kern w:val="2"/>
                <w:lang w:val="sr-Latn-ME"/>
                <w14:ligatures w14:val="standardContextual"/>
              </w:rPr>
            </w:pPr>
          </w:p>
        </w:tc>
      </w:tr>
    </w:tbl>
    <w:p w:rsidR="00AD16E1" w:rsidRPr="00FC4B61" w:rsidRDefault="00AD16E1" w:rsidP="00AD16E1">
      <w:pPr>
        <w:ind w:left="1080"/>
        <w:contextualSpacing/>
        <w:jc w:val="both"/>
        <w:rPr>
          <w:rFonts w:ascii="Times New Roman" w:eastAsia="Calibri" w:hAnsi="Times New Roman" w:cs="Times New Roman"/>
          <w:color w:val="000000"/>
          <w:kern w:val="2"/>
          <w:lang w:val="sr-Latn-ME"/>
          <w14:ligatures w14:val="standardContextual"/>
        </w:rPr>
      </w:pPr>
    </w:p>
    <w:p w:rsidR="00AD16E1" w:rsidRPr="00FC4B61" w:rsidRDefault="00AD16E1" w:rsidP="00AD16E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SKRAĆENICE/KRATKE DEFINICIJE</w:t>
      </w:r>
    </w:p>
    <w:p w:rsidR="00AD16E1" w:rsidRPr="00FC4B61" w:rsidRDefault="00AD16E1" w:rsidP="00AD16E1">
      <w:pPr>
        <w:ind w:left="1080"/>
        <w:contextualSpacing/>
        <w:jc w:val="both"/>
        <w:rPr>
          <w:rFonts w:ascii="Times New Roman" w:eastAsia="Calibri" w:hAnsi="Times New Roman" w:cs="Times New Roman"/>
          <w:color w:val="000000"/>
          <w:kern w:val="2"/>
          <w:lang w:val="sr-Latn-ME"/>
          <w14:ligatures w14:val="standardContextual"/>
        </w:rPr>
      </w:pPr>
    </w:p>
    <w:p w:rsidR="00AD16E1" w:rsidRPr="00FC4B61" w:rsidRDefault="00AD16E1" w:rsidP="00AD16E1">
      <w:pPr>
        <w:numPr>
          <w:ilvl w:val="0"/>
          <w:numId w:val="5"/>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BI platforma</w:t>
      </w:r>
      <w:r w:rsidRPr="00FC4B61">
        <w:rPr>
          <w:rFonts w:ascii="Times New Roman" w:eastAsia="Times New Roman" w:hAnsi="Times New Roman" w:cs="Times New Roman"/>
          <w:lang w:eastAsia="en-GB"/>
        </w:rPr>
        <w:br/>
        <w:t>Tehnološko rješenje koje omogućava prikupljanje, analizu i vizuelizaciju poslovnih podataka radi lakšeg donošenja odluka. Obuhvata funkcionalnosti poput izvještavanja, OLAP-analize, dashboard-</w:t>
      </w:r>
      <w:proofErr w:type="gramStart"/>
      <w:r w:rsidRPr="00FC4B61">
        <w:rPr>
          <w:rFonts w:ascii="Times New Roman" w:eastAsia="Times New Roman" w:hAnsi="Times New Roman" w:cs="Times New Roman"/>
          <w:lang w:eastAsia="en-GB"/>
        </w:rPr>
        <w:t>a</w:t>
      </w:r>
      <w:proofErr w:type="gramEnd"/>
      <w:r w:rsidRPr="00FC4B61">
        <w:rPr>
          <w:rFonts w:ascii="Times New Roman" w:eastAsia="Times New Roman" w:hAnsi="Times New Roman" w:cs="Times New Roman"/>
          <w:lang w:eastAsia="en-GB"/>
        </w:rPr>
        <w:t xml:space="preserve"> i upravljanja metapodatima.</w:t>
      </w:r>
    </w:p>
    <w:p w:rsidR="00AD16E1" w:rsidRPr="00FC4B61" w:rsidRDefault="00AD16E1" w:rsidP="00AD16E1">
      <w:pPr>
        <w:numPr>
          <w:ilvl w:val="0"/>
          <w:numId w:val="6"/>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Data integrator</w:t>
      </w:r>
      <w:r w:rsidRPr="00FC4B61">
        <w:rPr>
          <w:rFonts w:ascii="Times New Roman" w:eastAsia="Times New Roman" w:hAnsi="Times New Roman" w:cs="Times New Roman"/>
          <w:lang w:eastAsia="en-GB"/>
        </w:rPr>
        <w:br/>
        <w:t xml:space="preserve">Softverski alat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komponenta koja služi za integraciju podataka - kombinuje i harmonizuje podatke iz više izvora u dosljedan i iskoristiv format.</w:t>
      </w:r>
    </w:p>
    <w:p w:rsidR="00AD16E1" w:rsidRPr="00FC4B61" w:rsidRDefault="00AD16E1" w:rsidP="00AD16E1">
      <w:pPr>
        <w:numPr>
          <w:ilvl w:val="0"/>
          <w:numId w:val="7"/>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DWH (Data Warehouse</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Centralizovani sistem za skladištenje strukturiranih i istorijskih podataka iz različitih izvora, optimizovan za analitiku, izvještavanje i BI aktivnosti.</w:t>
      </w:r>
    </w:p>
    <w:p w:rsidR="00AD16E1" w:rsidRPr="00FC4B61" w:rsidRDefault="00AD16E1" w:rsidP="00AD16E1">
      <w:pPr>
        <w:numPr>
          <w:ilvl w:val="0"/>
          <w:numId w:val="8"/>
        </w:numPr>
        <w:spacing w:before="100" w:beforeAutospacing="1" w:after="100" w:afterAutospacing="1" w:line="240" w:lineRule="auto"/>
        <w:rPr>
          <w:rFonts w:ascii="Times New Roman" w:eastAsia="Times New Roman" w:hAnsi="Times New Roman" w:cs="Times New Roman"/>
          <w:lang w:eastAsia="en-GB"/>
        </w:rPr>
      </w:pPr>
      <w:proofErr w:type="gramStart"/>
      <w:r w:rsidRPr="00FC4B61">
        <w:rPr>
          <w:rFonts w:ascii="Times New Roman" w:eastAsia="Times New Roman" w:hAnsi="Times New Roman" w:cs="Times New Roman"/>
          <w:b/>
          <w:bCs/>
          <w:lang w:eastAsia="en-GB"/>
        </w:rPr>
        <w:t>Data mart</w:t>
      </w:r>
      <w:r w:rsidRPr="00FC4B61">
        <w:rPr>
          <w:rFonts w:ascii="Times New Roman" w:eastAsia="Times New Roman" w:hAnsi="Times New Roman" w:cs="Times New Roman"/>
          <w:lang w:eastAsia="en-GB"/>
        </w:rPr>
        <w:br/>
        <w:t>Fokusirani podskup data</w:t>
      </w:r>
      <w:proofErr w:type="gramEnd"/>
      <w:r w:rsidRPr="00FC4B61">
        <w:rPr>
          <w:rFonts w:ascii="Times New Roman" w:eastAsia="Times New Roman" w:hAnsi="Times New Roman" w:cs="Times New Roman"/>
          <w:lang w:eastAsia="en-GB"/>
        </w:rPr>
        <w:t xml:space="preserve"> warehouse-a, namijenjen specifičnoj poslovnoj oblasti (npr. marketing, financije), optimizovan za brže izvođenje analitičkih upita.</w:t>
      </w:r>
    </w:p>
    <w:p w:rsidR="00AD16E1" w:rsidRPr="00FC4B61" w:rsidRDefault="00AD16E1" w:rsidP="00AD16E1">
      <w:pPr>
        <w:numPr>
          <w:ilvl w:val="0"/>
          <w:numId w:val="9"/>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ETL (ELT</w:t>
      </w:r>
      <w:proofErr w:type="gramStart"/>
      <w:r w:rsidRPr="00FC4B61">
        <w:rPr>
          <w:rFonts w:ascii="Times New Roman" w:eastAsia="Times New Roman" w:hAnsi="Times New Roman" w:cs="Times New Roman"/>
          <w:b/>
          <w:bCs/>
          <w:lang w:eastAsia="en-GB"/>
        </w:rPr>
        <w:t>)</w:t>
      </w:r>
      <w:proofErr w:type="gramEnd"/>
      <w:r w:rsidRPr="00FC4B61">
        <w:rPr>
          <w:rFonts w:ascii="Times New Roman" w:eastAsia="Times New Roman" w:hAnsi="Times New Roman" w:cs="Times New Roman"/>
          <w:lang w:eastAsia="en-GB"/>
        </w:rPr>
        <w:br/>
        <w:t xml:space="preserve">Trostepeni proces: </w:t>
      </w:r>
      <w:r w:rsidRPr="00FC4B61">
        <w:rPr>
          <w:rFonts w:ascii="Times New Roman" w:eastAsia="Times New Roman" w:hAnsi="Times New Roman" w:cs="Times New Roman"/>
          <w:i/>
          <w:iCs/>
          <w:lang w:eastAsia="en-GB"/>
        </w:rPr>
        <w:t>Extract</w:t>
      </w:r>
      <w:r w:rsidRPr="00FC4B61">
        <w:rPr>
          <w:rFonts w:ascii="Times New Roman" w:eastAsia="Times New Roman" w:hAnsi="Times New Roman" w:cs="Times New Roman"/>
          <w:lang w:eastAsia="en-GB"/>
        </w:rPr>
        <w:t xml:space="preserve"> (izvlačenje), </w:t>
      </w:r>
      <w:r w:rsidRPr="00FC4B61">
        <w:rPr>
          <w:rFonts w:ascii="Times New Roman" w:eastAsia="Times New Roman" w:hAnsi="Times New Roman" w:cs="Times New Roman"/>
          <w:i/>
          <w:iCs/>
          <w:lang w:eastAsia="en-GB"/>
        </w:rPr>
        <w:t>Transform</w:t>
      </w:r>
      <w:r w:rsidRPr="00FC4B61">
        <w:rPr>
          <w:rFonts w:ascii="Times New Roman" w:eastAsia="Times New Roman" w:hAnsi="Times New Roman" w:cs="Times New Roman"/>
          <w:lang w:eastAsia="en-GB"/>
        </w:rPr>
        <w:t xml:space="preserve"> (transformacija i čišćenje), </w:t>
      </w:r>
      <w:r w:rsidRPr="00FC4B61">
        <w:rPr>
          <w:rFonts w:ascii="Times New Roman" w:eastAsia="Times New Roman" w:hAnsi="Times New Roman" w:cs="Times New Roman"/>
          <w:i/>
          <w:iCs/>
          <w:lang w:eastAsia="en-GB"/>
        </w:rPr>
        <w:t>Load</w:t>
      </w:r>
      <w:r w:rsidRPr="00FC4B61">
        <w:rPr>
          <w:rFonts w:ascii="Times New Roman" w:eastAsia="Times New Roman" w:hAnsi="Times New Roman" w:cs="Times New Roman"/>
          <w:lang w:eastAsia="en-GB"/>
        </w:rPr>
        <w:t xml:space="preserve"> (učitavanje) podataka u odredišni sistem (npr. data warehouse ili data mart).</w:t>
      </w:r>
    </w:p>
    <w:p w:rsidR="00AD16E1" w:rsidRPr="00FC4B61" w:rsidRDefault="00AD16E1" w:rsidP="00AD16E1">
      <w:pPr>
        <w:numPr>
          <w:ilvl w:val="0"/>
          <w:numId w:val="10"/>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Hardware</w:t>
      </w:r>
      <w:r w:rsidRPr="00FC4B61">
        <w:rPr>
          <w:rFonts w:ascii="Times New Roman" w:eastAsia="Times New Roman" w:hAnsi="Times New Roman" w:cs="Times New Roman"/>
          <w:lang w:eastAsia="en-GB"/>
        </w:rPr>
        <w:br/>
        <w:t>Fizički sastavni dijelovi računarskog sistema – serveri, diskovi, mreža itd.</w:t>
      </w:r>
    </w:p>
    <w:p w:rsidR="00AD16E1" w:rsidRPr="00FC4B61" w:rsidRDefault="00AD16E1" w:rsidP="00AD16E1">
      <w:pPr>
        <w:numPr>
          <w:ilvl w:val="0"/>
          <w:numId w:val="11"/>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Schedule job</w:t>
      </w:r>
      <w:r w:rsidRPr="00FC4B61">
        <w:rPr>
          <w:rFonts w:ascii="Times New Roman" w:eastAsia="Times New Roman" w:hAnsi="Times New Roman" w:cs="Times New Roman"/>
          <w:lang w:eastAsia="en-GB"/>
        </w:rPr>
        <w:br/>
        <w:t xml:space="preserve">Automatizovana, zakazana aktivnost (task) koju sistem izvršava u određeno vrijeme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interval, poput pokretanja ETL procesa ili slanja izvještaja korisnicima</w:t>
      </w:r>
      <w:r w:rsidRPr="00FC4B61">
        <w:rPr>
          <w:rFonts w:ascii="Times New Roman" w:eastAsia="Times New Roman" w:hAnsi="Times New Roman" w:cs="Times New Roman"/>
          <w:i/>
          <w:iCs/>
          <w:lang w:eastAsia="en-GB"/>
        </w:rPr>
        <w:t>.</w:t>
      </w:r>
    </w:p>
    <w:p w:rsidR="00AD16E1" w:rsidRPr="00FC4B61" w:rsidRDefault="00AD16E1" w:rsidP="00AD16E1">
      <w:pPr>
        <w:numPr>
          <w:ilvl w:val="0"/>
          <w:numId w:val="12"/>
        </w:numPr>
        <w:spacing w:before="100" w:beforeAutospacing="1" w:after="100" w:afterAutospacing="1" w:line="240" w:lineRule="auto"/>
        <w:rPr>
          <w:rFonts w:ascii="Times New Roman" w:eastAsia="Times New Roman" w:hAnsi="Times New Roman" w:cs="Times New Roman"/>
          <w:lang w:eastAsia="en-GB"/>
        </w:rPr>
      </w:pPr>
      <w:r w:rsidRPr="00FC4B61">
        <w:rPr>
          <w:rFonts w:ascii="Times New Roman" w:eastAsia="Times New Roman" w:hAnsi="Times New Roman" w:cs="Times New Roman"/>
          <w:b/>
          <w:bCs/>
          <w:lang w:eastAsia="en-GB"/>
        </w:rPr>
        <w:t>Dashboard</w:t>
      </w:r>
      <w:r w:rsidRPr="00FC4B61">
        <w:rPr>
          <w:rFonts w:ascii="Times New Roman" w:eastAsia="Times New Roman" w:hAnsi="Times New Roman" w:cs="Times New Roman"/>
          <w:lang w:eastAsia="en-GB"/>
        </w:rPr>
        <w:br/>
        <w:t>Grafički korisnički interfejs koji prikazuje pregled ključnih informacija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KPI-eve) putem vizualizacija (grafikoni, tabele), često interaktivno i ažurirano u realnom vremenu.</w:t>
      </w:r>
    </w:p>
    <w:p w:rsidR="00AD16E1" w:rsidRPr="00D329E2" w:rsidRDefault="00AD16E1" w:rsidP="00AD16E1">
      <w:pPr>
        <w:numPr>
          <w:ilvl w:val="0"/>
          <w:numId w:val="12"/>
        </w:numPr>
        <w:spacing w:before="100" w:beforeAutospacing="1" w:after="100" w:afterAutospacing="1" w:line="240" w:lineRule="auto"/>
        <w:rPr>
          <w:rFonts w:ascii="Times New Roman" w:eastAsia="Times New Roman" w:hAnsi="Times New Roman" w:cs="Times New Roman"/>
          <w:b/>
          <w:bCs/>
          <w:sz w:val="24"/>
          <w:szCs w:val="24"/>
          <w:lang w:eastAsia="en-GB"/>
        </w:rPr>
      </w:pPr>
      <w:r w:rsidRPr="00FC4B61">
        <w:rPr>
          <w:rFonts w:ascii="Times New Roman" w:eastAsia="Times New Roman" w:hAnsi="Times New Roman" w:cs="Times New Roman"/>
          <w:b/>
          <w:bCs/>
          <w:lang w:eastAsia="en-GB"/>
        </w:rPr>
        <w:t xml:space="preserve">OLAP (Online Analytical Processing) </w:t>
      </w:r>
      <w:r w:rsidRPr="00FC4B61">
        <w:rPr>
          <w:rFonts w:ascii="Times New Roman" w:eastAsia="Times New Roman" w:hAnsi="Times New Roman" w:cs="Times New Roman"/>
          <w:lang w:eastAsia="en-GB"/>
        </w:rPr>
        <w:t>je metoda unutar BI sistema koja omogućava višedimenzionalnu analizu velikih skupova podataka putem strukturiranih modela (</w:t>
      </w:r>
      <w:proofErr w:type="gramStart"/>
      <w:r w:rsidRPr="00FC4B61">
        <w:rPr>
          <w:rFonts w:ascii="Times New Roman" w:eastAsia="Times New Roman" w:hAnsi="Times New Roman" w:cs="Times New Roman"/>
          <w:lang w:eastAsia="en-GB"/>
        </w:rPr>
        <w:t>npr</w:t>
      </w:r>
      <w:proofErr w:type="gramEnd"/>
      <w:r w:rsidRPr="00FC4B61">
        <w:rPr>
          <w:rFonts w:ascii="Times New Roman" w:eastAsia="Times New Roman" w:hAnsi="Times New Roman" w:cs="Times New Roman"/>
          <w:lang w:eastAsia="en-GB"/>
        </w:rPr>
        <w:t xml:space="preserve">. OLAP kubova). OLAP omogućava izvršavanje složenih upita poput drill-down, roll-up, slicing i dicing, uz brz odziv i podršku za odlučivanje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osnovu agregiranih i detaljnih podataka.</w:t>
      </w:r>
    </w:p>
    <w:p w:rsidR="00AD16E1" w:rsidRDefault="00AD16E1" w:rsidP="00AD16E1">
      <w:pPr>
        <w:spacing w:before="100" w:beforeAutospacing="1" w:after="100" w:afterAutospacing="1" w:line="240" w:lineRule="auto"/>
        <w:rPr>
          <w:rFonts w:ascii="Times New Roman" w:eastAsia="Times New Roman" w:hAnsi="Times New Roman" w:cs="Times New Roman"/>
          <w:b/>
          <w:bCs/>
          <w:sz w:val="24"/>
          <w:szCs w:val="24"/>
          <w:lang w:eastAsia="en-GB"/>
        </w:rPr>
      </w:pPr>
    </w:p>
    <w:p w:rsidR="00AD16E1" w:rsidRDefault="00AD16E1" w:rsidP="00AD16E1">
      <w:pPr>
        <w:spacing w:before="100" w:beforeAutospacing="1" w:after="100" w:afterAutospacing="1" w:line="240" w:lineRule="auto"/>
        <w:rPr>
          <w:rFonts w:ascii="Times New Roman" w:eastAsia="Times New Roman" w:hAnsi="Times New Roman" w:cs="Times New Roman"/>
          <w:b/>
          <w:bCs/>
          <w:sz w:val="24"/>
          <w:szCs w:val="24"/>
          <w:lang w:eastAsia="en-GB"/>
        </w:rPr>
      </w:pPr>
    </w:p>
    <w:p w:rsidR="00AD16E1" w:rsidRPr="00FC4B61" w:rsidRDefault="00AD16E1" w:rsidP="00AD16E1">
      <w:pPr>
        <w:spacing w:before="100" w:beforeAutospacing="1" w:after="100" w:afterAutospacing="1" w:line="240" w:lineRule="auto"/>
        <w:rPr>
          <w:rFonts w:ascii="Times New Roman" w:eastAsia="Times New Roman" w:hAnsi="Times New Roman" w:cs="Times New Roman"/>
          <w:b/>
          <w:bCs/>
          <w:sz w:val="24"/>
          <w:szCs w:val="24"/>
          <w:lang w:eastAsia="en-GB"/>
        </w:rPr>
      </w:pPr>
    </w:p>
    <w:p w:rsidR="00AD16E1" w:rsidRPr="00FC4B61" w:rsidRDefault="00AD16E1" w:rsidP="00AD16E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POSTOJEĆI INFORMACIONI SISTEM FPIO i IZVORI PODATAKA</w:t>
      </w:r>
    </w:p>
    <w:p w:rsidR="00AD16E1" w:rsidRPr="00FC4B61" w:rsidRDefault="00AD16E1" w:rsidP="00AD16E1">
      <w:pPr>
        <w:spacing w:after="0" w:line="240" w:lineRule="auto"/>
        <w:rPr>
          <w:rFonts w:ascii="Times New Roman" w:eastAsia="Times New Roman" w:hAnsi="Times New Roman" w:cs="Times New Roman"/>
          <w:sz w:val="40"/>
          <w:szCs w:val="40"/>
          <w:lang w:eastAsia="en-GB"/>
        </w:rPr>
      </w:pPr>
      <w:r w:rsidRPr="00FC4B61">
        <w:rPr>
          <w:rFonts w:ascii="Times New Roman" w:eastAsia="Calibri" w:hAnsi="Times New Roman" w:cs="Times New Roman"/>
          <w:color w:val="000000"/>
          <w:lang w:val="sr-Latn-ME" w:eastAsia="en-GB"/>
        </w:rPr>
        <w:t>Postojeći informacioni sistem Fonda PIO izgrađen je na ORACLE platformi korišćenjem Oracle Developer Suite razvojnih alata. Projekat je uveden u produkcionu upotrebu tokom 2009 godine. Glavni moduli su sljedeći:</w:t>
      </w:r>
    </w:p>
    <w:p w:rsidR="00AD16E1" w:rsidRPr="00FC4B61" w:rsidRDefault="00AD16E1" w:rsidP="00AD16E1">
      <w:pPr>
        <w:numPr>
          <w:ilvl w:val="0"/>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CORE aplikacije</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Aktivni osiguranici i obveznici uplata doprinosa</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Kancelarijsko poslovanje i ostvarivanje prava</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Izračun visine prava:</w:t>
      </w:r>
    </w:p>
    <w:p w:rsidR="00AD16E1" w:rsidRPr="00FC4B61" w:rsidRDefault="00AD16E1" w:rsidP="00AD16E1">
      <w:pPr>
        <w:numPr>
          <w:ilvl w:val="2"/>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novom zakonu o PIO (od 2004. godine)</w:t>
      </w:r>
    </w:p>
    <w:p w:rsidR="00AD16E1" w:rsidRPr="00FC4B61" w:rsidRDefault="00AD16E1" w:rsidP="00AD16E1">
      <w:pPr>
        <w:numPr>
          <w:ilvl w:val="2"/>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 starom zakonu o PIO (do 2004. godine)</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Isplata prava</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Praćenje i analiza uplata za doprinose</w:t>
      </w:r>
    </w:p>
    <w:p w:rsidR="00AD16E1" w:rsidRPr="00FC4B61" w:rsidRDefault="00AD16E1" w:rsidP="00AD16E1">
      <w:pPr>
        <w:numPr>
          <w:ilvl w:val="0"/>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Poslovni aplikativni softver</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Finansijsko poslovanje</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Obračun zarada</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Kadrovska služba</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Osnovna sredstva </w:t>
      </w:r>
    </w:p>
    <w:p w:rsidR="00AD16E1" w:rsidRPr="00FC4B61" w:rsidRDefault="00AD16E1" w:rsidP="00AD16E1">
      <w:pPr>
        <w:numPr>
          <w:ilvl w:val="1"/>
          <w:numId w:val="16"/>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Ugovori o djelu.</w:t>
      </w:r>
    </w:p>
    <w:p w:rsidR="00AD16E1" w:rsidRPr="00FC4B61" w:rsidRDefault="00AD16E1" w:rsidP="00AD16E1">
      <w:pPr>
        <w:contextualSpacing/>
        <w:jc w:val="both"/>
        <w:rPr>
          <w:rFonts w:ascii="Times New Roman" w:eastAsia="Calibri" w:hAnsi="Times New Roman" w:cs="Times New Roman"/>
          <w:color w:val="000000"/>
          <w:highlight w:val="yellow"/>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Sav izvorni kod aplikacija je vlasništvo Fonda.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Postojeći aplikativni softver je izgrađen korišćenjem razvojnih alata:</w:t>
      </w:r>
    </w:p>
    <w:p w:rsidR="00AD16E1" w:rsidRPr="00FC4B61" w:rsidRDefault="00AD16E1" w:rsidP="00AD16E1">
      <w:pPr>
        <w:numPr>
          <w:ilvl w:val="0"/>
          <w:numId w:val="1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Developer Suite 10g – Forms &amp; Reports builder</w:t>
      </w:r>
    </w:p>
    <w:p w:rsidR="00AD16E1" w:rsidRPr="00FC4B61" w:rsidRDefault="00AD16E1" w:rsidP="00AD16E1">
      <w:pPr>
        <w:numPr>
          <w:ilvl w:val="0"/>
          <w:numId w:val="17"/>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ORACLE Database 11g.</w:t>
      </w:r>
    </w:p>
    <w:p w:rsidR="00AD16E1" w:rsidRPr="00FC4B61" w:rsidRDefault="00AD16E1" w:rsidP="00AD16E1">
      <w:pPr>
        <w:contextualSpacing/>
        <w:jc w:val="both"/>
        <w:rPr>
          <w:rFonts w:ascii="Times New Roman" w:eastAsia="Calibri" w:hAnsi="Times New Roman" w:cs="Times New Roman"/>
          <w:color w:val="000000"/>
          <w:highlight w:val="yellow"/>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Detaljna projektna dokumentacija se sastoji od sljedećih segmenata:</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Projektno rješenje CORE aplikacija</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Isplata</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Prava (Kancelarijsko poslovanje, izračun visine prava po starom i novom zakonu)</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Osiguranici</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Fonda (podaci sa starog sistema, prije 2009 godine, u izvornom obliku)</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Arhiva isplata (arhiva isplatnih podataka od 1991 do 2009 godine)</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Specifikacija baze i izvorni kod za modul Dop (Evidencija uplata za doprinose preko ZOP-a i Uprave prihoda)</w:t>
      </w:r>
    </w:p>
    <w:p w:rsidR="00AD16E1" w:rsidRPr="00FC4B61" w:rsidRDefault="00AD16E1" w:rsidP="00AD16E1">
      <w:pPr>
        <w:numPr>
          <w:ilvl w:val="0"/>
          <w:numId w:val="18"/>
        </w:numPr>
        <w:spacing w:after="0" w:line="240" w:lineRule="auto"/>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Projekat izvedenog stanja sistemskog dijela.</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Za aplikativnu komponentu iskorišćen je Oracle Application Server 10g R2 Forms&amp;Reports services. Za baznu komponentu je iskorišćena Oracle 19c baza podataka koja je instalirana kao RAC (Real Application Cluster) baza.</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Operativni sistem na aplikativim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5.3 x64.</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lastRenderedPageBreak/>
        <w:t xml:space="preserve">Operativni sistem na baznim serverima je: </w:t>
      </w:r>
      <w:proofErr w:type="gramStart"/>
      <w:r w:rsidRPr="00FC4B61">
        <w:rPr>
          <w:rFonts w:ascii="Times New Roman" w:eastAsia="Times New Roman" w:hAnsi="Times New Roman" w:cs="Times New Roman"/>
          <w:lang w:eastAsia="en-GB"/>
        </w:rPr>
        <w:t>RedHat  Enterprise</w:t>
      </w:r>
      <w:proofErr w:type="gramEnd"/>
      <w:r w:rsidRPr="00FC4B61">
        <w:rPr>
          <w:rFonts w:ascii="Times New Roman" w:eastAsia="Times New Roman" w:hAnsi="Times New Roman" w:cs="Times New Roman"/>
          <w:lang w:eastAsia="en-GB"/>
        </w:rPr>
        <w:t xml:space="preserve"> Linux 5.5 x64.</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Aplikativni Serveri</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Postavka aplikativnih servera je izabrana u skladu sa dva osnovna zahtjeva koje aplikativni softver treba da ispuni:</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Pouzdanost</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w:t>
      </w:r>
      <w:r w:rsidRPr="00FC4B61">
        <w:rPr>
          <w:rFonts w:ascii="Times New Roman" w:eastAsia="Calibri" w:hAnsi="Times New Roman" w:cs="Times New Roman"/>
          <w:color w:val="000000"/>
          <w:lang w:val="sr-Latn-ME" w:eastAsia="en-GB"/>
        </w:rPr>
        <w:tab/>
        <w:t>Dobre performance</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Za ispunjenje navedenih uslova iskorišćena su tri servera sa sledećim karakteristikama:</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APP1</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APP2</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APP3</w:t>
      </w:r>
      <w:r w:rsidRPr="00FC4B61">
        <w:rPr>
          <w:rFonts w:ascii="Times New Roman" w:eastAsia="Calibri" w:hAnsi="Times New Roman" w:cs="Times New Roman"/>
          <w:color w:val="000000"/>
          <w:lang w:val="sr-Latn-ME" w:eastAsia="en-GB"/>
        </w:rPr>
        <w:tab/>
        <w:t>2</w:t>
      </w:r>
      <w:r w:rsidRPr="00FC4B61">
        <w:rPr>
          <w:rFonts w:ascii="Times New Roman" w:eastAsia="Calibri" w:hAnsi="Times New Roman" w:cs="Times New Roman"/>
          <w:color w:val="000000"/>
          <w:lang w:val="sr-Latn-ME" w:eastAsia="en-GB"/>
        </w:rPr>
        <w:tab/>
        <w:t>6GB</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REP1</w:t>
      </w:r>
      <w:r w:rsidRPr="00FC4B61">
        <w:rPr>
          <w:rFonts w:ascii="Times New Roman" w:eastAsia="Calibri" w:hAnsi="Times New Roman" w:cs="Times New Roman"/>
          <w:color w:val="000000"/>
          <w:lang w:val="sr-Latn-ME" w:eastAsia="en-GB"/>
        </w:rPr>
        <w:tab/>
        <w:t>1</w:t>
      </w:r>
      <w:r w:rsidRPr="00FC4B61">
        <w:rPr>
          <w:rFonts w:ascii="Times New Roman" w:eastAsia="Calibri" w:hAnsi="Times New Roman" w:cs="Times New Roman"/>
          <w:color w:val="000000"/>
          <w:lang w:val="sr-Latn-ME" w:eastAsia="en-GB"/>
        </w:rPr>
        <w:tab/>
        <w:t>2GB</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serverima APP1 i APP2 je aktivna Forms instanca Oracle Application Server-a 10g R2 (10.2.2.0) i to su Aplikativni serveri u sistemu. Korisnici na sistemu koriste Aplikativne servere za rad sa aplikacijom. Na serveru REP1 je aktivna Reports instance Oracle Application Server-a 10g R2 (10.2.2.0) i to je Report server u sistemu. Korisnici Report server koriste za izradu izvještaja iz aplikacije.</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Bazni Serveri</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Da bi se postigao jedan od bitnijih uslova za High Availability baznog sloja, tj. da bi se dobilo na pouzdanosti, dostupnosti, raspoloživosti baznog sloja, sistema uopšte, na Baznim serverima je instaliran Oracle Database 11gR2 RAC software sa PatchSet-om 3 (10.2.0.4),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DB1 i DB2.</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shared diskovima za Clusterware je podignut OCFS2 fajl sistem, dok su diskovi za bazne fajlove kreirani pomoću ASMLIB (Automatic Storage Management) paketa.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Hardverske karakteristike baznih servera su:</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Server</w:t>
      </w:r>
      <w:r w:rsidRPr="00FC4B61">
        <w:rPr>
          <w:rFonts w:ascii="Times New Roman" w:eastAsia="Calibri" w:hAnsi="Times New Roman" w:cs="Times New Roman"/>
          <w:color w:val="000000"/>
          <w:lang w:val="sr-Latn-ME" w:eastAsia="en-GB"/>
        </w:rPr>
        <w:tab/>
        <w:t>Br. Procesora</w:t>
      </w:r>
      <w:r w:rsidRPr="00FC4B61">
        <w:rPr>
          <w:rFonts w:ascii="Times New Roman" w:eastAsia="Calibri" w:hAnsi="Times New Roman" w:cs="Times New Roman"/>
          <w:color w:val="000000"/>
          <w:lang w:val="sr-Latn-ME" w:eastAsia="en-GB"/>
        </w:rPr>
        <w:tab/>
        <w:t>RAM Memorija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DB1</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DB2</w:t>
      </w:r>
      <w:r w:rsidRPr="00FC4B61">
        <w:rPr>
          <w:rFonts w:ascii="Times New Roman" w:eastAsia="Calibri" w:hAnsi="Times New Roman" w:cs="Times New Roman"/>
          <w:color w:val="000000"/>
          <w:lang w:val="sr-Latn-ME" w:eastAsia="en-GB"/>
        </w:rPr>
        <w:tab/>
        <w:t>4</w:t>
      </w:r>
      <w:r w:rsidRPr="00FC4B61">
        <w:rPr>
          <w:rFonts w:ascii="Times New Roman" w:eastAsia="Calibri" w:hAnsi="Times New Roman" w:cs="Times New Roman"/>
          <w:color w:val="000000"/>
          <w:lang w:val="sr-Latn-ME" w:eastAsia="en-GB"/>
        </w:rPr>
        <w:tab/>
        <w:t>16GB</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User, koji je vlasnik Oracle softvera, je ‘oracle’. Dok su korisničke grupe: ‘oinstall’ i ‘dba’.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Izvršena je određena konfiguracija kernel-a za potrebe optimalnog funkcionisanja Oracle servisa.                                                                                                                    </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Na oba servera podignute su A</w:t>
      </w:r>
      <w:bookmarkStart w:id="0" w:name="_GoBack"/>
      <w:bookmarkEnd w:id="0"/>
      <w:r w:rsidRPr="00FC4B61">
        <w:rPr>
          <w:rFonts w:ascii="Times New Roman" w:eastAsia="Calibri" w:hAnsi="Times New Roman" w:cs="Times New Roman"/>
          <w:color w:val="000000"/>
          <w:lang w:val="sr-Latn-ME" w:eastAsia="en-GB"/>
        </w:rPr>
        <w:t>SM instance, ASM1, tj ASM2.</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čiji je SID=PIO, je kreirana I instance podignute na oba servera (PIO1,PIO2). Lokacija za bazne fajlove je +DATA, diskgrupa kreirana pomoću pomenutih ASMLIB paketa, na Storage-u, na fizičkoj lokaciji /dev/mapper/data*.</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Baza je kreirana u ARCHIVELOG modu, s toga, lokacija za backup i restore fajlove je diskgrupa +FRA na Storage-u, /dev/ mapper/fra*.</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Logička šema baznih servera je prikazana na slici: </w:t>
      </w:r>
    </w:p>
    <w:p w:rsidR="00AD16E1" w:rsidRPr="00FC4B61" w:rsidRDefault="00AD16E1" w:rsidP="00AD16E1">
      <w:pPr>
        <w:contextualSpacing/>
        <w:jc w:val="center"/>
        <w:rPr>
          <w:rFonts w:ascii="Times New Roman" w:eastAsia="Calibri" w:hAnsi="Times New Roman" w:cs="Times New Roman"/>
          <w:color w:val="000000"/>
          <w:lang w:val="sr-Latn-ME" w:eastAsia="en-GB"/>
        </w:rPr>
      </w:pPr>
      <w:r w:rsidRPr="00FC4B61">
        <w:rPr>
          <w:rFonts w:ascii="Times New Roman" w:eastAsia="Times New Roman" w:hAnsi="Times New Roman" w:cs="Times New Roman"/>
          <w:noProof/>
          <w:sz w:val="24"/>
          <w:szCs w:val="24"/>
          <w:u w:val="single"/>
          <w:lang w:eastAsia="en-GB"/>
          <w14:ligatures w14:val="standardContextual"/>
        </w:rPr>
        <w:object w:dxaOrig="7866" w:dyaOrig="6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42.5pt;mso-width-percent:0;mso-height-percent:0;mso-width-percent:0;mso-height-percent:0" o:ole="" o:allowoverlap="f" filled="t">
            <v:fill color2="black"/>
            <v:imagedata r:id="rId5" o:title=""/>
          </v:shape>
          <o:OLEObject Type="Embed" ProgID="Msxml2.SAXXMLReader.5.0" ShapeID="_x0000_i1025" DrawAspect="Content" ObjectID="_1822737764" r:id="rId6"/>
        </w:objec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Arhitektura baze sa RAC i ASM opcijom je, takođe, prikazana na slici:</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38D33BFE" wp14:editId="1AB142A3">
            <wp:extent cx="1775460" cy="1767438"/>
            <wp:effectExtent l="0" t="0" r="0" b="4445"/>
            <wp:docPr id="1" name="Picture 1" descr="A diagram of a ser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server&#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Šematski prikaz cjelokupnog produkcionog sistema je dat na slici:</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1D562602" wp14:editId="0CFCD673">
            <wp:extent cx="3459770" cy="2178050"/>
            <wp:effectExtent l="0" t="0" r="7620" b="0"/>
            <wp:docPr id="2" name="Picture 2" descr="A diagram of a computer netwo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uter network&#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4463" cy="2181005"/>
                    </a:xfrm>
                    <a:prstGeom prst="rect">
                      <a:avLst/>
                    </a:prstGeom>
                    <a:noFill/>
                  </pic:spPr>
                </pic:pic>
              </a:graphicData>
            </a:graphic>
          </wp:inline>
        </w:drawing>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Testni server     </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Pored produkcionog postoji i testni sistem koji služi za testiranje novih modula u aplikaciji, prije njihove primjene na produkcioni sistem. Testni sistem se sastoji od jednog servera na kojem je instalirana Oracle 11g R2 baza podataka i Oracle 11g R2 Application Server Forms&amp;Reports Service.</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lastRenderedPageBreak/>
        <w:t>Šematski prikaz testnog sistema je dat na sledećoj slici:</w:t>
      </w:r>
    </w:p>
    <w:p w:rsidR="00AD16E1" w:rsidRPr="00FC4B61" w:rsidRDefault="00AD16E1" w:rsidP="00AD16E1">
      <w:pPr>
        <w:contextualSpacing/>
        <w:jc w:val="both"/>
        <w:rPr>
          <w:rFonts w:ascii="Times New Roman" w:eastAsia="Calibri" w:hAnsi="Times New Roman" w:cs="Times New Roman"/>
          <w:color w:val="000000"/>
          <w:lang w:val="sr-Latn-ME" w:eastAsia="en-GB"/>
        </w:rPr>
      </w:pPr>
    </w:p>
    <w:p w:rsidR="00AD16E1" w:rsidRPr="00FC4B61" w:rsidRDefault="00AD16E1" w:rsidP="00AD16E1">
      <w:pPr>
        <w:contextualSpacing/>
        <w:jc w:val="center"/>
        <w:rPr>
          <w:rFonts w:ascii="Times New Roman" w:eastAsia="Calibri" w:hAnsi="Times New Roman" w:cs="Times New Roman"/>
          <w:color w:val="000000"/>
          <w:lang w:val="sr-Latn-ME" w:eastAsia="en-GB"/>
        </w:rPr>
      </w:pPr>
      <w:r w:rsidRPr="00FC4B61">
        <w:rPr>
          <w:rFonts w:ascii="Times New Roman" w:eastAsia="Calibri" w:hAnsi="Times New Roman" w:cs="Times New Roman"/>
          <w:noProof/>
          <w:color w:val="000000"/>
        </w:rPr>
        <w:drawing>
          <wp:inline distT="0" distB="0" distL="0" distR="0" wp14:anchorId="5ABBA456" wp14:editId="6B9C57AC">
            <wp:extent cx="3855720" cy="1201062"/>
            <wp:effectExtent l="0" t="0" r="0" b="0"/>
            <wp:docPr id="3" name="Picture 3" descr="A computer screen shot of a brick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mputer screen shot of a brick wall&#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 xml:space="preserve"> </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Sinhronizacija testnog sistema sa produkcionim sistemom se obavlja minimum jednom mjesečno. Sinhronizuju se podaci u bazama i aplikacija (objekti, forme i izvještaji).</w:t>
      </w:r>
    </w:p>
    <w:p w:rsidR="00AD16E1" w:rsidRPr="00FC4B61" w:rsidRDefault="00AD16E1" w:rsidP="00AD16E1">
      <w:pPr>
        <w:contextualSpacing/>
        <w:jc w:val="both"/>
        <w:rPr>
          <w:rFonts w:ascii="Times New Roman" w:eastAsia="Calibri" w:hAnsi="Times New Roman" w:cs="Times New Roman"/>
          <w:color w:val="000000"/>
          <w:lang w:val="sr-Latn-ME" w:eastAsia="en-GB"/>
        </w:rPr>
      </w:pPr>
      <w:r w:rsidRPr="00FC4B61">
        <w:rPr>
          <w:rFonts w:ascii="Times New Roman" w:eastAsia="Calibri" w:hAnsi="Times New Roman" w:cs="Times New Roman"/>
          <w:color w:val="000000"/>
          <w:lang w:val="sr-Latn-ME" w:eastAsia="en-GB"/>
        </w:rPr>
        <w:t>U Fondu PIO postoji i rezervni oprema, koji može poslužiti kao backup sistem u slučaju pada i nedostupnosti produkcionog sistema. Obaveza ponuđača je i održavanje i unaprijeđivanje sistema sinhronizacije podataka između produkcionog i backup sistema.</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U okviru projekta održavanja interfejsa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u dijelu razmjene podataka o registraciji osiguranika i obveznika uplata doprinosa.</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Fond PIO je u ovom trenutku povezan putem web servisa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Poreskom upravom (razmjena registracionih podataka) i CRS. Kako Fond PIO predstavlja dio državne uprave i svom posjedu ima podatke koji su neophodni nekim drugim državnim organima to je očekivano da se, u zavisnosti </w:t>
      </w:r>
      <w:proofErr w:type="gramStart"/>
      <w:r w:rsidRPr="00FC4B61">
        <w:rPr>
          <w:rFonts w:ascii="Times New Roman" w:eastAsia="Times New Roman" w:hAnsi="Times New Roman" w:cs="Times New Roman"/>
          <w:lang w:eastAsia="en-GB"/>
        </w:rPr>
        <w:t>od</w:t>
      </w:r>
      <w:proofErr w:type="gramEnd"/>
      <w:r w:rsidRPr="00FC4B61">
        <w:rPr>
          <w:rFonts w:ascii="Times New Roman" w:eastAsia="Times New Roman" w:hAnsi="Times New Roman" w:cs="Times New Roman"/>
          <w:lang w:eastAsia="en-GB"/>
        </w:rPr>
        <w:t xml:space="preserve"> razvoja IT sistema ovih državnih organa, vrši razmjena podataka elektronski putem web servisa.</w:t>
      </w:r>
    </w:p>
    <w:p w:rsidR="00AD16E1" w:rsidRPr="00FC4B61" w:rsidRDefault="00AD16E1" w:rsidP="00AD16E1">
      <w:pPr>
        <w:numPr>
          <w:ilvl w:val="0"/>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Aptos" w:hAnsi="Times New Roman" w:cs="Times New Roman"/>
          <w:sz w:val="40"/>
          <w:szCs w:val="40"/>
          <w:lang w:eastAsia="en-GB"/>
        </w:rPr>
        <w:t>OPIS PREDMETA JAVNE NABAVKE</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su:</w:t>
      </w:r>
    </w:p>
    <w:p w:rsidR="00AD16E1" w:rsidRPr="00FC4B61" w:rsidRDefault="00AD16E1" w:rsidP="00AD16E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Nabavka perpetual licenci, instalacija i kofiguracija za:</w:t>
      </w:r>
    </w:p>
    <w:p w:rsidR="00AD16E1" w:rsidRPr="00FC4B61" w:rsidRDefault="00AD16E1" w:rsidP="00AD16E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BI platformu</w:t>
      </w:r>
    </w:p>
    <w:p w:rsidR="00AD16E1" w:rsidRPr="00FC4B61" w:rsidRDefault="00AD16E1" w:rsidP="00AD16E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Data integrator (platforma za integraciju podataka)</w:t>
      </w:r>
    </w:p>
    <w:p w:rsidR="00AD16E1" w:rsidRPr="00FC4B61" w:rsidRDefault="00AD16E1" w:rsidP="00AD16E1">
      <w:pPr>
        <w:numPr>
          <w:ilvl w:val="1"/>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DWH bazu podataka</w:t>
      </w:r>
    </w:p>
    <w:p w:rsidR="00AD16E1" w:rsidRPr="00FC4B61" w:rsidRDefault="00AD16E1" w:rsidP="00AD16E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w:t>
      </w:r>
    </w:p>
    <w:p w:rsidR="00AD16E1" w:rsidRPr="00FC4B61" w:rsidRDefault="00AD16E1" w:rsidP="00AD16E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tri (3) data marta i ETL (ELT) procesa (definiše ih i specificira Fond penzijskog i invalidskog osiguranja tokom funkcionalne analize)</w:t>
      </w:r>
    </w:p>
    <w:p w:rsidR="00AD16E1" w:rsidRPr="00FC4B61" w:rsidRDefault="00AD16E1" w:rsidP="00AD16E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 pet (5) schedule job-ova za automatizaciju dostavljanja informacija (definiše ih i specificira Fond penzijskog i invalidskog osiguranja tokom funkcionalne analize)</w:t>
      </w:r>
    </w:p>
    <w:p w:rsidR="00AD16E1" w:rsidRPr="00FC4B61" w:rsidRDefault="00AD16E1" w:rsidP="00AD16E1">
      <w:pPr>
        <w:numPr>
          <w:ilvl w:val="1"/>
          <w:numId w:val="2"/>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Do pet (5) izvještaja </w:t>
      </w:r>
      <w:proofErr w:type="gramStart"/>
      <w:r w:rsidRPr="00FC4B61">
        <w:rPr>
          <w:rFonts w:ascii="Times New Roman" w:eastAsia="Times New Roman" w:hAnsi="Times New Roman" w:cs="Times New Roman"/>
          <w:lang w:eastAsia="en-GB"/>
        </w:rPr>
        <w:t>ili</w:t>
      </w:r>
      <w:proofErr w:type="gramEnd"/>
      <w:r w:rsidRPr="00FC4B61">
        <w:rPr>
          <w:rFonts w:ascii="Times New Roman" w:eastAsia="Times New Roman" w:hAnsi="Times New Roman" w:cs="Times New Roman"/>
          <w:lang w:eastAsia="en-GB"/>
        </w:rPr>
        <w:t xml:space="preserve"> dashboard-ova (definiše ih i specificira Fond penzijskog i invalidskog osiguranja tokom funkcionalne analize).</w:t>
      </w:r>
    </w:p>
    <w:p w:rsidR="00AD16E1" w:rsidRPr="00FC4B61" w:rsidRDefault="00AD16E1" w:rsidP="00AD16E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princip “</w:t>
      </w:r>
      <w:r w:rsidRPr="00FC4B61">
        <w:rPr>
          <w:rFonts w:ascii="Times New Roman" w:eastAsia="Times New Roman" w:hAnsi="Times New Roman" w:cs="Times New Roman"/>
          <w:i/>
          <w:iCs/>
          <w:lang w:eastAsia="en-GB"/>
        </w:rPr>
        <w:t>train the trainer</w:t>
      </w:r>
      <w:r w:rsidRPr="00FC4B61">
        <w:rPr>
          <w:rFonts w:ascii="Times New Roman" w:eastAsia="Times New Roman" w:hAnsi="Times New Roman" w:cs="Times New Roman"/>
          <w:lang w:eastAsia="en-GB"/>
        </w:rPr>
        <w:t>” (obuka trenera)</w:t>
      </w:r>
    </w:p>
    <w:p w:rsidR="00AD16E1" w:rsidRPr="00FC4B61" w:rsidRDefault="00AD16E1" w:rsidP="00AD16E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w:t>
      </w:r>
    </w:p>
    <w:p w:rsidR="00AD16E1" w:rsidRPr="00FC4B61" w:rsidRDefault="00AD16E1" w:rsidP="00AD16E1">
      <w:pPr>
        <w:numPr>
          <w:ilvl w:val="0"/>
          <w:numId w:val="1"/>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Garantno održavanje u trajanju jedne godine. </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Predmet javne nabavke nije hardware. Fond penzijskog i invalidskog osiguranja je obezbijedio hardware-ske resurse za ovaj projekat. Potrebno je uspostaviti dva okruženja (razvojno/testno i produkciono okruženje).</w:t>
      </w:r>
    </w:p>
    <w:p w:rsidR="00AD16E1" w:rsidRPr="00FC4B61" w:rsidRDefault="00AD16E1" w:rsidP="00AD16E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lastRenderedPageBreak/>
        <w:t>PROJEKTNE FAZE</w:t>
      </w: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ponudi dostavi projektni plan,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opisom projektnih faza, koji minimalno mora da sadrži sledeće projektne faze: </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Analiza, dizajn, izrada i odobravanje funkcionalne analize</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Isporuka licenci</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Instalacija i kofiguracija (BI platforma, data integrator, DWH baza podataka)</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Razvoj i implementacija (ETL/ELT, data mart-ovi, job-ovi, izvještaji/dashboard-i)</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Testiranje i osiguranje kvaliteta</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Obuka korisnika</w:t>
      </w:r>
    </w:p>
    <w:p w:rsidR="00AD16E1" w:rsidRPr="00FC4B6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Implementacija u produkciju</w:t>
      </w:r>
    </w:p>
    <w:p w:rsidR="00AD16E1" w:rsidRDefault="00AD16E1" w:rsidP="00AD16E1">
      <w:pPr>
        <w:numPr>
          <w:ilvl w:val="0"/>
          <w:numId w:val="3"/>
        </w:numPr>
        <w:spacing w:before="100" w:beforeAutospacing="1" w:after="100" w:afterAutospacing="1"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Dokumentovanje i primopredaja sistema.</w:t>
      </w:r>
    </w:p>
    <w:p w:rsidR="00AD16E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p>
    <w:p w:rsidR="00AD16E1" w:rsidRPr="00FC4B61" w:rsidRDefault="00AD16E1" w:rsidP="00AD16E1">
      <w:pPr>
        <w:spacing w:before="100" w:beforeAutospacing="1" w:after="100" w:afterAutospacing="1" w:line="240" w:lineRule="auto"/>
        <w:jc w:val="both"/>
        <w:rPr>
          <w:rFonts w:ascii="Times New Roman" w:eastAsia="Times New Roman" w:hAnsi="Times New Roman" w:cs="Times New Roman"/>
          <w:lang w:eastAsia="en-GB"/>
        </w:rPr>
      </w:pPr>
    </w:p>
    <w:p w:rsidR="00AD16E1" w:rsidRPr="00FC4B61" w:rsidRDefault="00AD16E1" w:rsidP="00AD16E1">
      <w:pPr>
        <w:numPr>
          <w:ilvl w:val="0"/>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Aptos" w:hAnsi="Times New Roman" w:cs="Times New Roman"/>
          <w:kern w:val="2"/>
          <w:sz w:val="40"/>
          <w:szCs w:val="40"/>
          <w14:ligatures w14:val="standardContextual"/>
        </w:rPr>
        <w:t>TEHNIČK</w:t>
      </w:r>
      <w:r w:rsidRPr="00FC4B61">
        <w:rPr>
          <w:rFonts w:ascii="Times New Roman" w:eastAsia="Times New Roman" w:hAnsi="Times New Roman" w:cs="Times New Roman"/>
          <w:sz w:val="40"/>
          <w:szCs w:val="40"/>
          <w:lang w:eastAsia="en-GB"/>
        </w:rPr>
        <w:t>I, FUNKCIONALNI I NEFUNKCIONALNI ZAHTJEVI</w:t>
      </w:r>
    </w:p>
    <w:p w:rsidR="00AD16E1" w:rsidRPr="00FC4B61" w:rsidRDefault="00AD16E1" w:rsidP="00AD16E1">
      <w:pPr>
        <w:spacing w:after="0" w:line="240" w:lineRule="auto"/>
        <w:rPr>
          <w:rFonts w:ascii="Times New Roman" w:eastAsia="Times New Roman" w:hAnsi="Times New Roman" w:cs="Times New Roman"/>
          <w:sz w:val="40"/>
          <w:szCs w:val="40"/>
          <w:lang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data integrator i DWH bazu podataka su definisani u ovom poglavlju.</w:t>
      </w:r>
    </w:p>
    <w:p w:rsidR="00AD16E1" w:rsidRPr="00FC4B61" w:rsidRDefault="00AD16E1" w:rsidP="00AD16E1">
      <w:pPr>
        <w:spacing w:after="0" w:line="240" w:lineRule="auto"/>
        <w:rPr>
          <w:rFonts w:ascii="Times New Roman" w:eastAsia="Times New Roman" w:hAnsi="Times New Roman" w:cs="Times New Roman"/>
          <w:sz w:val="40"/>
          <w:szCs w:val="40"/>
          <w:lang w:eastAsia="en-GB"/>
        </w:rPr>
      </w:pPr>
    </w:p>
    <w:p w:rsidR="00AD16E1" w:rsidRPr="00FC4B61" w:rsidRDefault="00AD16E1" w:rsidP="00AD16E1">
      <w:pPr>
        <w:numPr>
          <w:ilvl w:val="1"/>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BI platforma</w:t>
      </w:r>
    </w:p>
    <w:p w:rsidR="00AD16E1" w:rsidRPr="00FC4B61" w:rsidRDefault="00AD16E1" w:rsidP="00AD16E1">
      <w:pPr>
        <w:spacing w:after="0" w:line="240" w:lineRule="auto"/>
        <w:rPr>
          <w:rFonts w:ascii="Times New Roman" w:eastAsia="Times New Roman" w:hAnsi="Times New Roman" w:cs="Times New Roman"/>
          <w:highlight w:val="yellow"/>
          <w:lang w:val="sr-Latn-RS"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BI platformu su:</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rad 20 autorizovanih korisnika, </w:t>
      </w:r>
      <w:proofErr w:type="gramStart"/>
      <w:r w:rsidRPr="00FC4B61">
        <w:rPr>
          <w:rFonts w:ascii="Times New Roman" w:eastAsia="Times New Roman" w:hAnsi="Times New Roman" w:cs="Times New Roman"/>
          <w:color w:val="000000"/>
          <w:lang w:eastAsia="en-GB"/>
        </w:rPr>
        <w:t>od</w:t>
      </w:r>
      <w:proofErr w:type="gramEnd"/>
      <w:r w:rsidRPr="00FC4B61">
        <w:rPr>
          <w:rFonts w:ascii="Times New Roman" w:eastAsia="Times New Roman" w:hAnsi="Times New Roman" w:cs="Times New Roman"/>
          <w:color w:val="000000"/>
          <w:lang w:eastAsia="en-GB"/>
        </w:rPr>
        <w:t xml:space="preserve"> kojih svaki treba da ima mogućnost izrade modela podataka, pretrage podataka, kreiranja i pokretanja izvještaja i dashborda, rada sa naprednim AI funkcionalnostima. Treba obezbijediti razvojno/testno i produkciono okruženje. Sve neophodne licence aplikacije, u skladu sa ovim tehničkim zahtjevima, moraju biti trajne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mogućnost (tehnički i kroz licence) kontejnerizacije (containerized) – osposobljeno za izvršavanje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Red Hat OpenShift kontejnerskoj platformi, kao i kao standalone proizvod na Windows, Linux i AIX operativnim sistemima. Za  deploy-ment na RHOS, sve licence za RHOS moraju biti uključene </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se gradi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platformi za poslovnu analitiku koja koristi vještačku inteligenciju (AI) i koja podržava čitav skup analitičkih potreba od data discovery preko izvještavanja do ugradnje rezultata analitike u operativne procese.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omogući korisnicima da vizuelno prikazuju, analiziraju i razmjenjuju korisne uvide o podacima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bilo kime u organizaciji i van nje.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mogućnost izrade dashbord-a, koji bi prenosili ključne informacije i vizualizacije.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lastRenderedPageBreak/>
        <w:t xml:space="preserve">Korisnici bi trebalo da budu u mogućnosti da sami sastave prikaz koji sadrži vizualizacije poput grafikona, dijagrama, </w:t>
      </w:r>
      <w:proofErr w:type="gramStart"/>
      <w:r w:rsidRPr="00FC4B61">
        <w:rPr>
          <w:rFonts w:ascii="Times New Roman" w:eastAsia="Times New Roman" w:hAnsi="Times New Roman" w:cs="Times New Roman"/>
          <w:color w:val="000000"/>
          <w:lang w:eastAsia="en-GB"/>
        </w:rPr>
        <w:t>plota(</w:t>
      </w:r>
      <w:proofErr w:type="gramEnd"/>
      <w:r w:rsidRPr="00FC4B61">
        <w:rPr>
          <w:rFonts w:ascii="Times New Roman" w:eastAsia="Times New Roman" w:hAnsi="Times New Roman" w:cs="Times New Roman"/>
          <w:color w:val="000000"/>
          <w:lang w:eastAsia="en-GB"/>
        </w:rPr>
        <w:t>nacrta), tabele, mape ili bilo kog drugog vizuelnog prikaza podataka (koristeći open souce dijagrame).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posjeduje web alat za izradu izvještaja koji </w:t>
      </w:r>
      <w:proofErr w:type="gramStart"/>
      <w:r w:rsidRPr="00FC4B61">
        <w:rPr>
          <w:rFonts w:ascii="Times New Roman" w:eastAsia="Times New Roman" w:hAnsi="Times New Roman" w:cs="Times New Roman"/>
          <w:color w:val="000000"/>
          <w:lang w:eastAsia="en-GB"/>
        </w:rPr>
        <w:t>će</w:t>
      </w:r>
      <w:proofErr w:type="gramEnd"/>
      <w:r w:rsidRPr="00FC4B61">
        <w:rPr>
          <w:rFonts w:ascii="Times New Roman" w:eastAsia="Times New Roman" w:hAnsi="Times New Roman" w:cs="Times New Roman"/>
          <w:color w:val="000000"/>
          <w:lang w:eastAsia="en-GB"/>
        </w:rPr>
        <w:t xml:space="preserve"> profesionalni autori izvještaja i programeri koristiti za izgradnju sofisticiranih, pixel perfect izvještaja koji imaju višestruku strukturu strana, rade sa više baza podataka, više jezički…</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bi trebalo da ima:</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Vođeno autorsko iskustvo</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Korišćenje šablona i stilova</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Drag and drop iskustvo</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Preporučene vizualizacije na osnovu podataka</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Svu snagu i fleksibilnost profesionalne izrade izvještaja</w:t>
      </w:r>
    </w:p>
    <w:p w:rsidR="00AD16E1" w:rsidRPr="00FC4B61" w:rsidRDefault="00AD16E1" w:rsidP="00AD16E1">
      <w:pPr>
        <w:numPr>
          <w:ilvl w:val="1"/>
          <w:numId w:val="15"/>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Menije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zahtjev koji se pojavljuju samo kada je to potrebno.</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Korisnici izvještaja mogu da se prijave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dostavu izvještaja u nekom ponavljajućem vremenskom okviru: dnevno, sedmično, mjesečno ili bazirano na nekom događaju, npr. </w:t>
      </w:r>
      <w:proofErr w:type="gramStart"/>
      <w:r w:rsidRPr="00FC4B61">
        <w:rPr>
          <w:rFonts w:ascii="Times New Roman" w:eastAsia="Times New Roman" w:hAnsi="Times New Roman" w:cs="Times New Roman"/>
          <w:color w:val="000000"/>
          <w:lang w:eastAsia="en-GB"/>
        </w:rPr>
        <w:t>promjena</w:t>
      </w:r>
      <w:proofErr w:type="gramEnd"/>
      <w:r w:rsidRPr="00FC4B61">
        <w:rPr>
          <w:rFonts w:ascii="Times New Roman" w:eastAsia="Times New Roman" w:hAnsi="Times New Roman" w:cs="Times New Roman"/>
          <w:color w:val="000000"/>
          <w:lang w:eastAsia="en-GB"/>
        </w:rPr>
        <w:t xml:space="preserve"> neke vrijednosti.</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koristi statističke i </w:t>
      </w:r>
      <w:r w:rsidRPr="00FC4B61">
        <w:rPr>
          <w:rFonts w:ascii="Times New Roman" w:eastAsia="Times New Roman" w:hAnsi="Times New Roman" w:cs="Times New Roman"/>
          <w:i/>
          <w:iCs/>
          <w:color w:val="000000"/>
          <w:lang w:eastAsia="en-GB"/>
        </w:rPr>
        <w:t>Machine Learning</w:t>
      </w:r>
      <w:r w:rsidRPr="00FC4B61">
        <w:rPr>
          <w:rFonts w:ascii="Times New Roman" w:eastAsia="Times New Roman" w:hAnsi="Times New Roman" w:cs="Times New Roman"/>
          <w:color w:val="000000"/>
          <w:lang w:eastAsia="en-GB"/>
        </w:rPr>
        <w:t xml:space="preserve"> algoritme da pronađe veze između podataka, da pronađe šablone u podacima,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neke interesantne vrijednosti, anomalije koje korisnik ne bi lako uočio standardnim analizama.</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pronađe analize koje bi korisniku bile interesantne, i da mu ih ponudi, bazirano </w:t>
      </w:r>
      <w:proofErr w:type="gramStart"/>
      <w:r w:rsidRPr="00FC4B61">
        <w:rPr>
          <w:rFonts w:ascii="Times New Roman" w:eastAsia="Times New Roman" w:hAnsi="Times New Roman" w:cs="Times New Roman"/>
          <w:color w:val="000000"/>
          <w:lang w:eastAsia="en-GB"/>
        </w:rPr>
        <w:t>na</w:t>
      </w:r>
      <w:proofErr w:type="gramEnd"/>
      <w:r w:rsidRPr="00FC4B61">
        <w:rPr>
          <w:rFonts w:ascii="Times New Roman" w:eastAsia="Times New Roman" w:hAnsi="Times New Roman" w:cs="Times New Roman"/>
          <w:color w:val="000000"/>
          <w:lang w:eastAsia="en-GB"/>
        </w:rPr>
        <w:t xml:space="preserve"> postojećim podacima i analizama koje sam korisnik radi. Sve ovo treba da se omogući bez pisanja programskog koda, jednostavno krajnjim korisnicima. </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napredne tehnike analitike podataka u procesu pripreme, analize i vizualizacije podataka koristeći numeričke, deskriptivne i istraživačke tehnike (poznate kao numerička inteligencija).</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governance podataka: zaštitu, sigurnost, enkriptovanje da bi se osigurao pristup samo određenim korisnicima i zaštitili podaci.</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bude web bazirana i da ima pristup iz sljedećih browsera: Microsoft Edge Chromium, Google Chrome i Mozilla Firefox ESR.</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omogući izvoz podataka u Excel, PDF, XML i neformatirani Excel.</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obezbijedi nivoe sigurnosti, tako da pojedini korisnici mogu da vide samo podatke iz svojih područnih jedinica.</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omogući generisanje tzv. </w:t>
      </w:r>
      <w:proofErr w:type="gramStart"/>
      <w:r w:rsidRPr="00FC4B61">
        <w:rPr>
          <w:rFonts w:ascii="Times New Roman" w:eastAsia="Times New Roman" w:hAnsi="Times New Roman" w:cs="Times New Roman"/>
          <w:color w:val="000000"/>
          <w:lang w:eastAsia="en-GB"/>
        </w:rPr>
        <w:t>piksel</w:t>
      </w:r>
      <w:proofErr w:type="gramEnd"/>
      <w:r w:rsidRPr="00FC4B61">
        <w:rPr>
          <w:rFonts w:ascii="Times New Roman" w:eastAsia="Times New Roman" w:hAnsi="Times New Roman" w:cs="Times New Roman"/>
          <w:color w:val="000000"/>
          <w:lang w:eastAsia="en-GB"/>
        </w:rPr>
        <w:t xml:space="preserve"> perfektnih izvještaja kako bi se mogao generisati izvještaj tačno definisan u fazi analize.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bi trebalo da ima mogućnost da se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zadanih dijelova izvještaja omogući jednostavan prelazak na drugi izvještaj koji bi sadržao detalje za parametre prenesene sa izvornog izvještaja.</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BI platforma treba da posjeduje snažne alate za upravljanje podacima: zaštitu, sigurnost, enkriptovanje, da bi se osigurao pristup samo određenim korisnicima, zaštitili podaci i onemogućili maliciozni napadi.</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sadrži potpuni „audit“ sistema da bi se u svakom trenutku znalo ko je pristupao kom izvještaju, u kom formatu je gledao izvještaj i da bi mogao da se podigne alarm u slučaju da neko, npr. </w:t>
      </w:r>
      <w:proofErr w:type="gramStart"/>
      <w:r w:rsidRPr="00FC4B61">
        <w:rPr>
          <w:rFonts w:ascii="Times New Roman" w:eastAsia="Times New Roman" w:hAnsi="Times New Roman" w:cs="Times New Roman"/>
          <w:color w:val="000000"/>
          <w:lang w:eastAsia="en-GB"/>
        </w:rPr>
        <w:t>masovno</w:t>
      </w:r>
      <w:proofErr w:type="gramEnd"/>
      <w:r w:rsidRPr="00FC4B61">
        <w:rPr>
          <w:rFonts w:ascii="Times New Roman" w:eastAsia="Times New Roman" w:hAnsi="Times New Roman" w:cs="Times New Roman"/>
          <w:color w:val="000000"/>
          <w:lang w:eastAsia="en-GB"/>
        </w:rPr>
        <w:t xml:space="preserve"> izvršava izvještaje i eksportuje podatke.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ugrađeno Jupter Notebook okruženje za napredan rad </w:t>
      </w:r>
      <w:proofErr w:type="gramStart"/>
      <w:r w:rsidRPr="00FC4B61">
        <w:rPr>
          <w:rFonts w:ascii="Times New Roman" w:eastAsia="Times New Roman" w:hAnsi="Times New Roman" w:cs="Times New Roman"/>
          <w:color w:val="000000"/>
          <w:lang w:eastAsia="en-GB"/>
        </w:rPr>
        <w:t>sa</w:t>
      </w:r>
      <w:proofErr w:type="gramEnd"/>
      <w:r w:rsidRPr="00FC4B61">
        <w:rPr>
          <w:rFonts w:ascii="Times New Roman" w:eastAsia="Times New Roman" w:hAnsi="Times New Roman" w:cs="Times New Roman"/>
          <w:color w:val="000000"/>
          <w:lang w:eastAsia="en-GB"/>
        </w:rPr>
        <w:t xml:space="preserve"> podacima koristeći Python ili R programske jezike.</w:t>
      </w:r>
    </w:p>
    <w:p w:rsidR="00AD16E1" w:rsidRPr="00FC4B61" w:rsidRDefault="00AD16E1" w:rsidP="00AD16E1">
      <w:pPr>
        <w:numPr>
          <w:ilvl w:val="0"/>
          <w:numId w:val="13"/>
        </w:numPr>
        <w:spacing w:before="100" w:beforeAutospacing="1" w:after="100" w:afterAutospacing="1" w:line="240" w:lineRule="auto"/>
        <w:jc w:val="both"/>
        <w:rPr>
          <w:rFonts w:ascii="Times New Roman" w:eastAsia="Times New Roman" w:hAnsi="Times New Roman" w:cs="Times New Roman"/>
          <w:color w:val="000000"/>
          <w:lang w:eastAsia="en-GB"/>
        </w:rPr>
      </w:pPr>
      <w:r w:rsidRPr="00FC4B61">
        <w:rPr>
          <w:rFonts w:ascii="Times New Roman" w:eastAsia="Times New Roman" w:hAnsi="Times New Roman" w:cs="Times New Roman"/>
          <w:color w:val="000000"/>
          <w:lang w:eastAsia="en-GB"/>
        </w:rPr>
        <w:t xml:space="preserve">BI platforma treba da ima funkcionalnost da output ćelije iz notebook-a (tabele, vizualizacije…) može da ugradi u izvještaj </w:t>
      </w:r>
      <w:proofErr w:type="gramStart"/>
      <w:r w:rsidRPr="00FC4B61">
        <w:rPr>
          <w:rFonts w:ascii="Times New Roman" w:eastAsia="Times New Roman" w:hAnsi="Times New Roman" w:cs="Times New Roman"/>
          <w:color w:val="000000"/>
          <w:lang w:eastAsia="en-GB"/>
        </w:rPr>
        <w:t>ili</w:t>
      </w:r>
      <w:proofErr w:type="gramEnd"/>
      <w:r w:rsidRPr="00FC4B61">
        <w:rPr>
          <w:rFonts w:ascii="Times New Roman" w:eastAsia="Times New Roman" w:hAnsi="Times New Roman" w:cs="Times New Roman"/>
          <w:color w:val="000000"/>
          <w:lang w:eastAsia="en-GB"/>
        </w:rPr>
        <w:t xml:space="preserve"> dashbord. Ako se notebook updejtuje, i vizualizacija se promjeni, mora postojati mogućnost da se i ugnježdena ćelija promjeni.</w:t>
      </w:r>
    </w:p>
    <w:p w:rsidR="00AD16E1" w:rsidRPr="00FC4B61" w:rsidRDefault="00AD16E1" w:rsidP="00AD16E1">
      <w:pPr>
        <w:spacing w:after="0" w:line="240" w:lineRule="auto"/>
        <w:ind w:left="360"/>
        <w:rPr>
          <w:rFonts w:ascii="Times New Roman" w:eastAsia="Times New Roman" w:hAnsi="Times New Roman" w:cs="Times New Roman"/>
          <w:b/>
          <w:bCs/>
          <w:lang w:val="sr-Latn-RS" w:eastAsia="en-GB"/>
        </w:rPr>
      </w:pPr>
    </w:p>
    <w:p w:rsidR="00AD16E1" w:rsidRPr="00FC4B61" w:rsidRDefault="00AD16E1" w:rsidP="00AD16E1">
      <w:pPr>
        <w:numPr>
          <w:ilvl w:val="1"/>
          <w:numId w:val="4"/>
        </w:numPr>
        <w:spacing w:after="0" w:line="240" w:lineRule="auto"/>
        <w:contextualSpacing/>
        <w:rPr>
          <w:rFonts w:ascii="Times New Roman" w:eastAsia="Aptos" w:hAnsi="Times New Roman" w:cs="Times New Roman"/>
          <w:sz w:val="40"/>
          <w:szCs w:val="40"/>
          <w:lang w:eastAsia="en-GB"/>
        </w:rPr>
      </w:pPr>
      <w:r w:rsidRPr="00FC4B61">
        <w:rPr>
          <w:rFonts w:ascii="Times New Roman" w:eastAsia="Times New Roman" w:hAnsi="Times New Roman" w:cs="Times New Roman"/>
          <w:sz w:val="40"/>
          <w:szCs w:val="40"/>
          <w:lang w:eastAsia="en-GB"/>
        </w:rPr>
        <w:t>Data integrator</w:t>
      </w:r>
    </w:p>
    <w:p w:rsidR="00AD16E1" w:rsidRPr="00FC4B61" w:rsidRDefault="00AD16E1" w:rsidP="00AD16E1">
      <w:pPr>
        <w:spacing w:after="0" w:line="240" w:lineRule="auto"/>
        <w:jc w:val="both"/>
        <w:rPr>
          <w:rFonts w:ascii="Times New Roman" w:eastAsia="Times New Roman" w:hAnsi="Times New Roman" w:cs="Times New Roman"/>
          <w:lang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Tehnički, funkcionalni i nefunkcionalni zahtjevi koji se moraju ispuniti za data integrator su:</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produkciono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4 jezgara.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razvojno/testno okruženje treba da pokrije izvršavanje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serveru sa procesorom tipa Intel Xeon Silver 4314 sa 2 jezgara.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imati sve funkcionalnosti koje nude savremeni alati za ekstrakciju, transformaciju i učitavanje podataka (ETL funkcionalnosti).</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mora omogućiti dizajn, razvoj, puštanje u rad i monitoring poslova integracije putem grafičkog korisničkog interfejsa (GUI). </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vremensko zakazivanje poslova integracije mehanizmom podržanim u samom alatu.</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omogućiti upravljanje greškama i mogućnost automatskog ponovnog pokretanja neuspješnih poslova integracije, prije svega kroz sistem ugrađen u alat.</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Platforma za integraciju podataka treba da imata visok stepen kompatibilnosti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različitim izvorima podataka, tj. </w:t>
      </w:r>
      <w:proofErr w:type="gramStart"/>
      <w:r w:rsidRPr="00FC4B61">
        <w:rPr>
          <w:rFonts w:ascii="Times New Roman" w:eastAsia="Times New Roman" w:hAnsi="Times New Roman" w:cs="Times New Roman"/>
          <w:lang w:eastAsia="en-GB"/>
        </w:rPr>
        <w:t>mogućnost</w:t>
      </w:r>
      <w:proofErr w:type="gramEnd"/>
      <w:r w:rsidRPr="00FC4B61">
        <w:rPr>
          <w:rFonts w:ascii="Times New Roman" w:eastAsia="Times New Roman" w:hAnsi="Times New Roman" w:cs="Times New Roman"/>
          <w:lang w:eastAsia="en-GB"/>
        </w:rPr>
        <w:t xml:space="preserve"> konekcije na baze podataka, različite formate fajlova (txt/xls/csv), web servise.</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podržavati integraciju u realnom vremenu iz izvora podataka kao što su web-servisi i redovi poruka.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Platforma za integraciju podataka mora biti proširiva, omogućiti lako dodavanje novih izvora podataka.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mora podržati potrebnu dinamiku učitavanja podataka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dnevnom, mjesečnom, tromjesečnom ili godišnjem nivou, u skladu sa zahtjevima izvještavanja.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Patforma za integraciju podataka ne smije biti suviše osjetljiv </w:t>
      </w:r>
      <w:proofErr w:type="gramStart"/>
      <w:r w:rsidRPr="00FC4B61">
        <w:rPr>
          <w:rFonts w:ascii="Times New Roman" w:eastAsia="Times New Roman" w:hAnsi="Times New Roman" w:cs="Times New Roman"/>
          <w:lang w:eastAsia="en-GB"/>
        </w:rPr>
        <w:t>na</w:t>
      </w:r>
      <w:proofErr w:type="gramEnd"/>
      <w:r w:rsidRPr="00FC4B61">
        <w:rPr>
          <w:rFonts w:ascii="Times New Roman" w:eastAsia="Times New Roman" w:hAnsi="Times New Roman" w:cs="Times New Roman"/>
          <w:lang w:eastAsia="en-GB"/>
        </w:rPr>
        <w:t xml:space="preserve"> nedostatak nekritičnih pravila transformacije — ne smije spriječiti učitavanje podataka u takvim slučajevima; takvi zapisi moraju biti označeni, sa mogućnošću naknadnog definisanja pravila nakon učitavanja.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osigurati sljedljivost (traceability) — za svaki zapis u centralnom skladištu mora čuvati metapodatke koji omogućavaju identifikaciju izvornog sistema, baze/datoteke/podšeme i/ili tabele, kao i jedinstvenog identifikatora zapisa u izvornom sistemu (osim kad je zapis rezultat agregacije više izvora).</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treba efikasno i skalabilno koristiti sve hardverske resurse – diskove, memoriju, procesorsku snagu itd.</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procjenu potrebnih resursa, kao i detaljan prikaz zauzeća procesora, memorije i diskova tokom svake faze procesa integracije.</w:t>
      </w:r>
    </w:p>
    <w:p w:rsidR="00AD16E1" w:rsidRPr="00FC4B61" w:rsidRDefault="00AD16E1" w:rsidP="00AD16E1">
      <w:pPr>
        <w:numPr>
          <w:ilvl w:val="0"/>
          <w:numId w:val="14"/>
        </w:numPr>
        <w:spacing w:after="0" w:line="240" w:lineRule="auto"/>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Patforma za integraciju podataka mora omogućiti praćenje performansi tokom rada.</w:t>
      </w:r>
    </w:p>
    <w:p w:rsidR="00AD16E1" w:rsidRPr="00FC4B61" w:rsidRDefault="00AD16E1" w:rsidP="00AD16E1">
      <w:pPr>
        <w:spacing w:after="0" w:line="240" w:lineRule="auto"/>
        <w:ind w:left="720"/>
        <w:contextualSpacing/>
        <w:jc w:val="both"/>
        <w:rPr>
          <w:rFonts w:ascii="Times New Roman" w:eastAsia="Times New Roman" w:hAnsi="Times New Roman" w:cs="Times New Roman"/>
          <w:lang w:eastAsia="en-GB"/>
        </w:rPr>
      </w:pPr>
      <w:r w:rsidRPr="00FC4B61">
        <w:rPr>
          <w:rFonts w:ascii="Times New Roman" w:eastAsia="Times New Roman" w:hAnsi="Times New Roman" w:cs="Times New Roman"/>
          <w:highlight w:val="yellow"/>
          <w:lang w:eastAsia="en-GB"/>
        </w:rPr>
        <w:br/>
      </w:r>
    </w:p>
    <w:p w:rsidR="00AD16E1" w:rsidRPr="00FC4B61" w:rsidRDefault="00AD16E1" w:rsidP="00AD16E1">
      <w:pPr>
        <w:numPr>
          <w:ilvl w:val="1"/>
          <w:numId w:val="4"/>
        </w:numPr>
        <w:spacing w:after="0" w:line="240" w:lineRule="auto"/>
        <w:contextualSpacing/>
        <w:rPr>
          <w:rFonts w:ascii="Times New Roman" w:eastAsia="Times New Roman" w:hAnsi="Times New Roman" w:cs="Times New Roman"/>
          <w:sz w:val="40"/>
          <w:szCs w:val="40"/>
          <w:lang w:eastAsia="en-GB"/>
        </w:rPr>
      </w:pPr>
      <w:r w:rsidRPr="00FC4B61">
        <w:rPr>
          <w:rFonts w:ascii="Times New Roman" w:eastAsia="Times New Roman" w:hAnsi="Times New Roman" w:cs="Times New Roman"/>
          <w:sz w:val="40"/>
          <w:szCs w:val="40"/>
          <w:lang w:eastAsia="en-GB"/>
        </w:rPr>
        <w:t>DWH baza podataka</w:t>
      </w:r>
    </w:p>
    <w:p w:rsidR="00AD16E1" w:rsidRPr="00FC4B61" w:rsidRDefault="00AD16E1" w:rsidP="00AD16E1">
      <w:pPr>
        <w:spacing w:after="0" w:line="240" w:lineRule="auto"/>
        <w:rPr>
          <w:rFonts w:ascii="Times New Roman" w:eastAsia="Times New Roman" w:hAnsi="Times New Roman" w:cs="Times New Roman"/>
          <w:sz w:val="40"/>
          <w:szCs w:val="40"/>
          <w:lang w:eastAsia="en-GB"/>
        </w:rPr>
      </w:pPr>
    </w:p>
    <w:p w:rsidR="00AD16E1" w:rsidRPr="00FC4B61" w:rsidRDefault="00AD16E1" w:rsidP="00AD16E1">
      <w:pPr>
        <w:spacing w:after="0" w:line="240" w:lineRule="auto"/>
        <w:jc w:val="both"/>
        <w:rPr>
          <w:rFonts w:ascii="Times New Roman" w:eastAsia="Times New Roman" w:hAnsi="Times New Roman" w:cs="Times New Roman"/>
          <w:lang w:eastAsia="en-GB"/>
        </w:rPr>
      </w:pPr>
      <w:r w:rsidRPr="00FC4B61">
        <w:rPr>
          <w:rFonts w:ascii="Times New Roman" w:eastAsia="Times New Roman" w:hAnsi="Times New Roman" w:cs="Times New Roman"/>
          <w:lang w:eastAsia="en-GB"/>
        </w:rPr>
        <w:t xml:space="preserve">Ponuđač je dužan da u ponudu uključi i trajnu database licencu neophodnu za nadogradnju postojećeg sistema </w:t>
      </w:r>
      <w:proofErr w:type="gramStart"/>
      <w:r w:rsidRPr="00FC4B61">
        <w:rPr>
          <w:rFonts w:ascii="Times New Roman" w:eastAsia="Times New Roman" w:hAnsi="Times New Roman" w:cs="Times New Roman"/>
          <w:lang w:eastAsia="en-GB"/>
        </w:rPr>
        <w:t>sa</w:t>
      </w:r>
      <w:proofErr w:type="gramEnd"/>
      <w:r w:rsidRPr="00FC4B61">
        <w:rPr>
          <w:rFonts w:ascii="Times New Roman" w:eastAsia="Times New Roman" w:hAnsi="Times New Roman" w:cs="Times New Roman"/>
          <w:lang w:eastAsia="en-GB"/>
        </w:rPr>
        <w:t xml:space="preserve"> BI.  Radi se o trajnoj licenci za Oracle Enterprise Ediciju baze podataka za 50 korisnika (named user plus).</w:t>
      </w:r>
    </w:p>
    <w:p w:rsidR="00B71A6B" w:rsidRDefault="00B71A6B"/>
    <w:sectPr w:rsidR="00B71A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726A"/>
    <w:multiLevelType w:val="hybridMultilevel"/>
    <w:tmpl w:val="5AA8366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A013E"/>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BF6ACD"/>
    <w:multiLevelType w:val="hybridMultilevel"/>
    <w:tmpl w:val="F0522A3E"/>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B5E86"/>
    <w:multiLevelType w:val="hybridMultilevel"/>
    <w:tmpl w:val="0D248FA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B467B"/>
    <w:multiLevelType w:val="hybridMultilevel"/>
    <w:tmpl w:val="1DF83E8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280FF9"/>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630CC1"/>
    <w:multiLevelType w:val="multilevel"/>
    <w:tmpl w:val="ED2AE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E311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8E0B7E"/>
    <w:multiLevelType w:val="hybridMultilevel"/>
    <w:tmpl w:val="12C46630"/>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CD263E"/>
    <w:multiLevelType w:val="multilevel"/>
    <w:tmpl w:val="AE7C49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C107EB"/>
    <w:multiLevelType w:val="multilevel"/>
    <w:tmpl w:val="2EF264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E73248"/>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3E1F49"/>
    <w:multiLevelType w:val="hybridMultilevel"/>
    <w:tmpl w:val="CAC21026"/>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91C62"/>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0D5389"/>
    <w:multiLevelType w:val="hybridMultilevel"/>
    <w:tmpl w:val="E514F3C2"/>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AE5386"/>
    <w:multiLevelType w:val="multilevel"/>
    <w:tmpl w:val="C66821A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3B71F4"/>
    <w:multiLevelType w:val="hybridMultilevel"/>
    <w:tmpl w:val="F1340C28"/>
    <w:lvl w:ilvl="0" w:tplc="1A5A78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6"/>
    <w:lvlOverride w:ilvl="1">
      <w:lvl w:ilvl="1">
        <w:numFmt w:val="bullet"/>
        <w:lvlText w:val="o"/>
        <w:lvlJc w:val="left"/>
        <w:pPr>
          <w:tabs>
            <w:tab w:val="num" w:pos="1440"/>
          </w:tabs>
          <w:ind w:left="1440" w:hanging="360"/>
        </w:pPr>
        <w:rPr>
          <w:rFonts w:ascii="Courier New" w:hAnsi="Courier New" w:hint="default"/>
          <w:sz w:val="20"/>
        </w:rPr>
      </w:lvl>
    </w:lvlOverride>
  </w:num>
  <w:num w:numId="3">
    <w:abstractNumId w:val="5"/>
  </w:num>
  <w:num w:numId="4">
    <w:abstractNumId w:val="7"/>
  </w:num>
  <w:num w:numId="5">
    <w:abstractNumId w:val="0"/>
  </w:num>
  <w:num w:numId="6">
    <w:abstractNumId w:val="12"/>
  </w:num>
  <w:num w:numId="7">
    <w:abstractNumId w:val="14"/>
  </w:num>
  <w:num w:numId="8">
    <w:abstractNumId w:val="8"/>
  </w:num>
  <w:num w:numId="9">
    <w:abstractNumId w:val="16"/>
  </w:num>
  <w:num w:numId="10">
    <w:abstractNumId w:val="2"/>
  </w:num>
  <w:num w:numId="11">
    <w:abstractNumId w:val="4"/>
  </w:num>
  <w:num w:numId="12">
    <w:abstractNumId w:val="3"/>
  </w:num>
  <w:num w:numId="13">
    <w:abstractNumId w:val="9"/>
  </w:num>
  <w:num w:numId="14">
    <w:abstractNumId w:val="15"/>
  </w:num>
  <w:num w:numId="15">
    <w:abstractNumId w:val="10"/>
  </w:num>
  <w:num w:numId="16">
    <w:abstractNumId w:val="1"/>
  </w:num>
  <w:num w:numId="17">
    <w:abstractNumId w:val="1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25D"/>
    <w:rsid w:val="00AD16E1"/>
    <w:rsid w:val="00B71A6B"/>
    <w:rsid w:val="00B726E2"/>
    <w:rsid w:val="00BE2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67146"/>
  <w15:chartTrackingRefBased/>
  <w15:docId w15:val="{1C805137-E962-4983-9D62-8243778E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6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1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2564</Words>
  <Characters>14617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Zugic</dc:creator>
  <cp:keywords/>
  <dc:description/>
  <cp:lastModifiedBy>Ana Zugic</cp:lastModifiedBy>
  <cp:revision>1</cp:revision>
  <dcterms:created xsi:type="dcterms:W3CDTF">2025-10-23T12:28:00Z</dcterms:created>
  <dcterms:modified xsi:type="dcterms:W3CDTF">2025-10-23T13:16:00Z</dcterms:modified>
</cp:coreProperties>
</file>