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Arial Narrow" w:hAnsi="Arial Narrow"/>
          <w:lang w:val="en-US"/>
        </w:rPr>
      </w:pPr>
    </w:p>
    <w:p>
      <w:pPr>
        <w:tabs>
          <w:tab w:val="right" w:pos="3402"/>
        </w:tabs>
        <w:spacing w:before="0" w:after="0" w:line="240" w:lineRule="auto"/>
        <w:rPr>
          <w:rFonts w:ascii="Arial" w:hAnsi="Arial" w:eastAsia="Times New Roman" w:cs="Arial"/>
          <w:sz w:val="22"/>
          <w:lang w:val="sr-Latn-ME"/>
        </w:rPr>
      </w:pPr>
      <w:r>
        <w:rPr>
          <w:rFonts w:ascii="Arial" w:hAnsi="Arial" w:eastAsia="Times New Roman" w:cs="Arial"/>
          <w:sz w:val="22"/>
          <w:lang w:val="sr-Latn-ME"/>
        </w:rPr>
        <w:t xml:space="preserve">Naručilac: </w:t>
      </w:r>
      <w:r>
        <w:rPr>
          <w:rFonts w:ascii="Arial" w:hAnsi="Arial" w:eastAsia="Times New Roman" w:cs="Arial"/>
          <w:sz w:val="22"/>
          <w:u w:val="single"/>
          <w:lang w:val="sr-Latn-ME"/>
        </w:rPr>
        <w:t>Ministarstvo finansija</w:t>
      </w:r>
    </w:p>
    <w:p>
      <w:pPr>
        <w:tabs>
          <w:tab w:val="right" w:pos="3402"/>
        </w:tabs>
        <w:spacing w:before="0" w:after="0" w:line="240" w:lineRule="auto"/>
        <w:rPr>
          <w:rFonts w:hint="default" w:ascii="Arial" w:hAnsi="Arial" w:eastAsia="Times New Roman" w:cs="Arial"/>
          <w:sz w:val="22"/>
          <w:lang w:val="sr-Latn-ME"/>
        </w:rPr>
      </w:pPr>
      <w:r>
        <w:rPr>
          <w:rFonts w:ascii="Arial" w:hAnsi="Arial" w:eastAsia="Times New Roman" w:cs="Arial"/>
          <w:sz w:val="22"/>
          <w:lang w:val="sr-Latn-ME"/>
        </w:rPr>
        <w:t xml:space="preserve">Broj: </w:t>
      </w:r>
      <w:r>
        <w:rPr>
          <w:rFonts w:hint="default" w:ascii="Arial" w:hAnsi="Arial" w:eastAsia="Times New Roman" w:cs="Arial"/>
          <w:sz w:val="22"/>
          <w:lang w:val="sr-Latn-ME"/>
        </w:rPr>
        <w:t xml:space="preserve"> 5/2024-2</w:t>
      </w:r>
    </w:p>
    <w:p>
      <w:pPr>
        <w:tabs>
          <w:tab w:val="right" w:pos="3402"/>
        </w:tabs>
        <w:spacing w:before="0" w:after="0" w:line="240" w:lineRule="auto"/>
        <w:rPr>
          <w:rFonts w:ascii="Arial" w:hAnsi="Arial" w:eastAsia="Calibri" w:cs="Arial"/>
          <w:sz w:val="22"/>
          <w:lang w:val="en-US"/>
        </w:rPr>
      </w:pPr>
      <w:r>
        <w:rPr>
          <w:rFonts w:ascii="Arial" w:hAnsi="Arial" w:eastAsia="Calibri" w:cs="Arial"/>
          <w:sz w:val="22"/>
          <w:lang w:val="en-US"/>
        </w:rPr>
        <w:t xml:space="preserve">Podgorica, </w:t>
      </w:r>
      <w:r>
        <w:rPr>
          <w:rFonts w:hint="default" w:ascii="Arial" w:hAnsi="Arial" w:eastAsia="Calibri" w:cs="Arial"/>
          <w:sz w:val="22"/>
          <w:lang w:val="sr-Latn-ME"/>
        </w:rPr>
        <w:t>16.10.2025</w:t>
      </w:r>
      <w:r>
        <w:rPr>
          <w:rFonts w:ascii="Arial" w:hAnsi="Arial" w:eastAsia="Calibri" w:cs="Arial"/>
          <w:sz w:val="22"/>
          <w:lang w:val="en-US"/>
        </w:rPr>
        <w:t>. godine</w:t>
      </w:r>
    </w:p>
    <w:p>
      <w:pPr>
        <w:tabs>
          <w:tab w:val="right" w:pos="3402"/>
        </w:tabs>
        <w:spacing w:before="0" w:after="0" w:line="240" w:lineRule="auto"/>
        <w:rPr>
          <w:rFonts w:ascii="Arial" w:hAnsi="Arial" w:eastAsia="Calibri" w:cs="Arial"/>
          <w:b/>
          <w:sz w:val="22"/>
          <w:lang w:val="en-US"/>
        </w:rPr>
      </w:pPr>
    </w:p>
    <w:p>
      <w:pPr>
        <w:tabs>
          <w:tab w:val="right" w:pos="3402"/>
        </w:tabs>
        <w:spacing w:before="0" w:after="0" w:line="240" w:lineRule="auto"/>
        <w:rPr>
          <w:rFonts w:ascii="Arial" w:hAnsi="Arial" w:eastAsia="Calibri" w:cs="Arial"/>
          <w:sz w:val="22"/>
          <w:lang w:val="en-US"/>
        </w:rPr>
      </w:pPr>
      <w:r>
        <w:rPr>
          <w:rFonts w:ascii="Arial" w:hAnsi="Arial" w:eastAsia="Calibri" w:cs="Arial"/>
          <w:sz w:val="22"/>
          <w:lang w:val="en-US"/>
        </w:rPr>
        <w:t xml:space="preserve">Predmet: Izmjena Tenderske dokumentacije broj </w:t>
      </w:r>
      <w:r>
        <w:rPr>
          <w:rFonts w:hint="default" w:ascii="Arial" w:hAnsi="Arial" w:eastAsia="Calibri" w:cs="Arial"/>
          <w:sz w:val="22"/>
          <w:lang w:val="sr-Latn-ME"/>
        </w:rPr>
        <w:t>5/2024</w:t>
      </w:r>
      <w:r>
        <w:rPr>
          <w:rFonts w:ascii="Arial" w:hAnsi="Arial" w:eastAsia="Calibri" w:cs="Arial"/>
          <w:sz w:val="22"/>
          <w:lang w:val="en-US"/>
        </w:rPr>
        <w:t xml:space="preserve"> od </w:t>
      </w:r>
      <w:r>
        <w:rPr>
          <w:rFonts w:hint="default" w:ascii="Arial" w:hAnsi="Arial" w:eastAsia="Calibri" w:cs="Arial"/>
          <w:sz w:val="22"/>
          <w:lang w:val="sr-Latn-ME"/>
        </w:rPr>
        <w:t>13.10.2025</w:t>
      </w:r>
      <w:r>
        <w:rPr>
          <w:rFonts w:ascii="Arial" w:hAnsi="Arial" w:eastAsia="Calibri" w:cs="Arial"/>
          <w:sz w:val="22"/>
          <w:lang w:val="en-US"/>
        </w:rPr>
        <w:t>.</w:t>
      </w:r>
      <w:r>
        <w:rPr>
          <w:rFonts w:hint="default" w:ascii="Arial" w:hAnsi="Arial" w:eastAsia="Calibri" w:cs="Arial"/>
          <w:sz w:val="22"/>
          <w:lang w:val="sr-Latn-ME"/>
        </w:rPr>
        <w:t xml:space="preserve"> </w:t>
      </w:r>
      <w:r>
        <w:rPr>
          <w:rFonts w:ascii="Arial" w:hAnsi="Arial" w:eastAsia="Calibri" w:cs="Arial"/>
          <w:sz w:val="22"/>
          <w:lang w:val="en-US"/>
        </w:rPr>
        <w:t xml:space="preserve">godine (šifra postupka </w:t>
      </w:r>
      <w:r>
        <w:rPr>
          <w:rFonts w:hint="default" w:ascii="Arial" w:hAnsi="Arial" w:eastAsia="Calibri" w:cs="Arial"/>
          <w:sz w:val="22"/>
          <w:lang w:val="sr-Latn-ME"/>
        </w:rPr>
        <w:t>101296</w:t>
      </w:r>
      <w:r>
        <w:rPr>
          <w:rFonts w:ascii="Arial" w:hAnsi="Arial" w:eastAsia="Calibri" w:cs="Arial"/>
          <w:sz w:val="22"/>
          <w:lang w:val="en-US"/>
        </w:rPr>
        <w:t>) - produženje roka za dostavljanje ponuda</w:t>
      </w:r>
    </w:p>
    <w:p>
      <w:pPr>
        <w:spacing w:before="0" w:after="0" w:line="240" w:lineRule="auto"/>
        <w:rPr>
          <w:rFonts w:ascii="Arial" w:hAnsi="Arial" w:eastAsia="Calibri" w:cs="Arial"/>
          <w:b/>
          <w:sz w:val="22"/>
          <w:lang w:val="en-US"/>
        </w:rPr>
      </w:pPr>
    </w:p>
    <w:p>
      <w:pPr>
        <w:spacing w:before="0" w:after="0" w:line="240" w:lineRule="auto"/>
        <w:rPr>
          <w:rFonts w:ascii="Arial" w:hAnsi="Arial" w:eastAsia="Calibri" w:cs="Arial"/>
          <w:b/>
          <w:sz w:val="22"/>
          <w:lang w:val="en-US"/>
        </w:rPr>
      </w:pPr>
    </w:p>
    <w:p>
      <w:pPr>
        <w:tabs>
          <w:tab w:val="right" w:pos="3402"/>
        </w:tabs>
        <w:spacing w:before="0" w:after="0" w:line="240" w:lineRule="auto"/>
        <w:rPr>
          <w:rFonts w:ascii="Arial" w:hAnsi="Arial" w:eastAsia="Calibri" w:cs="Arial"/>
          <w:sz w:val="22"/>
          <w:lang w:val="en-US"/>
        </w:rPr>
      </w:pPr>
      <w:r>
        <w:rPr>
          <w:rFonts w:ascii="Arial" w:hAnsi="Arial" w:eastAsia="Calibri" w:cs="Arial"/>
          <w:b/>
          <w:sz w:val="22"/>
          <w:lang w:val="en-US"/>
        </w:rPr>
        <w:t xml:space="preserve">Komisija za sprovođenje postupka javne nabavke, shodno članu 94 Zakona o javnim nabavkama (“Službeni list Crne Gore” br. 74/19, 3/23 i 11/23), vrši izmjenu Tenderske dokumentacije broj </w:t>
      </w:r>
      <w:r>
        <w:rPr>
          <w:rFonts w:ascii="Arial" w:hAnsi="Arial" w:eastAsia="Times New Roman" w:cs="Arial"/>
          <w:sz w:val="22"/>
          <w:lang w:val="sr-Latn-ME"/>
        </w:rPr>
        <w:t xml:space="preserve"> </w:t>
      </w:r>
      <w:r>
        <w:rPr>
          <w:rFonts w:hint="default" w:ascii="Arial" w:hAnsi="Arial" w:eastAsia="Times New Roman"/>
          <w:b/>
          <w:bCs/>
          <w:sz w:val="22"/>
          <w:lang w:val="sr-Latn-ME"/>
        </w:rPr>
        <w:t>5/2024</w:t>
      </w:r>
      <w:r>
        <w:rPr>
          <w:rFonts w:hint="default" w:ascii="Arial" w:hAnsi="Arial" w:eastAsia="Times New Roman"/>
          <w:sz w:val="22"/>
          <w:lang w:val="sr-Latn-ME"/>
        </w:rPr>
        <w:t xml:space="preserve"> </w:t>
      </w:r>
      <w:r>
        <w:rPr>
          <w:rFonts w:ascii="Arial" w:hAnsi="Arial" w:eastAsia="Calibri" w:cs="Arial"/>
          <w:b/>
          <w:sz w:val="22"/>
          <w:lang w:val="en-US"/>
        </w:rPr>
        <w:t xml:space="preserve">od </w:t>
      </w:r>
      <w:r>
        <w:rPr>
          <w:rFonts w:hint="default" w:ascii="Arial" w:hAnsi="Arial" w:eastAsia="Calibri" w:cs="Arial"/>
          <w:b/>
          <w:sz w:val="22"/>
          <w:lang w:val="sr-Latn-ME"/>
        </w:rPr>
        <w:t>13.10.2025.</w:t>
      </w:r>
      <w:r>
        <w:rPr>
          <w:rFonts w:ascii="Arial" w:hAnsi="Arial" w:eastAsia="Calibri" w:cs="Arial"/>
          <w:b/>
          <w:sz w:val="22"/>
          <w:lang w:val="en-US"/>
        </w:rPr>
        <w:t xml:space="preserve"> godine, na način što se  </w:t>
      </w:r>
      <w:r>
        <w:rPr>
          <w:rFonts w:hint="default" w:ascii="Arial" w:hAnsi="Arial" w:eastAsia="Calibri" w:cs="Arial"/>
          <w:b/>
          <w:sz w:val="22"/>
          <w:lang w:val="sr-Latn-ME"/>
        </w:rPr>
        <w:t xml:space="preserve">mijenja </w:t>
      </w:r>
      <w:r>
        <w:rPr>
          <w:rFonts w:ascii="Arial" w:hAnsi="Arial" w:eastAsia="Calibri" w:cs="Arial"/>
          <w:b/>
          <w:sz w:val="22"/>
          <w:lang w:val="en-US"/>
        </w:rPr>
        <w:t>tačk</w:t>
      </w:r>
      <w:r>
        <w:rPr>
          <w:rFonts w:hint="default" w:ascii="Arial" w:hAnsi="Arial" w:eastAsia="Calibri" w:cs="Arial"/>
          <w:b/>
          <w:sz w:val="22"/>
          <w:lang w:val="sr-Latn-ME"/>
        </w:rPr>
        <w:t>a</w:t>
      </w:r>
      <w:r>
        <w:rPr>
          <w:rFonts w:ascii="Arial" w:hAnsi="Arial" w:eastAsia="Calibri" w:cs="Arial"/>
          <w:b/>
          <w:sz w:val="22"/>
          <w:lang w:val="en-US"/>
        </w:rPr>
        <w:t xml:space="preserve"> 8,  produžava </w:t>
      </w:r>
      <w:r>
        <w:rPr>
          <w:rFonts w:hint="default" w:ascii="Arial" w:hAnsi="Arial" w:eastAsia="Calibri" w:cs="Arial"/>
          <w:b/>
          <w:sz w:val="22"/>
          <w:lang w:val="sr-Latn-ME"/>
        </w:rPr>
        <w:t xml:space="preserve">se </w:t>
      </w:r>
      <w:r>
        <w:rPr>
          <w:rFonts w:ascii="Arial" w:hAnsi="Arial" w:eastAsia="Calibri" w:cs="Arial"/>
          <w:b/>
          <w:sz w:val="22"/>
          <w:lang w:val="en-US"/>
        </w:rPr>
        <w:t>rok za podnošenje ponuda. Tačka 8. sada glasi:</w:t>
      </w:r>
    </w:p>
    <w:p>
      <w:pPr>
        <w:rPr>
          <w:rFonts w:ascii="Arial" w:hAnsi="Arial" w:eastAsia="Calibri" w:cs="Arial"/>
          <w:b/>
          <w:sz w:val="22"/>
          <w:lang w:val="sr-Latn-ME"/>
        </w:rPr>
      </w:pPr>
    </w:p>
    <w:p>
      <w:pPr>
        <w:pBdr>
          <w:top w:val="single" w:color="auto" w:sz="4" w:space="1"/>
          <w:left w:val="single" w:color="auto" w:sz="4" w:space="4"/>
          <w:bottom w:val="single" w:color="auto" w:sz="4" w:space="1"/>
          <w:right w:val="single" w:color="auto" w:sz="4" w:space="4"/>
        </w:pBdr>
        <w:shd w:val="clear" w:color="auto" w:fill="F2F2F2"/>
        <w:rPr>
          <w:rFonts w:ascii="Arial" w:hAnsi="Arial" w:eastAsia="Calibri" w:cs="Arial"/>
          <w:b/>
          <w:sz w:val="22"/>
          <w:lang w:val="sr-Latn-ME"/>
        </w:rPr>
      </w:pPr>
      <w:r>
        <w:rPr>
          <w:rFonts w:ascii="Arial" w:hAnsi="Arial" w:eastAsia="Calibri" w:cs="Arial"/>
          <w:b/>
          <w:sz w:val="22"/>
          <w:lang w:val="sr-Latn-ME"/>
        </w:rPr>
        <w:t>8. NAČIN, VRIJEME PODNOŠENJA PONUDA I OTVARANJA PONUDA</w:t>
      </w:r>
    </w:p>
    <w:p>
      <w:pPr>
        <w:rPr>
          <w:rFonts w:hint="default" w:ascii="Arial" w:hAnsi="Arial" w:eastAsia="Calibri"/>
          <w:sz w:val="22"/>
          <w:lang w:val="sr-Latn-ME"/>
        </w:rPr>
      </w:pPr>
    </w:p>
    <w:p>
      <w:pPr>
        <w:rPr>
          <w:rFonts w:hint="default" w:ascii="Arial" w:hAnsi="Arial" w:eastAsia="Calibri"/>
          <w:sz w:val="22"/>
          <w:lang w:val="sr-Latn-ME"/>
        </w:rPr>
      </w:pPr>
      <w:r>
        <w:rPr>
          <w:rFonts w:hint="default" w:ascii="Arial" w:hAnsi="Arial" w:eastAsia="Calibri"/>
          <w:sz w:val="22"/>
          <w:lang w:val="sr-Latn-ME"/>
        </w:rPr>
        <w:t>Ponude se podnose preko ESJN-a zaključno sa danom 03.11.2025. godine do 13:00 sati.</w:t>
      </w:r>
    </w:p>
    <w:p>
      <w:pPr>
        <w:rPr>
          <w:rFonts w:hint="default" w:ascii="Arial" w:hAnsi="Arial" w:eastAsia="Calibri"/>
          <w:sz w:val="22"/>
          <w:lang w:val="sr-Latn-ME"/>
        </w:rPr>
      </w:pPr>
    </w:p>
    <w:p>
      <w:pPr>
        <w:rPr>
          <w:rFonts w:hint="default" w:ascii="Arial" w:hAnsi="Arial" w:eastAsia="Calibri"/>
          <w:sz w:val="22"/>
          <w:lang w:val="sr-Latn-ME"/>
        </w:rPr>
      </w:pPr>
      <w:r>
        <w:rPr>
          <w:rFonts w:hint="default" w:ascii="Arial" w:hAnsi="Arial" w:eastAsia="Calibri"/>
          <w:sz w:val="22"/>
          <w:lang w:val="sr-Latn-ME"/>
        </w:rPr>
        <w:t xml:space="preserve">Otvaranje ponuda održaće se dana 03.11.2025. godine u 13:00 sati. </w:t>
      </w:r>
    </w:p>
    <w:p>
      <w:pPr>
        <w:rPr>
          <w:rFonts w:hint="default" w:ascii="Arial" w:hAnsi="Arial" w:eastAsia="Calibri"/>
          <w:sz w:val="22"/>
          <w:lang w:val="sr-Latn-ME"/>
        </w:rPr>
      </w:pPr>
    </w:p>
    <w:p>
      <w:pPr>
        <w:rPr>
          <w:rFonts w:hint="default" w:ascii="Arial" w:hAnsi="Arial" w:eastAsia="Calibri"/>
          <w:sz w:val="22"/>
          <w:lang w:val="sr-Latn-ME"/>
        </w:rPr>
      </w:pPr>
      <w:r>
        <w:rPr>
          <w:rFonts w:hint="default" w:ascii="Arial" w:hAnsi="Arial" w:eastAsia="Calibri"/>
          <w:sz w:val="22"/>
          <w:lang w:val="sr-Latn-ME"/>
        </w:rPr>
        <w:t>Garancija ponude podnosi se u elektronskom obliku putem ESJN, izuzetno ako ponuđač ne može garanciju ponude da podnese u elekotronskom obliku, dužan je da putem ESJN dostavi kopiju garancije ponude, a da original garancije ponude dostavi, odnosno uruči naručiocu:</w:t>
      </w:r>
    </w:p>
    <w:p>
      <w:pPr>
        <w:rPr>
          <w:rFonts w:hint="default" w:ascii="Arial" w:hAnsi="Arial" w:eastAsia="Calibri"/>
          <w:sz w:val="22"/>
          <w:lang w:val="sr-Latn-ME"/>
        </w:rPr>
      </w:pPr>
      <w:r>
        <w:rPr>
          <w:rFonts w:hint="default" w:ascii="Arial" w:hAnsi="Arial" w:eastAsia="Calibri"/>
          <w:sz w:val="22"/>
          <w:lang w:val="sr-Latn-ME"/>
        </w:rPr>
        <w:t>neposrednom predajom na arhivi naručioca na adresi Bulevar Stanka Dragojevića br. 2, ili</w:t>
      </w:r>
    </w:p>
    <w:p>
      <w:pPr>
        <w:rPr>
          <w:rFonts w:hint="default" w:ascii="Arial" w:hAnsi="Arial" w:eastAsia="Calibri"/>
          <w:sz w:val="22"/>
          <w:lang w:val="sr-Latn-ME"/>
        </w:rPr>
      </w:pPr>
      <w:r>
        <w:rPr>
          <w:rFonts w:hint="default" w:ascii="Arial" w:hAnsi="Arial" w:eastAsia="Calibri"/>
          <w:sz w:val="22"/>
          <w:lang w:val="sr-Latn-ME"/>
        </w:rPr>
        <w:t xml:space="preserve">putem pošte preporučenom pošiljkom sa povratnicom na adresi Bulevar Stanka </w:t>
      </w:r>
      <w:bookmarkStart w:id="0" w:name="_GoBack"/>
      <w:bookmarkEnd w:id="0"/>
      <w:r>
        <w:rPr>
          <w:rFonts w:hint="default" w:ascii="Arial" w:hAnsi="Arial" w:eastAsia="Calibri"/>
          <w:sz w:val="22"/>
          <w:lang w:val="sr-Latn-ME"/>
        </w:rPr>
        <w:t xml:space="preserve">Dragojevića br. 2, </w:t>
      </w:r>
    </w:p>
    <w:p>
      <w:pPr>
        <w:rPr>
          <w:rFonts w:hint="default" w:ascii="Arial" w:hAnsi="Arial" w:eastAsia="Calibri"/>
          <w:sz w:val="22"/>
          <w:lang w:val="sr-Latn-ME"/>
        </w:rPr>
      </w:pPr>
      <w:r>
        <w:rPr>
          <w:rFonts w:hint="default" w:ascii="Arial" w:hAnsi="Arial" w:eastAsia="Calibri"/>
          <w:sz w:val="22"/>
          <w:lang w:val="sr-Latn-ME"/>
        </w:rPr>
        <w:t>radnim danima od 8:00 do 14:00 sati, zaključno sa danom 03.11.2025. godine najkasnije prije isteka roka za podnošenje ponuda (do 13:00 sati).</w:t>
      </w:r>
    </w:p>
    <w:p>
      <w:pPr>
        <w:rPr>
          <w:rFonts w:hint="default" w:ascii="Arial" w:hAnsi="Arial" w:eastAsia="Calibri"/>
          <w:sz w:val="22"/>
          <w:lang w:val="sr-Latn-ME"/>
        </w:rPr>
      </w:pPr>
    </w:p>
    <w:p>
      <w:pPr>
        <w:rPr>
          <w:rFonts w:ascii="Arial" w:hAnsi="Arial" w:eastAsia="Calibri" w:cs="Arial"/>
          <w:sz w:val="22"/>
          <w:lang w:val="sr-Latn-ME"/>
        </w:rPr>
      </w:pPr>
      <w:r>
        <w:rPr>
          <w:rFonts w:hint="default" w:ascii="Arial" w:hAnsi="Arial" w:eastAsia="Calibri"/>
          <w:sz w:val="22"/>
          <w:lang w:val="sr-Latn-ME"/>
        </w:rPr>
        <w:t>Original garancije ponude u pisanom obliku dostavlja se u koverti, na kojoj se navodi: naziv i sjedište naručioca, broj tenderske dokumentacije za koju se podnosi garancija, naziv, sjedište i adresa ponuđača i naznake „garancija ponude“ i "ne otvaraj prije roka za otvaranja ponuda".</w:t>
      </w:r>
    </w:p>
    <w:p>
      <w:pPr>
        <w:spacing w:before="0" w:after="0" w:line="240" w:lineRule="auto"/>
        <w:rPr>
          <w:rFonts w:ascii="Arial" w:hAnsi="Arial" w:eastAsia="Calibri" w:cs="Arial"/>
          <w:sz w:val="22"/>
          <w:lang w:val="sr-Latn-ME"/>
        </w:rPr>
      </w:pPr>
    </w:p>
    <w:p>
      <w:pPr>
        <w:spacing w:before="0" w:after="0" w:line="240" w:lineRule="auto"/>
        <w:rPr>
          <w:rFonts w:ascii="Arial" w:hAnsi="Arial" w:eastAsia="Times New Roman" w:cs="Arial"/>
          <w:b/>
          <w:color w:val="000000"/>
          <w:sz w:val="22"/>
          <w:lang w:val="en-US"/>
        </w:rPr>
      </w:pPr>
      <w:r>
        <w:rPr>
          <w:rFonts w:ascii="Arial" w:hAnsi="Arial" w:eastAsia="Calibri" w:cs="Arial"/>
          <w:b/>
          <w:sz w:val="22"/>
          <w:lang w:val="en-US"/>
        </w:rPr>
        <w:t xml:space="preserve">                                                                                                                                               </w:t>
      </w:r>
      <w:r>
        <w:rPr>
          <w:rFonts w:ascii="Arial" w:hAnsi="Arial" w:eastAsia="Times New Roman" w:cs="Arial"/>
          <w:color w:val="000000"/>
          <w:sz w:val="22"/>
          <w:lang w:val="en-US"/>
        </w:rPr>
        <w:t xml:space="preserve"> </w:t>
      </w:r>
      <w:r>
        <w:rPr>
          <w:rFonts w:ascii="Arial" w:hAnsi="Arial" w:eastAsia="Times New Roman" w:cs="Arial"/>
          <w:b/>
          <w:color w:val="000000"/>
          <w:sz w:val="22"/>
          <w:lang w:val="en-US"/>
        </w:rPr>
        <w:t>“</w:t>
      </w:r>
    </w:p>
    <w:p>
      <w:pPr>
        <w:spacing w:before="0" w:after="0" w:line="240" w:lineRule="auto"/>
        <w:rPr>
          <w:rFonts w:ascii="Arial" w:hAnsi="Arial" w:eastAsia="Times New Roman" w:cs="Arial"/>
          <w:b/>
          <w:color w:val="000000"/>
          <w:sz w:val="22"/>
          <w:lang w:val="sr-Latn-ME"/>
        </w:rPr>
      </w:pPr>
    </w:p>
    <w:p>
      <w:pPr>
        <w:spacing w:before="0" w:line="240" w:lineRule="auto"/>
        <w:rPr>
          <w:rFonts w:ascii="Arial" w:hAnsi="Arial" w:eastAsia="Times New Roman" w:cs="Arial"/>
          <w:b/>
          <w:color w:val="000000"/>
          <w:sz w:val="22"/>
          <w:lang w:val="sr-Latn-ME"/>
        </w:rPr>
      </w:pPr>
      <w:r>
        <w:rPr>
          <w:rFonts w:ascii="Arial" w:hAnsi="Arial" w:eastAsia="Times New Roman" w:cs="Arial"/>
          <w:b/>
          <w:color w:val="000000"/>
          <w:sz w:val="22"/>
          <w:lang w:val="sr-Latn-ME"/>
        </w:rPr>
        <w:t>Uputstvo o pravnom sredstvu</w:t>
      </w:r>
    </w:p>
    <w:p>
      <w:pPr>
        <w:tabs>
          <w:tab w:val="left" w:pos="5760"/>
        </w:tabs>
        <w:spacing w:before="0" w:after="0" w:line="240" w:lineRule="auto"/>
        <w:rPr>
          <w:rFonts w:ascii="Arial" w:hAnsi="Arial" w:eastAsia="Times New Roman" w:cs="Arial"/>
          <w:color w:val="000000"/>
          <w:sz w:val="22"/>
          <w:lang w:val="en-US"/>
        </w:rPr>
      </w:pPr>
      <w:r>
        <w:rPr>
          <w:rFonts w:ascii="Arial" w:hAnsi="Arial" w:eastAsia="Times New Roman" w:cs="Arial"/>
          <w:color w:val="000000"/>
          <w:sz w:val="22"/>
          <w:lang w:val="sr-Latn-ME"/>
        </w:rPr>
        <w:t xml:space="preserve">    Privredni subjekat može da izjavi žalbu protiv ove tenderske dokumentacije Komisiji za zaštitu prava</w:t>
      </w:r>
      <w:r>
        <w:rPr>
          <w:rFonts w:ascii="Arial" w:hAnsi="Arial" w:eastAsia="Times New Roman" w:cs="Arial"/>
          <w:color w:val="000000"/>
          <w:sz w:val="22"/>
          <w:lang w:val="en-US"/>
        </w:rPr>
        <w:t>:</w:t>
      </w:r>
    </w:p>
    <w:p>
      <w:pPr>
        <w:autoSpaceDE w:val="0"/>
        <w:autoSpaceDN w:val="0"/>
        <w:adjustRightInd w:val="0"/>
        <w:spacing w:before="60" w:after="60" w:line="240" w:lineRule="auto"/>
        <w:ind w:left="566" w:hanging="283"/>
        <w:rPr>
          <w:rFonts w:ascii="Arial" w:hAnsi="Arial" w:eastAsia="Times New Roman" w:cs="Arial"/>
          <w:color w:val="000000"/>
          <w:sz w:val="22"/>
          <w:lang w:val="en-US"/>
        </w:rPr>
      </w:pPr>
      <w:r>
        <w:rPr>
          <w:rFonts w:ascii="Arial" w:hAnsi="Arial" w:eastAsia="Times New Roman" w:cs="Arial"/>
          <w:color w:val="000000"/>
          <w:sz w:val="22"/>
          <w:lang w:val="en-US"/>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pPr>
        <w:autoSpaceDE w:val="0"/>
        <w:autoSpaceDN w:val="0"/>
        <w:adjustRightInd w:val="0"/>
        <w:spacing w:before="60" w:after="60" w:line="240" w:lineRule="auto"/>
        <w:ind w:left="566" w:hanging="283"/>
        <w:rPr>
          <w:rFonts w:ascii="Arial" w:hAnsi="Arial" w:eastAsia="Times New Roman" w:cs="Arial"/>
          <w:color w:val="000000"/>
          <w:sz w:val="22"/>
          <w:lang w:val="en-US"/>
        </w:rPr>
      </w:pPr>
      <w:r>
        <w:rPr>
          <w:rFonts w:ascii="Arial" w:hAnsi="Arial" w:eastAsia="Times New Roman" w:cs="Arial"/>
          <w:color w:val="000000"/>
          <w:sz w:val="22"/>
          <w:lang w:val="en-US"/>
        </w:rPr>
        <w:t xml:space="preserve">   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pPr>
        <w:autoSpaceDE w:val="0"/>
        <w:autoSpaceDN w:val="0"/>
        <w:adjustRightInd w:val="0"/>
        <w:spacing w:before="60" w:after="60" w:line="240" w:lineRule="auto"/>
        <w:ind w:left="566" w:hanging="283"/>
        <w:rPr>
          <w:rFonts w:ascii="Arial" w:hAnsi="Arial" w:eastAsia="Times New Roman" w:cs="Arial"/>
          <w:color w:val="000000"/>
          <w:sz w:val="22"/>
          <w:lang w:val="en-US"/>
        </w:rPr>
      </w:pPr>
      <w:r>
        <w:rPr>
          <w:rFonts w:ascii="Arial" w:hAnsi="Arial" w:eastAsia="Times New Roman" w:cs="Arial"/>
          <w:color w:val="000000"/>
          <w:sz w:val="22"/>
          <w:lang w:val="en-US"/>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pPr>
        <w:tabs>
          <w:tab w:val="left" w:pos="5760"/>
        </w:tabs>
        <w:spacing w:before="0" w:after="0" w:line="240" w:lineRule="auto"/>
        <w:rPr>
          <w:rFonts w:ascii="Arial" w:hAnsi="Arial" w:eastAsia="Times New Roman" w:cs="Arial"/>
          <w:color w:val="000000"/>
          <w:sz w:val="22"/>
          <w:lang w:val="sr-Latn-ME"/>
        </w:rPr>
      </w:pPr>
    </w:p>
    <w:p>
      <w:pPr>
        <w:autoSpaceDE w:val="0"/>
        <w:autoSpaceDN w:val="0"/>
        <w:adjustRightInd w:val="0"/>
        <w:spacing w:before="0" w:after="0" w:line="240" w:lineRule="auto"/>
        <w:rPr>
          <w:rFonts w:ascii="Arial" w:hAnsi="Arial" w:eastAsia="Times New Roman" w:cs="Arial"/>
          <w:color w:val="000000"/>
          <w:sz w:val="22"/>
          <w:lang w:val="sr-Latn-ME"/>
        </w:rPr>
      </w:pPr>
      <w:r>
        <w:rPr>
          <w:rFonts w:ascii="Arial" w:hAnsi="Arial" w:eastAsia="Times New Roman" w:cs="Arial"/>
          <w:color w:val="000000"/>
          <w:sz w:val="22"/>
          <w:lang w:val="sr-Latn-ME"/>
        </w:rPr>
        <w:t xml:space="preserve">    Žalba se izjavljuje preko naručioca neposredno putem ESJN-a. Žalba koja nije podnesena na naprijed predviđeni način biće odbijena kao nedozvoljena.</w:t>
      </w:r>
    </w:p>
    <w:p>
      <w:pPr>
        <w:autoSpaceDE w:val="0"/>
        <w:autoSpaceDN w:val="0"/>
        <w:adjustRightInd w:val="0"/>
        <w:spacing w:before="0" w:after="0" w:line="240" w:lineRule="auto"/>
        <w:ind w:firstLine="567"/>
        <w:rPr>
          <w:rFonts w:ascii="Arial" w:hAnsi="Arial" w:eastAsia="Times New Roman" w:cs="Arial"/>
          <w:color w:val="000000"/>
          <w:sz w:val="22"/>
          <w:lang w:val="sr-Latn-ME"/>
        </w:rPr>
      </w:pPr>
    </w:p>
    <w:p>
      <w:pPr>
        <w:autoSpaceDE w:val="0"/>
        <w:autoSpaceDN w:val="0"/>
        <w:adjustRightInd w:val="0"/>
        <w:spacing w:before="0" w:after="0" w:line="240" w:lineRule="auto"/>
        <w:rPr>
          <w:rFonts w:ascii="Arial" w:hAnsi="Arial" w:eastAsia="Times New Roman" w:cs="Arial"/>
          <w:color w:val="000000"/>
          <w:sz w:val="22"/>
          <w:highlight w:val="yellow"/>
          <w:lang w:val="sr-Latn-ME"/>
        </w:rPr>
      </w:pPr>
      <w:r>
        <w:rPr>
          <w:rFonts w:ascii="Arial" w:hAnsi="Arial" w:eastAsia="Times New Roman" w:cs="Arial"/>
          <w:color w:val="000000"/>
          <w:sz w:val="22"/>
          <w:lang w:val="sr-Latn-ME"/>
        </w:rPr>
        <w:t xml:space="preserve">    Podnosilac žalbe je dužan da uz žalbu priloži dokaz o uplati naknade za vođenje postupka u iznosu od 1% od procijenjene vrijednosti javne nabavke, a najviše 20.000,00 eura, na žiro račun Komisije za zaštitu prava broj 530-20240-15 kod NLB Montenegro banke A.D.</w:t>
      </w:r>
    </w:p>
    <w:p>
      <w:pPr>
        <w:tabs>
          <w:tab w:val="left" w:pos="5760"/>
        </w:tabs>
        <w:spacing w:before="0" w:after="0" w:line="240" w:lineRule="auto"/>
        <w:ind w:firstLine="567"/>
        <w:rPr>
          <w:rFonts w:ascii="Arial" w:hAnsi="Arial" w:eastAsia="Times New Roman" w:cs="Arial"/>
          <w:color w:val="000000"/>
          <w:sz w:val="22"/>
          <w:lang w:val="sr-Latn-ME"/>
        </w:rPr>
      </w:pPr>
    </w:p>
    <w:p>
      <w:pPr>
        <w:tabs>
          <w:tab w:val="left" w:pos="5760"/>
        </w:tabs>
        <w:spacing w:before="0" w:after="0" w:line="240" w:lineRule="auto"/>
        <w:rPr>
          <w:rFonts w:ascii="Arial" w:hAnsi="Arial" w:eastAsia="Times New Roman" w:cs="Arial"/>
          <w:color w:val="000000"/>
          <w:sz w:val="22"/>
          <w:lang w:val="sr-Latn-ME"/>
        </w:rPr>
      </w:pPr>
      <w:r>
        <w:rPr>
          <w:rFonts w:ascii="Arial" w:hAnsi="Arial" w:eastAsia="Times New Roman" w:cs="Arial"/>
          <w:color w:val="000000"/>
          <w:sz w:val="22"/>
          <w:lang w:val="sr-Latn-ME"/>
        </w:rPr>
        <w:t xml:space="preserve">    Ukoliko je predmet nabavke podijeljen po partijama, a žalba se odnosi samo na određenu/e partiju/e, naknada se plaća u iznosu 1% od procijenjene vrijednosti javne nabavke te/tih partije/a.</w:t>
      </w:r>
    </w:p>
    <w:p>
      <w:pPr>
        <w:tabs>
          <w:tab w:val="left" w:pos="5760"/>
        </w:tabs>
        <w:spacing w:before="0" w:after="0" w:line="240" w:lineRule="auto"/>
        <w:ind w:firstLine="567"/>
        <w:rPr>
          <w:rFonts w:ascii="Arial" w:hAnsi="Arial" w:eastAsia="Times New Roman" w:cs="Arial"/>
          <w:color w:val="000000"/>
          <w:sz w:val="22"/>
          <w:lang w:val="sr-Latn-ME"/>
        </w:rPr>
      </w:pPr>
    </w:p>
    <w:p>
      <w:pPr>
        <w:tabs>
          <w:tab w:val="left" w:pos="5760"/>
        </w:tabs>
        <w:spacing w:before="0" w:after="0" w:line="240" w:lineRule="auto"/>
        <w:rPr>
          <w:rFonts w:ascii="Arial" w:hAnsi="Arial" w:eastAsia="Times New Roman" w:cs="Arial"/>
          <w:color w:val="000000"/>
          <w:sz w:val="22"/>
          <w:lang w:val="sr-Latn-ME"/>
        </w:rPr>
      </w:pPr>
      <w:r>
        <w:rPr>
          <w:rFonts w:ascii="Arial" w:hAnsi="Arial" w:eastAsia="Times New Roman" w:cs="Arial"/>
          <w:color w:val="000000"/>
          <w:sz w:val="22"/>
          <w:lang w:val="sr-Latn-ME"/>
        </w:rPr>
        <w:t xml:space="preserve">    Instrukcije za plaćanje naknade za vođenje postupka od strane žalilaca iz inostranstva nalaze se na internet stranici Komisije za zaštitu prava nabavki </w:t>
      </w:r>
      <w:r>
        <w:fldChar w:fldCharType="begin"/>
      </w:r>
      <w:r>
        <w:instrText xml:space="preserve"> HYPERLINK "http://www.kontrola-nabavki.me/" </w:instrText>
      </w:r>
      <w:r>
        <w:fldChar w:fldCharType="separate"/>
      </w:r>
      <w:r>
        <w:rPr>
          <w:rFonts w:ascii="Arial" w:hAnsi="Arial" w:eastAsia="Times New Roman" w:cs="Arial"/>
          <w:color w:val="0000FF"/>
          <w:sz w:val="22"/>
          <w:u w:val="single"/>
          <w:lang w:val="sr-Latn-ME"/>
        </w:rPr>
        <w:t>http://www.kontrola-nabavki.me/</w:t>
      </w:r>
      <w:r>
        <w:rPr>
          <w:rFonts w:ascii="Arial" w:hAnsi="Arial" w:eastAsia="Times New Roman" w:cs="Arial"/>
          <w:color w:val="0000FF"/>
          <w:sz w:val="22"/>
          <w:u w:val="single"/>
          <w:lang w:val="sr-Latn-ME"/>
        </w:rPr>
        <w:fldChar w:fldCharType="end"/>
      </w:r>
      <w:r>
        <w:rPr>
          <w:rFonts w:ascii="Arial" w:hAnsi="Arial" w:eastAsia="Times New Roman" w:cs="Arial"/>
          <w:color w:val="000000"/>
          <w:sz w:val="22"/>
          <w:lang w:val="sr-Latn-ME"/>
        </w:rPr>
        <w:t>.</w:t>
      </w:r>
    </w:p>
    <w:p>
      <w:pPr>
        <w:spacing w:before="0" w:after="0" w:line="240" w:lineRule="auto"/>
        <w:rPr>
          <w:rFonts w:ascii="Arial" w:hAnsi="Arial" w:eastAsia="Times New Roman" w:cs="Arial"/>
          <w:color w:val="000000"/>
          <w:sz w:val="22"/>
          <w:lang w:val="pl-PL"/>
        </w:rPr>
      </w:pPr>
    </w:p>
    <w:p>
      <w:pPr>
        <w:spacing w:before="0" w:after="0" w:line="240" w:lineRule="auto"/>
        <w:rPr>
          <w:rFonts w:ascii="Arial" w:hAnsi="Arial" w:eastAsia="Calibri" w:cs="Arial"/>
          <w:b/>
          <w:sz w:val="22"/>
          <w:lang w:val="en-US"/>
        </w:rPr>
      </w:pPr>
    </w:p>
    <w:p>
      <w:pPr>
        <w:tabs>
          <w:tab w:val="left" w:pos="6615"/>
        </w:tabs>
        <w:rPr>
          <w:rFonts w:ascii="Arial" w:hAnsi="Arial" w:eastAsia="Calibri" w:cs="Arial"/>
          <w:sz w:val="22"/>
          <w:lang w:val="sr-Latn-ME"/>
        </w:rPr>
      </w:pPr>
      <w:r>
        <w:rPr>
          <w:rFonts w:ascii="Arial" w:hAnsi="Arial" w:eastAsia="Calibri" w:cs="Arial"/>
          <w:b/>
          <w:sz w:val="22"/>
          <w:lang w:val="sr-Latn-ME"/>
        </w:rPr>
        <w:t xml:space="preserve">                                                               Komisija za sprovođenje postupka javne nabavke</w:t>
      </w:r>
    </w:p>
    <w:p>
      <w:pPr>
        <w:spacing w:before="0" w:after="0"/>
        <w:jc w:val="left"/>
        <w:rPr>
          <w:rFonts w:ascii="Arial" w:hAnsi="Arial" w:cs="Arial"/>
          <w:sz w:val="22"/>
        </w:rPr>
      </w:pPr>
    </w:p>
    <w:sectPr>
      <w:headerReference r:id="rId6" w:type="first"/>
      <w:headerReference r:id="rId5" w:type="default"/>
      <w:pgSz w:w="11906" w:h="16838"/>
      <w:pgMar w:top="1276" w:right="1418" w:bottom="567" w:left="1418" w:header="1134" w:footer="345"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86"/>
    <w:family w:val="swiss"/>
    <w:pitch w:val="default"/>
    <w:sig w:usb0="E4002EFF" w:usb1="C000247B" w:usb2="00000009" w:usb3="00000000" w:csb0="200001FF" w:csb1="00000000"/>
  </w:font>
  <w:font w:name="Calibri">
    <w:panose1 w:val="020F0502020204030204"/>
    <w:charset w:val="EE"/>
    <w:family w:val="swiss"/>
    <w:pitch w:val="default"/>
    <w:sig w:usb0="E4002EFF" w:usb1="C000247B" w:usb2="00000009" w:usb3="00000000" w:csb0="200001FF" w:csb1="00000000"/>
  </w:font>
  <w:font w:name="Calibri">
    <w:panose1 w:val="020F0502020204030204"/>
    <w:charset w:val="00"/>
    <w:family w:val="auto"/>
    <w:pitch w:val="default"/>
    <w:sig w:usb0="E4002EFF" w:usb1="C000247B" w:usb2="00000009" w:usb3="00000000" w:csb0="200001FF" w:csb1="00000000"/>
  </w:font>
  <w:font w:name="Arial">
    <w:panose1 w:val="020B0604020202020204"/>
    <w:charset w:val="EE"/>
    <w:family w:val="swiss"/>
    <w:pitch w:val="default"/>
    <w:sig w:usb0="E0002EFF" w:usb1="C000785B" w:usb2="00000009" w:usb3="00000000" w:csb0="400001FF" w:csb1="FFFF0000"/>
  </w:font>
  <w:font w:name="Tahoma">
    <w:panose1 w:val="020B0604030504040204"/>
    <w:charset w:val="EE"/>
    <w:family w:val="swiss"/>
    <w:pitch w:val="default"/>
    <w:sig w:usb0="E1002EFF" w:usb1="C000605B" w:usb2="00000029" w:usb3="00000000" w:csb0="200101FF" w:csb1="20280000"/>
  </w:font>
  <w:font w:name="Consolas">
    <w:panose1 w:val="020B0609020204030204"/>
    <w:charset w:val="EE"/>
    <w:family w:val="modern"/>
    <w:pitch w:val="default"/>
    <w:sig w:usb0="E00006FF" w:usb1="0000FCFF" w:usb2="00000001" w:usb3="00000000" w:csb0="6000019F" w:csb1="DFD70000"/>
  </w:font>
  <w:font w:name="Arial Narrow">
    <w:panose1 w:val="020B0606020202030204"/>
    <w:charset w:val="EE"/>
    <w:family w:val="swiss"/>
    <w:pitch w:val="default"/>
    <w:sig w:usb0="00000287" w:usb1="00000800" w:usb2="00000000" w:usb3="00000000" w:csb0="2000009F" w:csb1="DFD7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64" w:lineRule="auto"/>
      </w:pPr>
      <w:r>
        <w:separator/>
      </w:r>
    </w:p>
  </w:footnote>
  <w:footnote w:type="continuationSeparator" w:id="1">
    <w:p>
      <w:pPr>
        <w:spacing w:before="0" w:after="0" w:line="264"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8"/>
      <w:rPr>
        <w:rFonts w:eastAsiaTheme="majorEastAsia" w:cstheme="majorBidi"/>
      </w:rPr>
    </w:pPr>
    <w:r>
      <w:pict>
        <v:shape id="_x0000_s2049" o:spid="_x0000_s2049" o:spt="202" type="#_x0000_t202" style="position:absolute;left:0pt;margin-left:307.85pt;margin-top:10.15pt;height:57.75pt;width:180.95pt;z-index:251661312;mso-width-relative:margin;mso-height-relative:margin;mso-width-percent:400;"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">
          <v:path/>
          <v:fill focussize="0,0"/>
          <v:stroke on="f" joinstyle="miter"/>
          <v:imagedata o:title=""/>
          <o:lock v:ext="edit"/>
          <v:textbox>
            <w:txbxContent>
              <w:p>
                <w:pPr>
                  <w:spacing w:before="0" w:after="0" w:line="240" w:lineRule="auto"/>
                  <w:jc w:val="right"/>
                  <w:rPr>
                    <w:sz w:val="20"/>
                  </w:rPr>
                </w:pPr>
                <w:r>
                  <w:rPr>
                    <w:sz w:val="20"/>
                  </w:rPr>
                  <w:t xml:space="preserve">Adresa: Bulevar Stanka Dragojevića 2, </w:t>
                </w:r>
              </w:p>
              <w:p>
                <w:pPr>
                  <w:spacing w:before="0" w:after="0" w:line="240" w:lineRule="auto"/>
                  <w:jc w:val="right"/>
                  <w:rPr>
                    <w:sz w:val="20"/>
                  </w:rPr>
                </w:pPr>
                <w:r>
                  <w:rPr>
                    <w:sz w:val="20"/>
                  </w:rPr>
                  <w:t>81000 Podgorica, Crna Gora</w:t>
                </w:r>
              </w:p>
              <w:p>
                <w:pPr>
                  <w:spacing w:before="0" w:after="0" w:line="240" w:lineRule="auto"/>
                  <w:jc w:val="right"/>
                  <w:rPr>
                    <w:sz w:val="20"/>
                  </w:rPr>
                </w:pPr>
                <w:r>
                  <w:rPr>
                    <w:sz w:val="20"/>
                  </w:rPr>
                  <w:t xml:space="preserve">tel: +382 20 242 835 </w:t>
                </w:r>
              </w:p>
              <w:p>
                <w:pPr>
                  <w:spacing w:before="0" w:after="0" w:line="240" w:lineRule="auto"/>
                  <w:jc w:val="right"/>
                  <w:rPr>
                    <w:color w:val="0070C0"/>
                    <w:sz w:val="20"/>
                  </w:rPr>
                </w:pPr>
                <w:r>
                  <w:rPr>
                    <w:color w:val="0070C0"/>
                    <w:sz w:val="20"/>
                  </w:rPr>
                  <w:t>www.gov.me/mif</w:t>
                </w:r>
              </w:p>
              <w:p>
                <w:pPr>
                  <w:spacing w:line="240" w:lineRule="auto"/>
                  <w:rPr>
                    <w:sz w:val="20"/>
                  </w:rPr>
                </w:pPr>
              </w:p>
            </w:txbxContent>
          </v:textbox>
        </v:shape>
      </w:pict>
    </w:r>
    <w:r>
      <w:pict>
        <v:line id="Straight Connector 27" o:spid="_x0000_s2051" o:spt="20" style="position:absolute;left:0pt;margin-left:49pt;margin-top:4.15pt;height:50pt;width:0pt;z-index:251659264;mso-width-relative:margin;mso-height-relative:margin;" stroked="t"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">
          <v:path arrowok="t"/>
          <v:fill focussize="0,0"/>
          <v:stroke weight="1.5pt" color="#D5B03D"/>
          <v:imagedata o:title=""/>
          <o:lock v:ext="edit"/>
        </v:line>
      </w:pict>
    </w:r>
    <w:r>
      <w:rPr>
        <w:lang w:val="sr-Latn-RS" w:eastAsia="sr-Latn-RS"/>
      </w:rPr>
      <w:drawing>
        <wp:anchor distT="0" distB="0" distL="114300" distR="114300" simplePos="0" relativeHeight="251660288" behindDoc="0" locked="0" layoutInCell="1" allowOverlap="1">
          <wp:simplePos x="0" y="0"/>
          <wp:positionH relativeFrom="column">
            <wp:posOffset>-16510</wp:posOffset>
          </wp:positionH>
          <wp:positionV relativeFrom="paragraph">
            <wp:posOffset>57150</wp:posOffset>
          </wp:positionV>
          <wp:extent cx="539115" cy="621665"/>
          <wp:effectExtent l="0" t="0" r="0" b="6985"/>
          <wp:wrapNone/>
          <wp:docPr id="199" name="Picture 1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 name="Picture 199"/>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39115" cy="621665"/>
                  </a:xfrm>
                  <a:prstGeom prst="rect">
                    <a:avLst/>
                  </a:prstGeom>
                </pic:spPr>
              </pic:pic>
            </a:graphicData>
          </a:graphic>
        </wp:anchor>
      </w:drawing>
    </w:r>
    <w:r>
      <w:t>Crna Gora</w:t>
    </w:r>
  </w:p>
  <w:p>
    <w:pPr>
      <w:pStyle w:val="18"/>
      <w:spacing w:after="0"/>
    </w:pPr>
    <w:r>
      <w:t xml:space="preserve">Ministarstvo finansija </w:t>
    </w:r>
  </w:p>
  <w:p>
    <w:pPr>
      <w:pStyle w:val="1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cumentProtection w:enforcement="0"/>
  <w:defaultTabStop w:val="709"/>
  <w:hyphenationZone w:val="425"/>
  <w:characterSpacingControl w:val="doNotCompress"/>
  <w:hdrShapeDefaults>
    <o:shapelayout v:ext="edit">
      <o:idmap v:ext="edit" data="2"/>
    </o:shapelayout>
  </w:hdrShapeDefaults>
  <w:footnotePr>
    <w:footnote w:id="0"/>
    <w:footnote w:id="1"/>
  </w:footnotePr>
  <w:endnotePr>
    <w:endnote w:id="0"/>
    <w:endnote w:id="1"/>
  </w:endnotePr>
  <w:compat>
    <w:compatSetting w:name="compatibilityMode" w:uri="http://schemas.microsoft.com/office/word" w:val="12"/>
  </w:compat>
  <w:rsids>
    <w:rsidRoot w:val="00A6505B"/>
    <w:rsid w:val="00000719"/>
    <w:rsid w:val="00001178"/>
    <w:rsid w:val="00014079"/>
    <w:rsid w:val="00020673"/>
    <w:rsid w:val="00034781"/>
    <w:rsid w:val="00041618"/>
    <w:rsid w:val="0004557F"/>
    <w:rsid w:val="00076D9F"/>
    <w:rsid w:val="00094746"/>
    <w:rsid w:val="000B5095"/>
    <w:rsid w:val="000C5B3D"/>
    <w:rsid w:val="000D230A"/>
    <w:rsid w:val="000E2334"/>
    <w:rsid w:val="000E4DB0"/>
    <w:rsid w:val="000F2215"/>
    <w:rsid w:val="000F2AA0"/>
    <w:rsid w:val="000F2B95"/>
    <w:rsid w:val="000F2BFC"/>
    <w:rsid w:val="000F7F28"/>
    <w:rsid w:val="001053EE"/>
    <w:rsid w:val="00105401"/>
    <w:rsid w:val="00107821"/>
    <w:rsid w:val="00113238"/>
    <w:rsid w:val="00131DE0"/>
    <w:rsid w:val="00133311"/>
    <w:rsid w:val="0014488F"/>
    <w:rsid w:val="001465C1"/>
    <w:rsid w:val="00154D42"/>
    <w:rsid w:val="00165A48"/>
    <w:rsid w:val="00165DC7"/>
    <w:rsid w:val="001822FC"/>
    <w:rsid w:val="001847FD"/>
    <w:rsid w:val="00196664"/>
    <w:rsid w:val="001A1F45"/>
    <w:rsid w:val="001A79B6"/>
    <w:rsid w:val="001A7E96"/>
    <w:rsid w:val="001B3635"/>
    <w:rsid w:val="001C2DA5"/>
    <w:rsid w:val="001C4C88"/>
    <w:rsid w:val="001D0553"/>
    <w:rsid w:val="001D2636"/>
    <w:rsid w:val="001D3909"/>
    <w:rsid w:val="001D64BF"/>
    <w:rsid w:val="001E0681"/>
    <w:rsid w:val="001E13C1"/>
    <w:rsid w:val="001F75D5"/>
    <w:rsid w:val="00205759"/>
    <w:rsid w:val="002236BB"/>
    <w:rsid w:val="002259BA"/>
    <w:rsid w:val="002511E4"/>
    <w:rsid w:val="00252A36"/>
    <w:rsid w:val="002601E1"/>
    <w:rsid w:val="00264370"/>
    <w:rsid w:val="002766DE"/>
    <w:rsid w:val="00286431"/>
    <w:rsid w:val="00292D5E"/>
    <w:rsid w:val="00293F39"/>
    <w:rsid w:val="00294F0D"/>
    <w:rsid w:val="002A5EA1"/>
    <w:rsid w:val="002A7CB3"/>
    <w:rsid w:val="002D2260"/>
    <w:rsid w:val="002D44F5"/>
    <w:rsid w:val="002D5645"/>
    <w:rsid w:val="002F461C"/>
    <w:rsid w:val="00305B56"/>
    <w:rsid w:val="00307D3F"/>
    <w:rsid w:val="003168DA"/>
    <w:rsid w:val="00322281"/>
    <w:rsid w:val="003251E3"/>
    <w:rsid w:val="003417B8"/>
    <w:rsid w:val="00350578"/>
    <w:rsid w:val="00354D08"/>
    <w:rsid w:val="00357FF2"/>
    <w:rsid w:val="00371A48"/>
    <w:rsid w:val="00373CB1"/>
    <w:rsid w:val="00375D08"/>
    <w:rsid w:val="003A5804"/>
    <w:rsid w:val="003A6DB5"/>
    <w:rsid w:val="003B1DFD"/>
    <w:rsid w:val="003B77B7"/>
    <w:rsid w:val="003C4D45"/>
    <w:rsid w:val="003F091C"/>
    <w:rsid w:val="003F4E39"/>
    <w:rsid w:val="004112D5"/>
    <w:rsid w:val="00413328"/>
    <w:rsid w:val="00417819"/>
    <w:rsid w:val="004345FB"/>
    <w:rsid w:val="004378E1"/>
    <w:rsid w:val="004400C0"/>
    <w:rsid w:val="004465EF"/>
    <w:rsid w:val="00451ADE"/>
    <w:rsid w:val="00451F6C"/>
    <w:rsid w:val="00451FF9"/>
    <w:rsid w:val="004679C3"/>
    <w:rsid w:val="0047080F"/>
    <w:rsid w:val="00470BFD"/>
    <w:rsid w:val="00485A3C"/>
    <w:rsid w:val="004866F6"/>
    <w:rsid w:val="004B4831"/>
    <w:rsid w:val="004C36BF"/>
    <w:rsid w:val="004C6E77"/>
    <w:rsid w:val="004E3DA7"/>
    <w:rsid w:val="004E3FAA"/>
    <w:rsid w:val="004F24B0"/>
    <w:rsid w:val="005212D7"/>
    <w:rsid w:val="00523147"/>
    <w:rsid w:val="00531FDF"/>
    <w:rsid w:val="005341ED"/>
    <w:rsid w:val="005413A4"/>
    <w:rsid w:val="00542EA4"/>
    <w:rsid w:val="00546133"/>
    <w:rsid w:val="00556051"/>
    <w:rsid w:val="005723C7"/>
    <w:rsid w:val="00573092"/>
    <w:rsid w:val="0057344F"/>
    <w:rsid w:val="00596DE7"/>
    <w:rsid w:val="005A019C"/>
    <w:rsid w:val="005A4E7E"/>
    <w:rsid w:val="005B44BF"/>
    <w:rsid w:val="005B58AB"/>
    <w:rsid w:val="005C6F24"/>
    <w:rsid w:val="005F066C"/>
    <w:rsid w:val="005F07F2"/>
    <w:rsid w:val="005F56D9"/>
    <w:rsid w:val="00601117"/>
    <w:rsid w:val="00610B5B"/>
    <w:rsid w:val="00612213"/>
    <w:rsid w:val="00614A72"/>
    <w:rsid w:val="006273F1"/>
    <w:rsid w:val="00630A76"/>
    <w:rsid w:val="00630EDB"/>
    <w:rsid w:val="00642199"/>
    <w:rsid w:val="00651E7B"/>
    <w:rsid w:val="00671552"/>
    <w:rsid w:val="006739CA"/>
    <w:rsid w:val="006829E6"/>
    <w:rsid w:val="00690C76"/>
    <w:rsid w:val="006A24FA"/>
    <w:rsid w:val="006A2C40"/>
    <w:rsid w:val="006A7ECE"/>
    <w:rsid w:val="006B0CEE"/>
    <w:rsid w:val="006B6F82"/>
    <w:rsid w:val="006D711E"/>
    <w:rsid w:val="006E262C"/>
    <w:rsid w:val="006F69E0"/>
    <w:rsid w:val="00702BA0"/>
    <w:rsid w:val="00722040"/>
    <w:rsid w:val="0072761D"/>
    <w:rsid w:val="00733234"/>
    <w:rsid w:val="0073561A"/>
    <w:rsid w:val="00750438"/>
    <w:rsid w:val="0077100B"/>
    <w:rsid w:val="00786F2E"/>
    <w:rsid w:val="007904A7"/>
    <w:rsid w:val="00794586"/>
    <w:rsid w:val="00796D41"/>
    <w:rsid w:val="007978B6"/>
    <w:rsid w:val="007B2B13"/>
    <w:rsid w:val="007C11B1"/>
    <w:rsid w:val="007C3C9B"/>
    <w:rsid w:val="007C4D07"/>
    <w:rsid w:val="007D091C"/>
    <w:rsid w:val="007D4E2A"/>
    <w:rsid w:val="007D67C0"/>
    <w:rsid w:val="007F0163"/>
    <w:rsid w:val="007F6D19"/>
    <w:rsid w:val="00802E8D"/>
    <w:rsid w:val="00807744"/>
    <w:rsid w:val="00810444"/>
    <w:rsid w:val="0081425B"/>
    <w:rsid w:val="008562A0"/>
    <w:rsid w:val="00865C0C"/>
    <w:rsid w:val="0088156B"/>
    <w:rsid w:val="00882D17"/>
    <w:rsid w:val="00885190"/>
    <w:rsid w:val="008A10E5"/>
    <w:rsid w:val="008A3EFC"/>
    <w:rsid w:val="008B4AC4"/>
    <w:rsid w:val="008C12B9"/>
    <w:rsid w:val="008C7F82"/>
    <w:rsid w:val="008D7D43"/>
    <w:rsid w:val="008E66CA"/>
    <w:rsid w:val="008F6F4E"/>
    <w:rsid w:val="00902E6C"/>
    <w:rsid w:val="00907170"/>
    <w:rsid w:val="009130A0"/>
    <w:rsid w:val="00922A8D"/>
    <w:rsid w:val="00924AB6"/>
    <w:rsid w:val="00943F04"/>
    <w:rsid w:val="0094674E"/>
    <w:rsid w:val="00946A67"/>
    <w:rsid w:val="00946D0F"/>
    <w:rsid w:val="0095482C"/>
    <w:rsid w:val="00957020"/>
    <w:rsid w:val="0096107C"/>
    <w:rsid w:val="009626E4"/>
    <w:rsid w:val="00965BEE"/>
    <w:rsid w:val="009818A0"/>
    <w:rsid w:val="009909D6"/>
    <w:rsid w:val="00997C04"/>
    <w:rsid w:val="009B2229"/>
    <w:rsid w:val="009B54B8"/>
    <w:rsid w:val="009C50F3"/>
    <w:rsid w:val="009C5D62"/>
    <w:rsid w:val="009C66EA"/>
    <w:rsid w:val="009D398E"/>
    <w:rsid w:val="009E4D06"/>
    <w:rsid w:val="009E797A"/>
    <w:rsid w:val="009F5E20"/>
    <w:rsid w:val="00A03605"/>
    <w:rsid w:val="00A0507C"/>
    <w:rsid w:val="00A25C1B"/>
    <w:rsid w:val="00A46060"/>
    <w:rsid w:val="00A524FE"/>
    <w:rsid w:val="00A53DD8"/>
    <w:rsid w:val="00A6505B"/>
    <w:rsid w:val="00A72C77"/>
    <w:rsid w:val="00A81C74"/>
    <w:rsid w:val="00A83C81"/>
    <w:rsid w:val="00AA2310"/>
    <w:rsid w:val="00AA6CB3"/>
    <w:rsid w:val="00AA721B"/>
    <w:rsid w:val="00AB058F"/>
    <w:rsid w:val="00AC2D0D"/>
    <w:rsid w:val="00AC571A"/>
    <w:rsid w:val="00AF27FF"/>
    <w:rsid w:val="00AF57B9"/>
    <w:rsid w:val="00AF745E"/>
    <w:rsid w:val="00B003EE"/>
    <w:rsid w:val="00B13AFC"/>
    <w:rsid w:val="00B167AC"/>
    <w:rsid w:val="00B37686"/>
    <w:rsid w:val="00B40A06"/>
    <w:rsid w:val="00B473C2"/>
    <w:rsid w:val="00B47D2C"/>
    <w:rsid w:val="00B66ED2"/>
    <w:rsid w:val="00B71E6F"/>
    <w:rsid w:val="00B81A2D"/>
    <w:rsid w:val="00B83F7A"/>
    <w:rsid w:val="00B84F08"/>
    <w:rsid w:val="00B939DF"/>
    <w:rsid w:val="00BC6666"/>
    <w:rsid w:val="00BE3206"/>
    <w:rsid w:val="00BE5036"/>
    <w:rsid w:val="00BF464E"/>
    <w:rsid w:val="00C0250D"/>
    <w:rsid w:val="00C123D2"/>
    <w:rsid w:val="00C176EB"/>
    <w:rsid w:val="00C20E0A"/>
    <w:rsid w:val="00C20EB9"/>
    <w:rsid w:val="00C2622E"/>
    <w:rsid w:val="00C31BD8"/>
    <w:rsid w:val="00C36DD6"/>
    <w:rsid w:val="00C4053F"/>
    <w:rsid w:val="00C4062A"/>
    <w:rsid w:val="00C4431F"/>
    <w:rsid w:val="00C70DBD"/>
    <w:rsid w:val="00C84028"/>
    <w:rsid w:val="00C868A9"/>
    <w:rsid w:val="00CA4058"/>
    <w:rsid w:val="00CB3DF3"/>
    <w:rsid w:val="00CC1F61"/>
    <w:rsid w:val="00CC2580"/>
    <w:rsid w:val="00CC5FBB"/>
    <w:rsid w:val="00CD14D5"/>
    <w:rsid w:val="00CD159D"/>
    <w:rsid w:val="00CE15B7"/>
    <w:rsid w:val="00CF540B"/>
    <w:rsid w:val="00D13BA5"/>
    <w:rsid w:val="00D1451C"/>
    <w:rsid w:val="00D16364"/>
    <w:rsid w:val="00D23B4D"/>
    <w:rsid w:val="00D2455F"/>
    <w:rsid w:val="00D44D11"/>
    <w:rsid w:val="00D458EE"/>
    <w:rsid w:val="00D50354"/>
    <w:rsid w:val="00D548A9"/>
    <w:rsid w:val="00D562E5"/>
    <w:rsid w:val="00D56449"/>
    <w:rsid w:val="00D61633"/>
    <w:rsid w:val="00D63846"/>
    <w:rsid w:val="00D8144A"/>
    <w:rsid w:val="00D97F7B"/>
    <w:rsid w:val="00DA18F6"/>
    <w:rsid w:val="00DC5DF1"/>
    <w:rsid w:val="00DC7023"/>
    <w:rsid w:val="00DE359B"/>
    <w:rsid w:val="00DF3C15"/>
    <w:rsid w:val="00DF60F7"/>
    <w:rsid w:val="00E20036"/>
    <w:rsid w:val="00E6342D"/>
    <w:rsid w:val="00E71A35"/>
    <w:rsid w:val="00E73A9B"/>
    <w:rsid w:val="00E7477E"/>
    <w:rsid w:val="00E74F68"/>
    <w:rsid w:val="00E75466"/>
    <w:rsid w:val="00E833C8"/>
    <w:rsid w:val="00E93083"/>
    <w:rsid w:val="00E967CF"/>
    <w:rsid w:val="00EA1935"/>
    <w:rsid w:val="00EA7532"/>
    <w:rsid w:val="00EB4B28"/>
    <w:rsid w:val="00EE0C9E"/>
    <w:rsid w:val="00EE546B"/>
    <w:rsid w:val="00EE585A"/>
    <w:rsid w:val="00EE78CF"/>
    <w:rsid w:val="00EF0362"/>
    <w:rsid w:val="00EF2610"/>
    <w:rsid w:val="00F000CF"/>
    <w:rsid w:val="00F0773D"/>
    <w:rsid w:val="00F127D8"/>
    <w:rsid w:val="00F12E1B"/>
    <w:rsid w:val="00F14B0C"/>
    <w:rsid w:val="00F15945"/>
    <w:rsid w:val="00F16D1B"/>
    <w:rsid w:val="00F21A4A"/>
    <w:rsid w:val="00F323F6"/>
    <w:rsid w:val="00F4549F"/>
    <w:rsid w:val="00F63FBA"/>
    <w:rsid w:val="00F74CF6"/>
    <w:rsid w:val="00F761D8"/>
    <w:rsid w:val="00F87BEB"/>
    <w:rsid w:val="00F93530"/>
    <w:rsid w:val="00F9391A"/>
    <w:rsid w:val="00FC4E66"/>
    <w:rsid w:val="00FD5A37"/>
    <w:rsid w:val="00FD678E"/>
    <w:rsid w:val="00FE4CFA"/>
    <w:rsid w:val="00FF368D"/>
    <w:rsid w:val="1FC244EA"/>
  </w:rsids>
  <m:mathPr>
    <m:mathFont m:val="Cambria Math"/>
    <m:brkBin m:val="before"/>
    <m:brkBinSub m:val="--"/>
    <m:smallFrac m:val="0"/>
    <m:dispDef/>
    <m:lMargin m:val="0"/>
    <m:rMargin m:val="0"/>
    <m:defJc m:val="centerGroup"/>
    <m:wrapIndent m:val="1440"/>
    <m:intLim m:val="subSup"/>
    <m:naryLim m:val="undOvr"/>
  </m:mathPr>
  <w:themeFontLang w:val="sr-Latn-C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HAnsi"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0" w:semiHidden="0"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120" w:line="264" w:lineRule="auto"/>
      <w:jc w:val="both"/>
    </w:pPr>
    <w:rPr>
      <w:rFonts w:asciiTheme="minorHAnsi" w:hAnsiTheme="minorHAnsi" w:eastAsiaTheme="minorHAnsi" w:cstheme="minorBidi"/>
      <w:sz w:val="24"/>
      <w:szCs w:val="22"/>
      <w:lang w:val="sr-Latn-CS" w:eastAsia="en-US" w:bidi="ar-SA"/>
    </w:rPr>
  </w:style>
  <w:style w:type="paragraph" w:styleId="2">
    <w:name w:val="heading 1"/>
    <w:basedOn w:val="1"/>
    <w:next w:val="1"/>
    <w:link w:val="19"/>
    <w:qFormat/>
    <w:uiPriority w:val="9"/>
    <w:pPr>
      <w:spacing w:before="0" w:after="0" w:line="240" w:lineRule="auto"/>
      <w:ind w:left="1134"/>
      <w:outlineLvl w:val="0"/>
    </w:pPr>
    <w:rPr>
      <w:rFonts w:ascii="Arial" w:hAnsi="Arial" w:cs="Arial"/>
      <w:bCs/>
      <w:lang w:val="hr-HR"/>
    </w:rPr>
  </w:style>
  <w:style w:type="paragraph" w:styleId="3">
    <w:name w:val="heading 2"/>
    <w:basedOn w:val="1"/>
    <w:next w:val="1"/>
    <w:link w:val="20"/>
    <w:unhideWhenUsed/>
    <w:qFormat/>
    <w:uiPriority w:val="9"/>
    <w:pPr>
      <w:tabs>
        <w:tab w:val="left" w:pos="1134"/>
      </w:tabs>
      <w:outlineLvl w:val="1"/>
    </w:pPr>
    <w:rPr>
      <w:rFonts w:ascii="Arial" w:hAnsi="Arial" w:cs="Arial"/>
      <w:sz w:val="22"/>
    </w:rPr>
  </w:style>
  <w:style w:type="paragraph" w:styleId="4">
    <w:name w:val="heading 3"/>
    <w:basedOn w:val="1"/>
    <w:next w:val="1"/>
    <w:link w:val="21"/>
    <w:unhideWhenUsed/>
    <w:qFormat/>
    <w:uiPriority w:val="9"/>
    <w:pPr>
      <w:tabs>
        <w:tab w:val="left" w:pos="1134"/>
      </w:tabs>
      <w:outlineLvl w:val="2"/>
    </w:pPr>
    <w:rPr>
      <w:rFonts w:ascii="Arial" w:hAnsi="Arial" w:cs="Arial"/>
      <w:b/>
      <w:sz w:val="22"/>
    </w:rPr>
  </w:style>
  <w:style w:type="paragraph" w:styleId="5">
    <w:name w:val="heading 4"/>
    <w:basedOn w:val="1"/>
    <w:next w:val="1"/>
    <w:link w:val="22"/>
    <w:unhideWhenUsed/>
    <w:qFormat/>
    <w:uiPriority w:val="9"/>
    <w:pPr>
      <w:keepNext/>
      <w:keepLines/>
      <w:outlineLvl w:val="3"/>
    </w:pPr>
    <w:rPr>
      <w:rFonts w:eastAsiaTheme="majorEastAsia" w:cstheme="majorBidi"/>
      <w:bCs/>
      <w:iCs/>
      <w:u w:val="single"/>
    </w:rPr>
  </w:style>
  <w:style w:type="paragraph" w:styleId="6">
    <w:name w:val="heading 5"/>
    <w:basedOn w:val="1"/>
    <w:next w:val="1"/>
    <w:link w:val="23"/>
    <w:unhideWhenUsed/>
    <w:qFormat/>
    <w:uiPriority w:val="9"/>
    <w:pPr>
      <w:keepNext/>
      <w:keepLines/>
      <w:outlineLvl w:val="4"/>
    </w:pPr>
    <w:rPr>
      <w:rFonts w:eastAsiaTheme="majorEastAsia" w:cstheme="majorBidi"/>
      <w:i/>
    </w:rPr>
  </w:style>
  <w:style w:type="character" w:default="1" w:styleId="7">
    <w:name w:val="Default Paragraph Font"/>
    <w:semiHidden/>
    <w:unhideWhenUsed/>
    <w:uiPriority w:val="1"/>
  </w:style>
  <w:style w:type="table" w:default="1" w:styleId="8">
    <w:name w:val="Normal Table"/>
    <w:semiHidden/>
    <w:unhideWhenUsed/>
    <w:uiPriority w:val="99"/>
    <w:tblPr>
      <w:tblCellMar>
        <w:top w:w="0" w:type="dxa"/>
        <w:left w:w="108" w:type="dxa"/>
        <w:bottom w:w="0" w:type="dxa"/>
        <w:right w:w="108" w:type="dxa"/>
      </w:tblCellMar>
    </w:tblPr>
  </w:style>
  <w:style w:type="paragraph" w:styleId="9">
    <w:name w:val="Balloon Text"/>
    <w:basedOn w:val="1"/>
    <w:link w:val="28"/>
    <w:semiHidden/>
    <w:unhideWhenUsed/>
    <w:uiPriority w:val="99"/>
    <w:pPr>
      <w:spacing w:before="0" w:after="0" w:line="240" w:lineRule="auto"/>
    </w:pPr>
    <w:rPr>
      <w:rFonts w:ascii="Tahoma" w:hAnsi="Tahoma" w:cs="Tahoma"/>
      <w:sz w:val="16"/>
      <w:szCs w:val="16"/>
    </w:rPr>
  </w:style>
  <w:style w:type="character" w:styleId="10">
    <w:name w:val="annotation reference"/>
    <w:basedOn w:val="7"/>
    <w:semiHidden/>
    <w:unhideWhenUsed/>
    <w:uiPriority w:val="99"/>
    <w:rPr>
      <w:sz w:val="16"/>
      <w:szCs w:val="16"/>
    </w:rPr>
  </w:style>
  <w:style w:type="paragraph" w:styleId="11">
    <w:name w:val="annotation text"/>
    <w:basedOn w:val="1"/>
    <w:link w:val="30"/>
    <w:semiHidden/>
    <w:unhideWhenUsed/>
    <w:uiPriority w:val="99"/>
    <w:pPr>
      <w:spacing w:line="240" w:lineRule="auto"/>
    </w:pPr>
    <w:rPr>
      <w:sz w:val="20"/>
      <w:szCs w:val="20"/>
      <w:lang w:val="en-US"/>
    </w:rPr>
  </w:style>
  <w:style w:type="paragraph" w:styleId="12">
    <w:name w:val="annotation subject"/>
    <w:basedOn w:val="11"/>
    <w:next w:val="11"/>
    <w:link w:val="31"/>
    <w:semiHidden/>
    <w:unhideWhenUsed/>
    <w:uiPriority w:val="99"/>
    <w:rPr>
      <w:b/>
      <w:bCs/>
    </w:rPr>
  </w:style>
  <w:style w:type="paragraph" w:styleId="13">
    <w:name w:val="footer"/>
    <w:basedOn w:val="1"/>
    <w:link w:val="27"/>
    <w:unhideWhenUsed/>
    <w:uiPriority w:val="99"/>
    <w:pPr>
      <w:tabs>
        <w:tab w:val="center" w:pos="4536"/>
        <w:tab w:val="right" w:pos="9072"/>
      </w:tabs>
      <w:spacing w:before="0" w:after="0" w:line="240" w:lineRule="auto"/>
    </w:pPr>
  </w:style>
  <w:style w:type="paragraph" w:styleId="14">
    <w:name w:val="header"/>
    <w:basedOn w:val="1"/>
    <w:link w:val="26"/>
    <w:unhideWhenUsed/>
    <w:uiPriority w:val="99"/>
    <w:pPr>
      <w:tabs>
        <w:tab w:val="center" w:pos="4536"/>
        <w:tab w:val="right" w:pos="9072"/>
      </w:tabs>
      <w:spacing w:before="0" w:after="0" w:line="240" w:lineRule="auto"/>
    </w:pPr>
  </w:style>
  <w:style w:type="character" w:styleId="15">
    <w:name w:val="Hyperlink"/>
    <w:basedOn w:val="7"/>
    <w:unhideWhenUsed/>
    <w:uiPriority w:val="99"/>
    <w:rPr>
      <w:color w:val="0000FF" w:themeColor="hyperlink"/>
      <w:u w:val="single"/>
    </w:rPr>
  </w:style>
  <w:style w:type="paragraph" w:styleId="16">
    <w:name w:val="Normal (Web)"/>
    <w:basedOn w:val="1"/>
    <w:semiHidden/>
    <w:unhideWhenUsed/>
    <w:uiPriority w:val="99"/>
    <w:rPr>
      <w:rFonts w:ascii="Times New Roman" w:hAnsi="Times New Roman" w:cs="Times New Roman"/>
      <w:szCs w:val="24"/>
    </w:rPr>
  </w:style>
  <w:style w:type="paragraph" w:styleId="17">
    <w:name w:val="Plain Text"/>
    <w:basedOn w:val="1"/>
    <w:link w:val="34"/>
    <w:unhideWhenUsed/>
    <w:uiPriority w:val="0"/>
    <w:pPr>
      <w:spacing w:before="0" w:after="0" w:line="240" w:lineRule="auto"/>
      <w:jc w:val="left"/>
    </w:pPr>
    <w:rPr>
      <w:rFonts w:ascii="Consolas" w:hAnsi="Consolas" w:eastAsia="Calibri" w:cs="Times New Roman"/>
      <w:sz w:val="22"/>
      <w:lang w:val="en-US"/>
    </w:rPr>
  </w:style>
  <w:style w:type="paragraph" w:styleId="18">
    <w:name w:val="Title"/>
    <w:basedOn w:val="1"/>
    <w:next w:val="1"/>
    <w:link w:val="29"/>
    <w:qFormat/>
    <w:uiPriority w:val="10"/>
    <w:pPr>
      <w:spacing w:after="80" w:line="192" w:lineRule="auto"/>
      <w:ind w:left="1134"/>
      <w:jc w:val="left"/>
    </w:pPr>
    <w:rPr>
      <w:rFonts w:ascii="Calibri" w:hAnsi="Calibri" w:eastAsia="Times New Roman" w:cs="Times New Roman"/>
      <w:spacing w:val="-10"/>
      <w:kern w:val="28"/>
      <w:sz w:val="28"/>
      <w:szCs w:val="40"/>
      <w:lang w:val="en-US"/>
    </w:rPr>
  </w:style>
  <w:style w:type="character" w:customStyle="1" w:styleId="19">
    <w:name w:val="Heading 1 Char"/>
    <w:basedOn w:val="7"/>
    <w:link w:val="2"/>
    <w:uiPriority w:val="9"/>
    <w:rPr>
      <w:rFonts w:ascii="Arial" w:hAnsi="Arial" w:cs="Arial"/>
      <w:bCs/>
      <w:sz w:val="24"/>
      <w:lang w:val="hr-HR"/>
    </w:rPr>
  </w:style>
  <w:style w:type="character" w:customStyle="1" w:styleId="20">
    <w:name w:val="Heading 2 Char"/>
    <w:basedOn w:val="7"/>
    <w:link w:val="3"/>
    <w:uiPriority w:val="9"/>
    <w:rPr>
      <w:rFonts w:ascii="Arial" w:hAnsi="Arial" w:cs="Arial"/>
    </w:rPr>
  </w:style>
  <w:style w:type="character" w:customStyle="1" w:styleId="21">
    <w:name w:val="Heading 3 Char"/>
    <w:basedOn w:val="7"/>
    <w:link w:val="4"/>
    <w:uiPriority w:val="9"/>
    <w:rPr>
      <w:rFonts w:ascii="Arial" w:hAnsi="Arial" w:cs="Arial"/>
      <w:b/>
    </w:rPr>
  </w:style>
  <w:style w:type="character" w:customStyle="1" w:styleId="22">
    <w:name w:val="Heading 4 Char"/>
    <w:basedOn w:val="7"/>
    <w:link w:val="5"/>
    <w:uiPriority w:val="9"/>
    <w:rPr>
      <w:rFonts w:eastAsiaTheme="majorEastAsia" w:cstheme="majorBidi"/>
      <w:bCs/>
      <w:iCs/>
      <w:sz w:val="24"/>
      <w:u w:val="single"/>
    </w:rPr>
  </w:style>
  <w:style w:type="character" w:customStyle="1" w:styleId="23">
    <w:name w:val="Heading 5 Char"/>
    <w:basedOn w:val="7"/>
    <w:link w:val="6"/>
    <w:uiPriority w:val="9"/>
    <w:rPr>
      <w:rFonts w:eastAsiaTheme="majorEastAsia" w:cstheme="majorBidi"/>
      <w:i/>
      <w:sz w:val="24"/>
    </w:rPr>
  </w:style>
  <w:style w:type="paragraph" w:customStyle="1" w:styleId="24">
    <w:name w:val="Normal Tab"/>
    <w:basedOn w:val="1"/>
    <w:link w:val="25"/>
    <w:qFormat/>
    <w:uiPriority w:val="0"/>
    <w:pPr>
      <w:ind w:left="708"/>
    </w:pPr>
  </w:style>
  <w:style w:type="character" w:customStyle="1" w:styleId="25">
    <w:name w:val="Normal Tab Char"/>
    <w:basedOn w:val="7"/>
    <w:link w:val="24"/>
    <w:uiPriority w:val="0"/>
    <w:rPr>
      <w:sz w:val="24"/>
    </w:rPr>
  </w:style>
  <w:style w:type="character" w:customStyle="1" w:styleId="26">
    <w:name w:val="Header Char"/>
    <w:basedOn w:val="7"/>
    <w:link w:val="14"/>
    <w:uiPriority w:val="99"/>
    <w:rPr>
      <w:sz w:val="24"/>
    </w:rPr>
  </w:style>
  <w:style w:type="character" w:customStyle="1" w:styleId="27">
    <w:name w:val="Footer Char"/>
    <w:basedOn w:val="7"/>
    <w:link w:val="13"/>
    <w:uiPriority w:val="99"/>
    <w:rPr>
      <w:sz w:val="24"/>
    </w:rPr>
  </w:style>
  <w:style w:type="character" w:customStyle="1" w:styleId="28">
    <w:name w:val="Balloon Text Char"/>
    <w:basedOn w:val="7"/>
    <w:link w:val="9"/>
    <w:semiHidden/>
    <w:uiPriority w:val="99"/>
    <w:rPr>
      <w:rFonts w:ascii="Tahoma" w:hAnsi="Tahoma" w:cs="Tahoma"/>
      <w:sz w:val="16"/>
      <w:szCs w:val="16"/>
    </w:rPr>
  </w:style>
  <w:style w:type="character" w:customStyle="1" w:styleId="29">
    <w:name w:val="Title Char"/>
    <w:basedOn w:val="7"/>
    <w:link w:val="18"/>
    <w:uiPriority w:val="10"/>
    <w:rPr>
      <w:rFonts w:ascii="Calibri" w:hAnsi="Calibri" w:eastAsia="Times New Roman" w:cs="Times New Roman"/>
      <w:spacing w:val="-10"/>
      <w:kern w:val="28"/>
      <w:sz w:val="28"/>
      <w:szCs w:val="40"/>
      <w:lang w:val="en-US"/>
    </w:rPr>
  </w:style>
  <w:style w:type="character" w:customStyle="1" w:styleId="30">
    <w:name w:val="Comment Text Char"/>
    <w:basedOn w:val="7"/>
    <w:link w:val="11"/>
    <w:semiHidden/>
    <w:uiPriority w:val="99"/>
    <w:rPr>
      <w:sz w:val="20"/>
      <w:szCs w:val="20"/>
      <w:lang w:val="en-US"/>
    </w:rPr>
  </w:style>
  <w:style w:type="character" w:customStyle="1" w:styleId="31">
    <w:name w:val="Comment Subject Char"/>
    <w:basedOn w:val="30"/>
    <w:link w:val="12"/>
    <w:semiHidden/>
    <w:uiPriority w:val="99"/>
    <w:rPr>
      <w:b/>
      <w:bCs/>
      <w:sz w:val="20"/>
      <w:szCs w:val="20"/>
      <w:lang w:val="en-US"/>
    </w:rPr>
  </w:style>
  <w:style w:type="paragraph" w:styleId="32">
    <w:name w:val="List Paragraph"/>
    <w:basedOn w:val="1"/>
    <w:qFormat/>
    <w:uiPriority w:val="34"/>
    <w:pPr>
      <w:ind w:left="720"/>
      <w:contextualSpacing/>
    </w:pPr>
  </w:style>
  <w:style w:type="character" w:customStyle="1" w:styleId="33">
    <w:name w:val="Plain Text Char"/>
    <w:basedOn w:val="7"/>
    <w:semiHidden/>
    <w:uiPriority w:val="99"/>
    <w:rPr>
      <w:rFonts w:ascii="Consolas" w:hAnsi="Consolas" w:cs="Consolas"/>
      <w:sz w:val="21"/>
      <w:szCs w:val="21"/>
    </w:rPr>
  </w:style>
  <w:style w:type="character" w:customStyle="1" w:styleId="34">
    <w:name w:val="Plain Text Char1"/>
    <w:link w:val="17"/>
    <w:locked/>
    <w:uiPriority w:val="0"/>
    <w:rPr>
      <w:rFonts w:ascii="Consolas" w:hAnsi="Consolas" w:eastAsia="Calibri" w:cs="Times New Roman"/>
      <w:lang w:val="en-US"/>
    </w:rPr>
  </w:style>
  <w:style w:type="paragraph" w:styleId="35">
    <w:name w:val="No Spacing"/>
    <w:link w:val="36"/>
    <w:qFormat/>
    <w:uiPriority w:val="0"/>
    <w:pPr>
      <w:spacing w:after="0" w:line="240" w:lineRule="auto"/>
    </w:pPr>
    <w:rPr>
      <w:rFonts w:ascii="Calibri" w:hAnsi="Calibri" w:eastAsia="Times New Roman" w:cs="Times New Roman"/>
      <w:sz w:val="22"/>
      <w:szCs w:val="22"/>
      <w:lang w:val="en-GB" w:eastAsia="en-GB" w:bidi="ar-SA"/>
    </w:rPr>
  </w:style>
  <w:style w:type="character" w:customStyle="1" w:styleId="36">
    <w:name w:val="No Spacing Char"/>
    <w:basedOn w:val="7"/>
    <w:link w:val="35"/>
    <w:locked/>
    <w:uiPriority w:val="0"/>
    <w:rPr>
      <w:rFonts w:ascii="Calibri" w:hAnsi="Calibri" w:eastAsia="Times New Roman" w:cs="Times New Roman"/>
      <w:lang w:val="en-GB" w:eastAsia="en-GB"/>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2.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2049"/>
    <customShpInfo spid="_x0000_s2051"/>
  </customShpExts>
</s:customData>
</file>

<file path=customXml/item2.xml><?xml version="1.0" encoding="utf-8"?>
<CoverPageProperties xmlns="http://schemas.microsoft.com/office/2006/coverPageProps">
  <PublishDate>jjj</PublishDate>
  <Abstract/>
  <CompanyAddress/>
  <CompanyPhone/>
  <CompanyFax/>
  <CompanyEmail/>
</CoverPageProperties>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5AF091B-3C7A-41E3-B477-F2FDAA23CFDA}">
  <ds:schemaRefs/>
</ds:datastoreItem>
</file>

<file path=docProps/app.xml><?xml version="1.0" encoding="utf-8"?>
<Properties xmlns="http://schemas.openxmlformats.org/officeDocument/2006/extended-properties" xmlns:vt="http://schemas.openxmlformats.org/officeDocument/2006/docPropsVTypes">
  <Template>Normal</Template>
  <Company>Hewlett-Packard Company</Company>
  <Pages>2</Pages>
  <Words>472</Words>
  <Characters>2691</Characters>
  <Lines>22</Lines>
  <Paragraphs>6</Paragraphs>
  <TotalTime>599</TotalTime>
  <ScaleCrop>false</ScaleCrop>
  <LinksUpToDate>false</LinksUpToDate>
  <CharactersWithSpaces>3157</CharactersWithSpaces>
  <Application>WPS Office_11.2.0.11513_F1E327BC-269C-435d-A152-05C5408002CA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2019-05-13T09:25:00Z</dcterms:created>
  <dc:creator>Vlada Crne Gore</dc:creator>
  <cp:lastModifiedBy>Dragan Prenkic</cp:lastModifiedBy>
  <cp:lastPrinted>2024-02-19T11:47:00Z</cp:lastPrinted>
  <dcterms:modified xsi:type="dcterms:W3CDTF">2025-10-16T10:39:49Z</dcterms:modified>
  <cp:revision>121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1033-11.2.0.11513</vt:lpwstr>
  </property>
  <property fmtid="{D5CDD505-2E9C-101B-9397-08002B2CF9AE}" pid="3" name="ICV">
    <vt:lpwstr>AAA99E96DB0B44799EC6E11D0CCC77E4</vt:lpwstr>
  </property>
</Properties>
</file>