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9"/>
        <w:gridCol w:w="42"/>
        <w:gridCol w:w="164"/>
        <w:gridCol w:w="164"/>
        <w:gridCol w:w="164"/>
        <w:gridCol w:w="30"/>
        <w:gridCol w:w="2527"/>
        <w:gridCol w:w="2053"/>
        <w:gridCol w:w="2025"/>
        <w:gridCol w:w="2142"/>
      </w:tblGrid>
      <w:tr w:rsidR="009E0D52" w:rsidRPr="00D93A4E" w:rsidTr="00093DA6">
        <w:trPr>
          <w:gridAfter w:val="5"/>
          <w:wAfter w:w="8976" w:type="dxa"/>
          <w:tblHeader/>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9E0D52">
            <w:pPr>
              <w:spacing w:after="0" w:line="240" w:lineRule="auto"/>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9E0D52">
            <w:pPr>
              <w:spacing w:after="0" w:line="240" w:lineRule="auto"/>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rPr>
                <w:rFonts w:ascii="Times New Roman" w:eastAsia="Times New Roman" w:hAnsi="Times New Roman" w:cs="Times New Roman"/>
                <w:shd w:val="clear" w:color="auto" w:fill="E8E8E8"/>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shd w:val="clear" w:color="auto" w:fill="E8E8E8"/>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bookmarkStart w:id="0" w:name="_GoBack"/>
            <w:bookmarkEnd w:id="0"/>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r>
      <w:tr w:rsidR="009E0D52" w:rsidRPr="00D93A4E" w:rsidTr="00093DA6">
        <w:trPr>
          <w:gridAfter w:val="5"/>
          <w:wAfter w:w="8976" w:type="dxa"/>
          <w:tblCellSpacing w:w="15" w:type="dxa"/>
          <w:jc w:val="center"/>
        </w:trPr>
        <w:tc>
          <w:tcPr>
            <w:tcW w:w="0" w:type="auto"/>
            <w:gridSpan w:val="2"/>
            <w:vAlign w:val="center"/>
          </w:tcPr>
          <w:p w:rsidR="009E0D52" w:rsidRPr="00D93A4E" w:rsidRDefault="009E0D52" w:rsidP="002B0335">
            <w:pPr>
              <w:spacing w:after="0" w:line="240" w:lineRule="auto"/>
              <w:jc w:val="both"/>
              <w:rPr>
                <w:rFonts w:ascii="Times New Roman" w:eastAsia="Times New Roman" w:hAnsi="Times New Roman" w:cs="Times New Roman"/>
                <w:shd w:val="clear" w:color="auto" w:fill="E8E8E8"/>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c>
          <w:tcPr>
            <w:tcW w:w="0" w:type="auto"/>
            <w:vAlign w:val="center"/>
          </w:tcPr>
          <w:p w:rsidR="009E0D52" w:rsidRPr="00D93A4E" w:rsidRDefault="009E0D52" w:rsidP="002B0335">
            <w:pPr>
              <w:spacing w:after="0" w:line="240" w:lineRule="auto"/>
              <w:jc w:val="both"/>
              <w:rPr>
                <w:rFonts w:ascii="Times New Roman" w:eastAsia="Times New Roman" w:hAnsi="Times New Roman" w:cs="Times New Roman"/>
                <w:lang w:eastAsia="en-GB"/>
              </w:rPr>
            </w:pPr>
          </w:p>
        </w:tc>
      </w:tr>
      <w:tr w:rsidR="00093DA6" w:rsidTr="00093DA6">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trHeight w:val="450"/>
        </w:trPr>
        <w:tc>
          <w:tcPr>
            <w:tcW w:w="705" w:type="dxa"/>
            <w:gridSpan w:val="5"/>
          </w:tcPr>
          <w:p w:rsidR="00093DA6"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r.b.</w:t>
            </w:r>
          </w:p>
        </w:tc>
        <w:tc>
          <w:tcPr>
            <w:tcW w:w="2580" w:type="dxa"/>
          </w:tcPr>
          <w:p w:rsidR="00093DA6" w:rsidRDefault="00093DA6" w:rsidP="002B0335">
            <w:pPr>
              <w:spacing w:after="160" w:line="259" w:lineRule="auto"/>
              <w:contextualSpacing/>
              <w:rPr>
                <w:rFonts w:ascii="Arial" w:eastAsia="Calibri" w:hAnsi="Arial" w:cs="Arial"/>
                <w:color w:val="000000"/>
                <w:lang w:val="sr-Latn-ME"/>
              </w:rPr>
            </w:pPr>
            <w:r>
              <w:rPr>
                <w:rFonts w:ascii="Arial" w:eastAsia="Calibri" w:hAnsi="Arial" w:cs="Arial"/>
                <w:color w:val="000000"/>
                <w:lang w:val="sr-Latn-ME"/>
              </w:rPr>
              <w:t>Opis predmeta nabavke u cjelini., odnosno po partiji ili u stavkama</w:t>
            </w:r>
          </w:p>
        </w:tc>
        <w:tc>
          <w:tcPr>
            <w:tcW w:w="2055" w:type="dxa"/>
          </w:tcPr>
          <w:p w:rsidR="00093DA6" w:rsidRPr="007455C9"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 xml:space="preserve">Bitne karakteristike predmeta nabavke </w:t>
            </w:r>
            <w:r w:rsidRPr="007455C9">
              <w:rPr>
                <w:rFonts w:ascii="Arial" w:eastAsia="Calibri" w:hAnsi="Arial" w:cs="Arial"/>
                <w:color w:val="000000"/>
                <w:lang w:val="sr-Latn-ME"/>
              </w:rPr>
              <w:t>u pogledu kvaliteta, dimenzija, oblika,</w:t>
            </w:r>
          </w:p>
          <w:p w:rsidR="00093DA6" w:rsidRPr="007455C9" w:rsidRDefault="00093DA6" w:rsidP="002B0335">
            <w:pPr>
              <w:spacing w:after="160" w:line="259" w:lineRule="auto"/>
              <w:contextualSpacing/>
              <w:jc w:val="both"/>
              <w:rPr>
                <w:rFonts w:ascii="Arial" w:eastAsia="Calibri" w:hAnsi="Arial" w:cs="Arial"/>
                <w:color w:val="000000"/>
                <w:lang w:val="sr-Latn-ME"/>
              </w:rPr>
            </w:pPr>
            <w:r w:rsidRPr="007455C9">
              <w:rPr>
                <w:rFonts w:ascii="Arial" w:eastAsia="Calibri" w:hAnsi="Arial" w:cs="Arial"/>
                <w:color w:val="000000"/>
                <w:lang w:val="sr-Latn-ME"/>
              </w:rPr>
              <w:t>bezbjednosti, performansi,</w:t>
            </w:r>
          </w:p>
          <w:p w:rsidR="00093DA6" w:rsidRDefault="00093DA6" w:rsidP="002B0335">
            <w:pPr>
              <w:spacing w:after="160" w:line="259" w:lineRule="auto"/>
              <w:contextualSpacing/>
              <w:jc w:val="both"/>
              <w:rPr>
                <w:rFonts w:ascii="Arial" w:eastAsia="Calibri" w:hAnsi="Arial" w:cs="Arial"/>
                <w:color w:val="000000"/>
                <w:lang w:val="sr-Latn-ME"/>
              </w:rPr>
            </w:pPr>
            <w:r w:rsidRPr="007455C9">
              <w:rPr>
                <w:rFonts w:ascii="Arial" w:eastAsia="Calibri" w:hAnsi="Arial" w:cs="Arial"/>
                <w:color w:val="000000"/>
                <w:lang w:val="sr-Latn-ME"/>
              </w:rPr>
              <w:t>označavanja, roka upotrebe i dr...</w:t>
            </w:r>
          </w:p>
        </w:tc>
        <w:tc>
          <w:tcPr>
            <w:tcW w:w="2055" w:type="dxa"/>
          </w:tcPr>
          <w:p w:rsidR="00093DA6"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Jedinica mjere</w:t>
            </w:r>
          </w:p>
        </w:tc>
        <w:tc>
          <w:tcPr>
            <w:tcW w:w="1755" w:type="dxa"/>
          </w:tcPr>
          <w:p w:rsidR="00093DA6" w:rsidRDefault="00093DA6" w:rsidP="002B0335">
            <w:pPr>
              <w:spacing w:after="160" w:line="259" w:lineRule="auto"/>
              <w:contextualSpacing/>
              <w:jc w:val="both"/>
              <w:rPr>
                <w:rFonts w:ascii="Arial" w:eastAsia="Calibri" w:hAnsi="Arial" w:cs="Arial"/>
                <w:color w:val="000000"/>
                <w:lang w:val="sr-Latn-ME"/>
              </w:rPr>
            </w:pPr>
          </w:p>
          <w:p w:rsidR="00093DA6"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Količina</w:t>
            </w:r>
          </w:p>
        </w:tc>
      </w:tr>
      <w:tr w:rsidR="00093DA6" w:rsidTr="00093DA6">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Before w:val="1"/>
          <w:trHeight w:val="450"/>
        </w:trPr>
        <w:tc>
          <w:tcPr>
            <w:tcW w:w="705" w:type="dxa"/>
            <w:gridSpan w:val="5"/>
          </w:tcPr>
          <w:p w:rsidR="00093DA6"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1</w:t>
            </w:r>
          </w:p>
        </w:tc>
        <w:tc>
          <w:tcPr>
            <w:tcW w:w="2580" w:type="dxa"/>
          </w:tcPr>
          <w:p w:rsidR="00093DA6" w:rsidRDefault="00093DA6" w:rsidP="002B0335">
            <w:pPr>
              <w:spacing w:after="160" w:line="259" w:lineRule="auto"/>
              <w:contextualSpacing/>
              <w:jc w:val="both"/>
              <w:rPr>
                <w:rFonts w:ascii="Arial" w:eastAsia="Calibri" w:hAnsi="Arial" w:cs="Arial"/>
                <w:color w:val="000000"/>
                <w:lang w:val="sr-Latn-ME"/>
              </w:rPr>
            </w:pPr>
            <w:r w:rsidRPr="00A72B79">
              <w:rPr>
                <w:rFonts w:ascii="Arial" w:eastAsia="Calibri" w:hAnsi="Arial" w:cs="Arial"/>
                <w:color w:val="000000"/>
                <w:lang w:val="sr-Latn-ME"/>
              </w:rPr>
              <w:t>Usluge razvoja e-servisa Fonda</w:t>
            </w:r>
          </w:p>
        </w:tc>
        <w:tc>
          <w:tcPr>
            <w:tcW w:w="2055" w:type="dxa"/>
          </w:tcPr>
          <w:p w:rsidR="00093DA6" w:rsidRDefault="00093DA6" w:rsidP="002B0335">
            <w:pPr>
              <w:spacing w:after="160" w:line="259" w:lineRule="auto"/>
              <w:contextualSpacing/>
              <w:jc w:val="both"/>
              <w:rPr>
                <w:rFonts w:ascii="Arial" w:eastAsia="Calibri" w:hAnsi="Arial" w:cs="Arial"/>
                <w:color w:val="000000"/>
                <w:lang w:val="sr-Latn-ME"/>
              </w:rPr>
            </w:pPr>
            <w:r w:rsidRPr="007455C9">
              <w:rPr>
                <w:rFonts w:ascii="Arial" w:eastAsia="Calibri" w:hAnsi="Arial" w:cs="Arial"/>
                <w:color w:val="000000"/>
                <w:lang w:val="sr-Latn-ME"/>
              </w:rPr>
              <w:t>Detaljan opis dat ispod tabele</w:t>
            </w:r>
          </w:p>
        </w:tc>
        <w:tc>
          <w:tcPr>
            <w:tcW w:w="2055" w:type="dxa"/>
          </w:tcPr>
          <w:p w:rsidR="00093DA6"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komplet</w:t>
            </w:r>
          </w:p>
        </w:tc>
        <w:tc>
          <w:tcPr>
            <w:tcW w:w="1755" w:type="dxa"/>
          </w:tcPr>
          <w:p w:rsidR="00093DA6" w:rsidRDefault="00093DA6" w:rsidP="002B0335">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1</w:t>
            </w:r>
          </w:p>
        </w:tc>
      </w:tr>
    </w:tbl>
    <w:p w:rsidR="00093DA6" w:rsidRPr="00D93A4E" w:rsidRDefault="00093DA6" w:rsidP="00093DA6">
      <w:pPr>
        <w:contextualSpacing/>
        <w:jc w:val="center"/>
        <w:rPr>
          <w:rFonts w:ascii="Times New Roman" w:eastAsia="Calibri" w:hAnsi="Times New Roman" w:cs="Times New Roman"/>
          <w:color w:val="000000"/>
          <w:sz w:val="40"/>
          <w:szCs w:val="40"/>
          <w:lang w:val="sr-Latn-ME" w:eastAsia="en-GB"/>
        </w:rPr>
      </w:pPr>
      <w:r w:rsidRPr="00D93A4E">
        <w:rPr>
          <w:rFonts w:ascii="Times New Roman" w:eastAsia="Calibri" w:hAnsi="Times New Roman" w:cs="Times New Roman"/>
          <w:color w:val="000000"/>
          <w:sz w:val="40"/>
          <w:szCs w:val="40"/>
          <w:lang w:val="sr-Latn-ME" w:eastAsia="en-GB"/>
        </w:rPr>
        <w:t>TEHNIČKA SPECIFIKACIJA PREDMETA JAVNE NABAVKE</w:t>
      </w:r>
    </w:p>
    <w:p w:rsidR="00093DA6" w:rsidRPr="00D93A4E" w:rsidRDefault="00093DA6" w:rsidP="00093DA6">
      <w:pPr>
        <w:contextualSpacing/>
        <w:jc w:val="both"/>
        <w:rPr>
          <w:rFonts w:ascii="Times New Roman" w:eastAsia="Calibri" w:hAnsi="Times New Roman" w:cs="Times New Roman"/>
          <w:color w:val="000000"/>
          <w:kern w:val="2"/>
          <w:lang w:val="sr-Latn-ME"/>
          <w14:ligatures w14:val="standardContextual"/>
        </w:rPr>
      </w:pPr>
    </w:p>
    <w:p w:rsidR="00093DA6" w:rsidRDefault="00093DA6" w:rsidP="00093DA6">
      <w:pPr>
        <w:numPr>
          <w:ilvl w:val="0"/>
          <w:numId w:val="3"/>
        </w:numPr>
        <w:spacing w:after="0" w:line="240" w:lineRule="auto"/>
        <w:contextualSpacing/>
        <w:rPr>
          <w:rFonts w:ascii="Times New Roman" w:eastAsia="Times New Roman" w:hAnsi="Times New Roman" w:cs="Times New Roman"/>
          <w:sz w:val="40"/>
          <w:szCs w:val="40"/>
          <w:lang w:eastAsia="en-GB"/>
        </w:rPr>
      </w:pPr>
      <w:r>
        <w:rPr>
          <w:rFonts w:ascii="Times New Roman" w:eastAsia="Times New Roman" w:hAnsi="Times New Roman" w:cs="Times New Roman"/>
          <w:sz w:val="40"/>
          <w:szCs w:val="40"/>
          <w:lang w:eastAsia="en-GB"/>
        </w:rPr>
        <w:t>UVOD</w:t>
      </w:r>
    </w:p>
    <w:p w:rsidR="00093DA6" w:rsidRPr="00D93A4E" w:rsidRDefault="00093DA6" w:rsidP="00093DA6">
      <w:pPr>
        <w:spacing w:after="0" w:line="240" w:lineRule="auto"/>
        <w:ind w:left="360"/>
        <w:contextualSpacing/>
        <w:rPr>
          <w:rFonts w:ascii="Times New Roman" w:eastAsia="Times New Roman" w:hAnsi="Times New Roman" w:cs="Times New Roman"/>
          <w:sz w:val="40"/>
          <w:szCs w:val="40"/>
          <w:lang w:eastAsia="en-GB"/>
        </w:rPr>
      </w:pPr>
      <w:r w:rsidRPr="00D93A4E">
        <w:rPr>
          <w:rFonts w:ascii="Times New Roman" w:eastAsia="Times New Roman" w:hAnsi="Times New Roman" w:cs="Times New Roman"/>
          <w:sz w:val="40"/>
          <w:szCs w:val="40"/>
          <w:lang w:eastAsia="en-GB"/>
        </w:rPr>
        <w:t>POSTOJEĆI INFORMACIONI SISTEM F</w:t>
      </w:r>
      <w:r>
        <w:rPr>
          <w:rFonts w:ascii="Times New Roman" w:eastAsia="Times New Roman" w:hAnsi="Times New Roman" w:cs="Times New Roman"/>
          <w:sz w:val="40"/>
          <w:szCs w:val="40"/>
          <w:lang w:eastAsia="en-GB"/>
        </w:rPr>
        <w:t xml:space="preserve">ONDA </w:t>
      </w:r>
      <w:r w:rsidRPr="00D93A4E">
        <w:rPr>
          <w:rFonts w:ascii="Times New Roman" w:eastAsia="Times New Roman" w:hAnsi="Times New Roman" w:cs="Times New Roman"/>
          <w:sz w:val="40"/>
          <w:szCs w:val="40"/>
          <w:lang w:eastAsia="en-GB"/>
        </w:rPr>
        <w:t>PIO I IZVORI PODATAKA</w:t>
      </w:r>
      <w:r>
        <w:rPr>
          <w:rFonts w:ascii="Times New Roman" w:eastAsia="Times New Roman" w:hAnsi="Times New Roman" w:cs="Times New Roman"/>
          <w:sz w:val="40"/>
          <w:szCs w:val="40"/>
          <w:lang w:eastAsia="en-GB"/>
        </w:rPr>
        <w:t xml:space="preserve"> </w:t>
      </w:r>
    </w:p>
    <w:p w:rsidR="00093DA6" w:rsidRPr="00D93A4E" w:rsidRDefault="00093DA6" w:rsidP="00093DA6">
      <w:pPr>
        <w:contextualSpacing/>
        <w:jc w:val="both"/>
        <w:rPr>
          <w:rFonts w:ascii="Times New Roman" w:eastAsia="Times New Roman" w:hAnsi="Times New Roman" w:cs="Times New Roman"/>
          <w:highlight w:val="red"/>
          <w:lang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Postojeći informacioni sistem Fonda PIO izgrađen je na ORACLE platformi korišćenjem Oracle Developer Suite razvojnih alata. Projekat je uveden u produkcionu upotrebu tokom 2009 godine. Glavni moduli su sljedeći:</w:t>
      </w:r>
    </w:p>
    <w:p w:rsidR="00093DA6" w:rsidRPr="00D93A4E" w:rsidRDefault="00093DA6" w:rsidP="00093DA6">
      <w:pPr>
        <w:numPr>
          <w:ilvl w:val="0"/>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CORE aplikacije</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Aktivni osiguranici i obveznici uplata doprinosa</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Kancelarijsko poslovanje i ostvarivanje prava</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Izračun visine prava:</w:t>
      </w:r>
    </w:p>
    <w:p w:rsidR="00093DA6" w:rsidRPr="00D93A4E" w:rsidRDefault="00093DA6" w:rsidP="00093DA6">
      <w:pPr>
        <w:numPr>
          <w:ilvl w:val="2"/>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 novom zakonu o PIO (od 2004. godine)</w:t>
      </w:r>
    </w:p>
    <w:p w:rsidR="00093DA6" w:rsidRPr="00D93A4E" w:rsidRDefault="00093DA6" w:rsidP="00093DA6">
      <w:pPr>
        <w:numPr>
          <w:ilvl w:val="2"/>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 starom zakonu o PIO (do 2004. godine)</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Isplata prava</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Praćenje i analiza uplata za doprinose</w:t>
      </w:r>
    </w:p>
    <w:p w:rsidR="00093DA6" w:rsidRPr="00D93A4E" w:rsidRDefault="00093DA6" w:rsidP="00093DA6">
      <w:pPr>
        <w:numPr>
          <w:ilvl w:val="0"/>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Poslovni aplikativni softver</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Finansijsko poslovanje</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Obračun zarada</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Kadrovska služba</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Osnovna sredstva </w:t>
      </w:r>
    </w:p>
    <w:p w:rsidR="00093DA6" w:rsidRPr="00D93A4E" w:rsidRDefault="00093DA6" w:rsidP="00093DA6">
      <w:pPr>
        <w:numPr>
          <w:ilvl w:val="1"/>
          <w:numId w:val="12"/>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Ugovori o djelu.</w:t>
      </w:r>
    </w:p>
    <w:p w:rsidR="00093DA6" w:rsidRPr="00D93A4E" w:rsidRDefault="00093DA6" w:rsidP="00093DA6">
      <w:pPr>
        <w:contextualSpacing/>
        <w:jc w:val="both"/>
        <w:rPr>
          <w:rFonts w:ascii="Times New Roman" w:eastAsia="Calibri" w:hAnsi="Times New Roman" w:cs="Times New Roman"/>
          <w:color w:val="000000"/>
          <w:highlight w:val="yellow"/>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Sav izvorni kod aplikacija je vlasništvo Fonda.</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Postojeći aplikativni softver je izgrađen korišćenjem razvojnih alata:</w:t>
      </w:r>
    </w:p>
    <w:p w:rsidR="00093DA6" w:rsidRPr="00D93A4E" w:rsidRDefault="00093DA6" w:rsidP="00093DA6">
      <w:pPr>
        <w:numPr>
          <w:ilvl w:val="0"/>
          <w:numId w:val="13"/>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ORACLE Developer Suite 10g – Forms &amp; Reports builder</w:t>
      </w:r>
    </w:p>
    <w:p w:rsidR="00093DA6" w:rsidRPr="00D93A4E" w:rsidRDefault="00093DA6" w:rsidP="00093DA6">
      <w:pPr>
        <w:numPr>
          <w:ilvl w:val="0"/>
          <w:numId w:val="13"/>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ORACLE Database 11g.</w:t>
      </w:r>
    </w:p>
    <w:p w:rsidR="00093DA6" w:rsidRPr="00D93A4E" w:rsidRDefault="00093DA6" w:rsidP="00093DA6">
      <w:pPr>
        <w:contextualSpacing/>
        <w:jc w:val="both"/>
        <w:rPr>
          <w:rFonts w:ascii="Times New Roman" w:eastAsia="Calibri" w:hAnsi="Times New Roman" w:cs="Times New Roman"/>
          <w:color w:val="000000"/>
          <w:highlight w:val="yellow"/>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Detaljna projektna dokumentacija se sastoji od sljedećih segmenata:</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Projektno rješenje CORE aplikacija</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Isplata</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Prava (Kancelarijsko poslovanje, izračun visine prava po starom i novom zakonu)</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Osiguranici</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Fonda (podaci sa starog sistema, prije 2009 godine, u izvornom obliku)</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Arhiva isplata (arhiva isplatnih podataka od 1991 do 2009 godine)</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Dop (Evidencija uplata za doprinose preko ZOP-a i Uprave prihoda)</w:t>
      </w:r>
    </w:p>
    <w:p w:rsidR="00093DA6" w:rsidRPr="00D93A4E" w:rsidRDefault="00093DA6" w:rsidP="00093DA6">
      <w:pPr>
        <w:numPr>
          <w:ilvl w:val="0"/>
          <w:numId w:val="14"/>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Projekat izvedenog stanja sistemskog dijela.</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Za aplikativnu komponentu iskorišćen je Oracle Application Server 10g R2 Forms&amp;Reports services. Za baznu komponentu je iskorišćena Oracle 19c baza podataka koja je instalirana kao RAC (Real Application Cluster) baza.</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Operativni sistem na aplikativim serverima je: </w:t>
      </w:r>
      <w:proofErr w:type="gramStart"/>
      <w:r w:rsidRPr="00D93A4E">
        <w:rPr>
          <w:rFonts w:ascii="Times New Roman" w:eastAsia="Times New Roman" w:hAnsi="Times New Roman" w:cs="Times New Roman"/>
          <w:lang w:eastAsia="en-GB"/>
        </w:rPr>
        <w:t>RedHat  Enterprise</w:t>
      </w:r>
      <w:proofErr w:type="gramEnd"/>
      <w:r w:rsidRPr="00D93A4E">
        <w:rPr>
          <w:rFonts w:ascii="Times New Roman" w:eastAsia="Times New Roman" w:hAnsi="Times New Roman" w:cs="Times New Roman"/>
          <w:lang w:eastAsia="en-GB"/>
        </w:rPr>
        <w:t xml:space="preserve"> Linux 5.3 x64.</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Operativni sistem na baznim serverima je: </w:t>
      </w:r>
      <w:proofErr w:type="gramStart"/>
      <w:r w:rsidRPr="00D93A4E">
        <w:rPr>
          <w:rFonts w:ascii="Times New Roman" w:eastAsia="Times New Roman" w:hAnsi="Times New Roman" w:cs="Times New Roman"/>
          <w:lang w:eastAsia="en-GB"/>
        </w:rPr>
        <w:t>RedHat  Enterprise</w:t>
      </w:r>
      <w:proofErr w:type="gramEnd"/>
      <w:r w:rsidRPr="00D93A4E">
        <w:rPr>
          <w:rFonts w:ascii="Times New Roman" w:eastAsia="Times New Roman" w:hAnsi="Times New Roman" w:cs="Times New Roman"/>
          <w:lang w:eastAsia="en-GB"/>
        </w:rPr>
        <w:t xml:space="preserve"> Linux 5.5 x64.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Aplikativni Serveri</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Postavka aplikativnih servera je izabrana u skladu sa dva osnovna zahtjeva koje aplikativni softver treba da ispuni:</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Pouzdanost</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Dobre performance</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Za ispunjenje navedenih uslova iskorišćena su tri servera sa sledećim karakteristikama:</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Server</w:t>
      </w:r>
      <w:r w:rsidRPr="00D93A4E">
        <w:rPr>
          <w:rFonts w:ascii="Times New Roman" w:eastAsia="Calibri" w:hAnsi="Times New Roman" w:cs="Times New Roman"/>
          <w:color w:val="000000"/>
          <w:lang w:val="sr-Latn-ME" w:eastAsia="en-GB"/>
        </w:rPr>
        <w:tab/>
        <w:t>Br. Procesora</w:t>
      </w:r>
      <w:r w:rsidRPr="00D93A4E">
        <w:rPr>
          <w:rFonts w:ascii="Times New Roman" w:eastAsia="Calibri" w:hAnsi="Times New Roman" w:cs="Times New Roman"/>
          <w:color w:val="000000"/>
          <w:lang w:val="sr-Latn-ME" w:eastAsia="en-GB"/>
        </w:rPr>
        <w:tab/>
        <w:t>RAM Memorija</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APP1</w:t>
      </w:r>
      <w:r w:rsidRPr="00D93A4E">
        <w:rPr>
          <w:rFonts w:ascii="Times New Roman" w:eastAsia="Calibri" w:hAnsi="Times New Roman" w:cs="Times New Roman"/>
          <w:color w:val="000000"/>
          <w:lang w:val="sr-Latn-ME" w:eastAsia="en-GB"/>
        </w:rPr>
        <w:tab/>
        <w:t>2</w:t>
      </w:r>
      <w:r w:rsidRPr="00D93A4E">
        <w:rPr>
          <w:rFonts w:ascii="Times New Roman" w:eastAsia="Calibri" w:hAnsi="Times New Roman" w:cs="Times New Roman"/>
          <w:color w:val="000000"/>
          <w:lang w:val="sr-Latn-ME" w:eastAsia="en-GB"/>
        </w:rPr>
        <w:tab/>
        <w:t>6GB</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APP2</w:t>
      </w:r>
      <w:r w:rsidRPr="00D93A4E">
        <w:rPr>
          <w:rFonts w:ascii="Times New Roman" w:eastAsia="Calibri" w:hAnsi="Times New Roman" w:cs="Times New Roman"/>
          <w:color w:val="000000"/>
          <w:lang w:val="sr-Latn-ME" w:eastAsia="en-GB"/>
        </w:rPr>
        <w:tab/>
        <w:t>2</w:t>
      </w:r>
      <w:r w:rsidRPr="00D93A4E">
        <w:rPr>
          <w:rFonts w:ascii="Times New Roman" w:eastAsia="Calibri" w:hAnsi="Times New Roman" w:cs="Times New Roman"/>
          <w:color w:val="000000"/>
          <w:lang w:val="sr-Latn-ME" w:eastAsia="en-GB"/>
        </w:rPr>
        <w:tab/>
        <w:t>6GB</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APP3</w:t>
      </w:r>
      <w:r w:rsidRPr="00D93A4E">
        <w:rPr>
          <w:rFonts w:ascii="Times New Roman" w:eastAsia="Calibri" w:hAnsi="Times New Roman" w:cs="Times New Roman"/>
          <w:color w:val="000000"/>
          <w:lang w:val="sr-Latn-ME" w:eastAsia="en-GB"/>
        </w:rPr>
        <w:tab/>
        <w:t>2</w:t>
      </w:r>
      <w:r w:rsidRPr="00D93A4E">
        <w:rPr>
          <w:rFonts w:ascii="Times New Roman" w:eastAsia="Calibri" w:hAnsi="Times New Roman" w:cs="Times New Roman"/>
          <w:color w:val="000000"/>
          <w:lang w:val="sr-Latn-ME" w:eastAsia="en-GB"/>
        </w:rPr>
        <w:tab/>
        <w:t>6GB</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REP1</w:t>
      </w:r>
      <w:r w:rsidRPr="00D93A4E">
        <w:rPr>
          <w:rFonts w:ascii="Times New Roman" w:eastAsia="Calibri" w:hAnsi="Times New Roman" w:cs="Times New Roman"/>
          <w:color w:val="000000"/>
          <w:lang w:val="sr-Latn-ME" w:eastAsia="en-GB"/>
        </w:rPr>
        <w:tab/>
        <w:t>1</w:t>
      </w:r>
      <w:r w:rsidRPr="00D93A4E">
        <w:rPr>
          <w:rFonts w:ascii="Times New Roman" w:eastAsia="Calibri" w:hAnsi="Times New Roman" w:cs="Times New Roman"/>
          <w:color w:val="000000"/>
          <w:lang w:val="sr-Latn-ME" w:eastAsia="en-GB"/>
        </w:rPr>
        <w:tab/>
        <w:t>2GB</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Na serverima APP1 i APP2 je aktivna Forms instanca Oracle Application Server-a 10g R2 (10.2.2.0) i to su Aplikativni serveri u sistemu. Korisnici na sistemu koriste Aplikativne servere za rad sa aplikacijom. Na </w:t>
      </w:r>
      <w:r w:rsidRPr="00D93A4E">
        <w:rPr>
          <w:rFonts w:ascii="Times New Roman" w:eastAsia="Calibri" w:hAnsi="Times New Roman" w:cs="Times New Roman"/>
          <w:color w:val="000000"/>
          <w:lang w:val="sr-Latn-ME" w:eastAsia="en-GB"/>
        </w:rPr>
        <w:lastRenderedPageBreak/>
        <w:t>serveru REP1 je aktivna Reports instance Oracle Application Server-a 10g R2 (10.2.2.0) i to je Report server u sistemu. Korisnici Report server koriste za izradu izvještaja iz aplikacije.</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Bazni Serveri</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Da bi se postigao jedan od bitnijih uslova za High Availability baznog sloja, tj. da bi se dobilo na pouzdanosti, dostupnosti, raspoloživosti baznog sloja, sistema uopšte, na Baznim serverima je instaliran Oracle Database 11gR2 RAC software sa PatchSet-om 3 (10.2.0.4), tj. na lokalnim diskovima su instalirani Oracle Clusterware i RAC database software, dok su shared storage diskovi sa Storage-a iskorišćeni za instalaciju Clusterware repozitorijuma i Oracle Database fajlova, redolog, control fajlova, kao i fajlova za backup i restore. RAC se sastoji iz dva nodea DB1 i DB2.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Na shared diskovima za Clusterware je podignut OCFS2 fajl sistem, dok su diskovi za bazne fajlove kreirani pomoću ASMLIB (Automatic Storage Management) paketa.</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Hardverske karakteristike baznih servera su:</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Server</w:t>
      </w:r>
      <w:r w:rsidRPr="00D93A4E">
        <w:rPr>
          <w:rFonts w:ascii="Times New Roman" w:eastAsia="Calibri" w:hAnsi="Times New Roman" w:cs="Times New Roman"/>
          <w:color w:val="000000"/>
          <w:lang w:val="sr-Latn-ME" w:eastAsia="en-GB"/>
        </w:rPr>
        <w:tab/>
        <w:t>Br. Procesora</w:t>
      </w:r>
      <w:r w:rsidRPr="00D93A4E">
        <w:rPr>
          <w:rFonts w:ascii="Times New Roman" w:eastAsia="Calibri" w:hAnsi="Times New Roman" w:cs="Times New Roman"/>
          <w:color w:val="000000"/>
          <w:lang w:val="sr-Latn-ME" w:eastAsia="en-GB"/>
        </w:rPr>
        <w:tab/>
        <w:t>RAM Memorija</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DB1</w:t>
      </w:r>
      <w:r w:rsidRPr="00D93A4E">
        <w:rPr>
          <w:rFonts w:ascii="Times New Roman" w:eastAsia="Calibri" w:hAnsi="Times New Roman" w:cs="Times New Roman"/>
          <w:color w:val="000000"/>
          <w:lang w:val="sr-Latn-ME" w:eastAsia="en-GB"/>
        </w:rPr>
        <w:tab/>
        <w:t>4</w:t>
      </w:r>
      <w:r w:rsidRPr="00D93A4E">
        <w:rPr>
          <w:rFonts w:ascii="Times New Roman" w:eastAsia="Calibri" w:hAnsi="Times New Roman" w:cs="Times New Roman"/>
          <w:color w:val="000000"/>
          <w:lang w:val="sr-Latn-ME" w:eastAsia="en-GB"/>
        </w:rPr>
        <w:tab/>
        <w:t>16GB</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DB2</w:t>
      </w:r>
      <w:r w:rsidRPr="00D93A4E">
        <w:rPr>
          <w:rFonts w:ascii="Times New Roman" w:eastAsia="Calibri" w:hAnsi="Times New Roman" w:cs="Times New Roman"/>
          <w:color w:val="000000"/>
          <w:lang w:val="sr-Latn-ME" w:eastAsia="en-GB"/>
        </w:rPr>
        <w:tab/>
        <w:t>4</w:t>
      </w:r>
      <w:r w:rsidRPr="00D93A4E">
        <w:rPr>
          <w:rFonts w:ascii="Times New Roman" w:eastAsia="Calibri" w:hAnsi="Times New Roman" w:cs="Times New Roman"/>
          <w:color w:val="000000"/>
          <w:lang w:val="sr-Latn-ME" w:eastAsia="en-GB"/>
        </w:rPr>
        <w:tab/>
        <w:t>16GB</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Na oba servera podignute su ASM instance, ASM1, tj ASM2. Baza je kreirana i instance podignute na oba servera (PIO1,PIO2).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Baza je kreirana u ARCHIVELOG modu.</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Logička šema baznih servera je prikazana na slici: </w:t>
      </w:r>
    </w:p>
    <w:p w:rsidR="00093DA6" w:rsidRPr="00D93A4E" w:rsidRDefault="00093DA6" w:rsidP="00093DA6">
      <w:pPr>
        <w:contextualSpacing/>
        <w:jc w:val="center"/>
        <w:rPr>
          <w:rFonts w:ascii="Times New Roman" w:eastAsia="Calibri" w:hAnsi="Times New Roman" w:cs="Times New Roman"/>
          <w:color w:val="000000"/>
          <w:lang w:val="sr-Latn-ME" w:eastAsia="en-GB"/>
        </w:rPr>
      </w:pPr>
      <w:r w:rsidRPr="00D93A4E">
        <w:rPr>
          <w:rFonts w:ascii="Times New Roman" w:eastAsia="Times New Roman" w:hAnsi="Times New Roman" w:cs="Times New Roman"/>
          <w:noProof/>
          <w:sz w:val="24"/>
          <w:szCs w:val="24"/>
          <w:u w:val="single"/>
          <w:lang w:eastAsia="en-GB"/>
          <w14:ligatures w14:val="standardContextual"/>
        </w:rPr>
        <w:object w:dxaOrig="7866" w:dyaOrig="6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42.5pt;mso-width-percent:0;mso-height-percent:0;mso-width-percent:0;mso-height-percent:0" o:ole="" o:allowoverlap="f" filled="t">
            <v:fill color2="black"/>
            <v:imagedata r:id="rId5" o:title=""/>
          </v:shape>
          <o:OLEObject Type="Embed" ProgID="Msxml2.SAXXMLReader.5.0" ShapeID="_x0000_i1025" DrawAspect="Content" ObjectID="_1821949020" r:id="rId6"/>
        </w:objec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Arhitektura baze sa RAC i ASM opcijom je, takođe, prikazana na slici:</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center"/>
        <w:rPr>
          <w:rFonts w:ascii="Times New Roman" w:eastAsia="Calibri" w:hAnsi="Times New Roman" w:cs="Times New Roman"/>
          <w:color w:val="000000"/>
          <w:lang w:val="sr-Latn-ME" w:eastAsia="en-GB"/>
        </w:rPr>
      </w:pPr>
      <w:r w:rsidRPr="00D93A4E">
        <w:rPr>
          <w:rFonts w:ascii="Times New Roman" w:eastAsia="Calibri" w:hAnsi="Times New Roman" w:cs="Times New Roman"/>
          <w:noProof/>
          <w:color w:val="000000"/>
        </w:rPr>
        <w:lastRenderedPageBreak/>
        <w:drawing>
          <wp:inline distT="0" distB="0" distL="0" distR="0" wp14:anchorId="55CD8060" wp14:editId="47C2C04F">
            <wp:extent cx="1775460" cy="176743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2308" cy="1774255"/>
                    </a:xfrm>
                    <a:prstGeom prst="rect">
                      <a:avLst/>
                    </a:prstGeom>
                    <a:noFill/>
                  </pic:spPr>
                </pic:pic>
              </a:graphicData>
            </a:graphic>
          </wp:inline>
        </w:drawing>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Testni server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Pored produkcionog postoji i testni sistem koji služi za testiranje novih modula u aplikaciji, prije njihove primjene na produkcioni sistem. Testni sistem se sastoji od jednog servera na kojem je instalirana Oracle 11g R2 baza podataka i Oracle 11g R2 Application Server Forms&amp;Reports Service.</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Šematski prikaz testnog sistema je dat na sledećoj slici:</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center"/>
        <w:rPr>
          <w:rFonts w:ascii="Times New Roman" w:eastAsia="Calibri" w:hAnsi="Times New Roman" w:cs="Times New Roman"/>
          <w:color w:val="000000"/>
          <w:lang w:val="sr-Latn-ME" w:eastAsia="en-GB"/>
        </w:rPr>
      </w:pPr>
      <w:r w:rsidRPr="00D93A4E">
        <w:rPr>
          <w:rFonts w:ascii="Times New Roman" w:eastAsia="Calibri" w:hAnsi="Times New Roman" w:cs="Times New Roman"/>
          <w:noProof/>
          <w:color w:val="000000"/>
        </w:rPr>
        <w:drawing>
          <wp:inline distT="0" distB="0" distL="0" distR="0" wp14:anchorId="155883F3" wp14:editId="7FCAAE4E">
            <wp:extent cx="3855720" cy="12010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7506" cy="1210963"/>
                    </a:xfrm>
                    <a:prstGeom prst="rect">
                      <a:avLst/>
                    </a:prstGeom>
                    <a:noFill/>
                  </pic:spPr>
                </pic:pic>
              </a:graphicData>
            </a:graphic>
          </wp:inline>
        </w:drawing>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Sinhronizacija testnog sistema sa produkcionim sistemom se obavlja minimum jednom mjesečno. Sinhronizuju se podaci u bazama i aplikacija (objekti, forme i izvještaji).</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U Fondu PIO postoji i rezervni oprema, koji može poslužiti kao backup sistem u slučaju pada i nedostupnosti produkcionog sistema. Obaveza ponuđača je i održavanje i unaprijeđivanje sistema sinhronizacije podataka između produkcionog i backup sistema.</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U okviru projekta održavanja interfejsa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Poreskom upravom podržan je novi projekat poreske uprave – Objedinjena naplata poreza i doprinosa (UCG). Izvršeno je povezivanje Fonda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Poreskom upravom u dijelu razmjene podataka o registraciji osiguranika i obveznika uplata doprinosa.</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Fond PIO je u ovom trenutku povezan putem web servisa i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CRS. Kako Fond PIO predstavlja dio državne uprave i svom posjedu ima podatke koji su neophodni nekim drugim državnim organima to je očekivano da se, u zavisnosti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razvoja IT sistema ovih državnih organa, vrši razmjena podataka elektronski putem web servisa.</w:t>
      </w:r>
    </w:p>
    <w:p w:rsidR="00093DA6" w:rsidRPr="00D93A4E" w:rsidRDefault="00093DA6" w:rsidP="00093DA6">
      <w:pPr>
        <w:numPr>
          <w:ilvl w:val="0"/>
          <w:numId w:val="3"/>
        </w:numPr>
        <w:spacing w:after="0" w:line="240" w:lineRule="auto"/>
        <w:contextualSpacing/>
        <w:rPr>
          <w:rFonts w:ascii="Times New Roman" w:eastAsia="Aptos" w:hAnsi="Times New Roman" w:cs="Times New Roman"/>
          <w:sz w:val="40"/>
          <w:szCs w:val="40"/>
          <w:lang w:eastAsia="en-GB"/>
        </w:rPr>
      </w:pPr>
      <w:r w:rsidRPr="00D93A4E">
        <w:rPr>
          <w:rFonts w:ascii="Times New Roman" w:eastAsia="Aptos" w:hAnsi="Times New Roman" w:cs="Times New Roman"/>
          <w:sz w:val="40"/>
          <w:szCs w:val="40"/>
          <w:lang w:eastAsia="en-GB"/>
        </w:rPr>
        <w:t>OPIS PREDMETA JAVNE NABAVKE</w:t>
      </w:r>
    </w:p>
    <w:p w:rsidR="00093DA6" w:rsidRPr="001F35B7" w:rsidRDefault="00093DA6" w:rsidP="00093DA6">
      <w:pPr>
        <w:spacing w:before="100" w:beforeAutospacing="1" w:after="100" w:afterAutospacing="1" w:line="240" w:lineRule="auto"/>
        <w:jc w:val="both"/>
        <w:rPr>
          <w:rFonts w:ascii="Times New Roman" w:eastAsia="Times New Roman" w:hAnsi="Times New Roman" w:cs="Times New Roman"/>
          <w:b/>
          <w:color w:val="C45911" w:themeColor="accent2" w:themeShade="BF"/>
          <w:lang w:eastAsia="en-GB"/>
        </w:rPr>
      </w:pPr>
      <w:r w:rsidRPr="00D31C38">
        <w:rPr>
          <w:rFonts w:ascii="Times New Roman" w:eastAsia="Times New Roman" w:hAnsi="Times New Roman" w:cs="Times New Roman"/>
          <w:b/>
          <w:lang w:eastAsia="en-GB"/>
        </w:rPr>
        <w:lastRenderedPageBreak/>
        <w:t xml:space="preserve">Predmet ove nabavke je razvoj javnog portala za građane Crne Gore koji </w:t>
      </w:r>
      <w:proofErr w:type="gramStart"/>
      <w:r w:rsidRPr="00D31C38">
        <w:rPr>
          <w:rFonts w:ascii="Times New Roman" w:eastAsia="Times New Roman" w:hAnsi="Times New Roman" w:cs="Times New Roman"/>
          <w:b/>
          <w:lang w:eastAsia="en-GB"/>
        </w:rPr>
        <w:t>će</w:t>
      </w:r>
      <w:proofErr w:type="gramEnd"/>
      <w:r w:rsidRPr="00D31C38">
        <w:rPr>
          <w:rFonts w:ascii="Times New Roman" w:eastAsia="Times New Roman" w:hAnsi="Times New Roman" w:cs="Times New Roman"/>
          <w:b/>
          <w:lang w:eastAsia="en-GB"/>
        </w:rPr>
        <w:t xml:space="preserve"> omogućiti siguran, pouzdan i transparentan elektronski uvid u podatke iz internog informacionog sistema Fonda za penzijsko i invalidsko osiguranje Crne Gore (u daljem tekstu: FPIO). Portal mora biti razvijen u skladu </w:t>
      </w:r>
      <w:proofErr w:type="gramStart"/>
      <w:r w:rsidRPr="00D31C38">
        <w:rPr>
          <w:rFonts w:ascii="Times New Roman" w:eastAsia="Times New Roman" w:hAnsi="Times New Roman" w:cs="Times New Roman"/>
          <w:b/>
          <w:lang w:eastAsia="en-GB"/>
        </w:rPr>
        <w:t>sa</w:t>
      </w:r>
      <w:proofErr w:type="gramEnd"/>
      <w:r w:rsidRPr="00D31C38">
        <w:rPr>
          <w:rFonts w:ascii="Times New Roman" w:eastAsia="Times New Roman" w:hAnsi="Times New Roman" w:cs="Times New Roman"/>
          <w:b/>
          <w:lang w:eastAsia="en-GB"/>
        </w:rPr>
        <w:t xml:space="preserve"> savremenim tehnološkim principima i standardima i baziran na arhitekturi koja omogućava visoku dostupnost, sigurnost i interoperabilnost sa drugim informacionim sistemima javne uprave.</w:t>
      </w:r>
      <w:r>
        <w:rPr>
          <w:rFonts w:ascii="Times New Roman" w:eastAsia="Times New Roman" w:hAnsi="Times New Roman" w:cs="Times New Roman"/>
          <w:b/>
          <w:lang w:eastAsia="en-GB"/>
        </w:rPr>
        <w:t xml:space="preserve"> </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Predmet javne nabavke su:</w:t>
      </w:r>
    </w:p>
    <w:p w:rsidR="00093DA6" w:rsidRPr="00D93A4E" w:rsidRDefault="00093DA6" w:rsidP="00093DA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Nabavka perpetual licenci, instalacija I kofiguracija za integracionu platformu.</w:t>
      </w:r>
    </w:p>
    <w:p w:rsidR="00093DA6" w:rsidRPr="00D93A4E" w:rsidRDefault="00093DA6" w:rsidP="00093DA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Implementacija do pet (5) elektronskih servisa (identifikuje, definiše ih I specificira Fond penzijskog I invalidskog osiguranja tokom funkcionalne analize).</w:t>
      </w:r>
    </w:p>
    <w:p w:rsidR="00093DA6" w:rsidRPr="00D93A4E" w:rsidRDefault="00093DA6" w:rsidP="00093DA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Obuka: princip “train the trainer” (obuka trenera)</w:t>
      </w:r>
    </w:p>
    <w:p w:rsidR="00093DA6" w:rsidRPr="00D93A4E" w:rsidRDefault="00093DA6" w:rsidP="00093DA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Dokumentovanje.</w:t>
      </w:r>
    </w:p>
    <w:p w:rsidR="00093DA6" w:rsidRPr="00D93A4E" w:rsidRDefault="00093DA6" w:rsidP="00093DA6">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Garantno održavanje u trajanju jedne godine. </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Predmet javne nabavke ne obuhvata hardverske koponente. Fond penzijskog I invalidskog osiguranja je obezbijedio hardverske resurse za ovaj projekat. Potrebno je uspostaviti dva okruženja (razvojno/testno I produkciono okruženje).</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treba biti isporučen sa perpetual (trajnim) licencama za instalaciju komponenete za integraciju aplikacija i messaging komponente za potrebe integracija aplikacija na produkcionom okruženju sa minimalno 2 core-a i na razvojnom/testnom okruženju sa minimalno 2 core-a, sa mogućnošću korišćenja bilo koje od pomenutih komponenti i/ili njihovih kombinacija, do ukupnog broja licenci. </w:t>
      </w:r>
    </w:p>
    <w:p w:rsidR="00093DA6" w:rsidRPr="00D93A4E" w:rsidRDefault="00093DA6" w:rsidP="00093DA6">
      <w:pPr>
        <w:numPr>
          <w:ilvl w:val="0"/>
          <w:numId w:val="3"/>
        </w:numPr>
        <w:spacing w:after="0" w:line="240" w:lineRule="auto"/>
        <w:contextualSpacing/>
        <w:rPr>
          <w:rFonts w:ascii="Times New Roman" w:eastAsia="Times New Roman" w:hAnsi="Times New Roman" w:cs="Times New Roman"/>
          <w:sz w:val="40"/>
          <w:szCs w:val="40"/>
          <w:lang w:eastAsia="en-GB"/>
        </w:rPr>
      </w:pPr>
      <w:r w:rsidRPr="00D93A4E">
        <w:rPr>
          <w:rFonts w:ascii="Times New Roman" w:eastAsia="Aptos" w:hAnsi="Times New Roman" w:cs="Times New Roman"/>
          <w:kern w:val="2"/>
          <w:sz w:val="40"/>
          <w:szCs w:val="40"/>
          <w14:ligatures w14:val="standardContextual"/>
        </w:rPr>
        <w:t>PROJEKTNE FAZE</w:t>
      </w:r>
    </w:p>
    <w:p w:rsidR="00093DA6" w:rsidRPr="00D93A4E" w:rsidRDefault="00093DA6" w:rsidP="00093DA6">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Ponuđač je dužan da u ponudi dostavi projektni plan,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opisom projektnih faza, koji minimalno mora da sadrži sledeće projektne faze: </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Analiza, dizajn, izrada i odobravanje funkcionalne analize</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Isporuka licenci</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Instalacija I kofiguracija (integraciona platforma)</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Razvoj i implementacija</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Testiranje i osiguranje kvaliteta</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Obuka korisnika</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Implementacija u produkciju</w:t>
      </w:r>
    </w:p>
    <w:p w:rsidR="00093DA6" w:rsidRPr="00D93A4E" w:rsidRDefault="00093DA6" w:rsidP="00093DA6">
      <w:pPr>
        <w:numPr>
          <w:ilvl w:val="0"/>
          <w:numId w:val="2"/>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Dokumentovanje (sistemsko, integracioni I korisničko) i primopredaja sistema.</w:t>
      </w:r>
    </w:p>
    <w:p w:rsidR="00093DA6" w:rsidRPr="00D93A4E" w:rsidRDefault="00093DA6" w:rsidP="00093DA6">
      <w:pPr>
        <w:numPr>
          <w:ilvl w:val="0"/>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TEHNIČKI,</w:t>
      </w:r>
      <w:r w:rsidRPr="00D93A4E">
        <w:rPr>
          <w:rFonts w:ascii="Times New Roman" w:eastAsia="Times New Roman" w:hAnsi="Times New Roman" w:cs="Times New Roman"/>
          <w:sz w:val="24"/>
          <w:szCs w:val="24"/>
          <w:lang w:eastAsia="en-GB"/>
        </w:rPr>
        <w:t xml:space="preserve"> </w:t>
      </w:r>
      <w:r w:rsidRPr="00D93A4E">
        <w:rPr>
          <w:rFonts w:ascii="Times New Roman" w:eastAsia="Aptos" w:hAnsi="Times New Roman" w:cs="Times New Roman"/>
          <w:kern w:val="2"/>
          <w:sz w:val="40"/>
          <w:szCs w:val="40"/>
          <w14:ligatures w14:val="standardContextual"/>
        </w:rPr>
        <w:t>FUNKCIONALNI I NEFUNKCIONALNI ZAHTJEVI</w:t>
      </w:r>
    </w:p>
    <w:p w:rsidR="00093DA6" w:rsidRPr="00D93A4E" w:rsidRDefault="00093DA6" w:rsidP="00093DA6">
      <w:pPr>
        <w:spacing w:after="0" w:line="240" w:lineRule="auto"/>
        <w:rPr>
          <w:rFonts w:ascii="Times New Roman" w:eastAsia="Times New Roman" w:hAnsi="Times New Roman" w:cs="Times New Roman"/>
          <w:lang w:val="sr-Latn-RS" w:eastAsia="en-GB"/>
        </w:rPr>
      </w:pPr>
    </w:p>
    <w:p w:rsidR="00093DA6" w:rsidRPr="00D93A4E" w:rsidRDefault="00093DA6" w:rsidP="00093DA6">
      <w:pPr>
        <w:spacing w:after="0" w:line="240" w:lineRule="auto"/>
        <w:rPr>
          <w:rFonts w:ascii="Times New Roman" w:eastAsia="Times New Roman" w:hAnsi="Times New Roman" w:cs="Times New Roman"/>
          <w:lang w:val="sr-Latn-RS" w:eastAsia="en-GB"/>
        </w:rPr>
      </w:pPr>
      <w:r w:rsidRPr="00D93A4E">
        <w:rPr>
          <w:rFonts w:ascii="Times New Roman" w:eastAsia="Times New Roman" w:hAnsi="Times New Roman" w:cs="Times New Roman"/>
          <w:lang w:val="sr-Latn-RS" w:eastAsia="en-GB"/>
        </w:rPr>
        <w:t>Tehnički, funkcionalni i nefunkcionalni zahtjevi koji se moraju ispuniti su definisani u ovom poglavlju.</w:t>
      </w:r>
    </w:p>
    <w:p w:rsidR="00093DA6" w:rsidRPr="00D93A4E" w:rsidRDefault="00093DA6" w:rsidP="00093DA6">
      <w:pPr>
        <w:spacing w:after="0" w:line="240" w:lineRule="auto"/>
        <w:rPr>
          <w:rFonts w:ascii="Times New Roman" w:eastAsia="Times New Roman" w:hAnsi="Times New Roman" w:cs="Times New Roman"/>
          <w:lang w:val="sr-Latn-RS" w:eastAsia="en-GB"/>
        </w:rPr>
      </w:pPr>
    </w:p>
    <w:p w:rsidR="00093DA6" w:rsidRPr="00D93A4E" w:rsidRDefault="00093DA6" w:rsidP="00093DA6">
      <w:pPr>
        <w:numPr>
          <w:ilvl w:val="1"/>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Integraciona platforma</w:t>
      </w:r>
    </w:p>
    <w:p w:rsidR="00093DA6" w:rsidRPr="00D93A4E" w:rsidRDefault="00093DA6" w:rsidP="00093DA6">
      <w:pPr>
        <w:spacing w:after="0" w:line="240" w:lineRule="auto"/>
        <w:ind w:left="792"/>
        <w:contextualSpacing/>
        <w:rPr>
          <w:rFonts w:ascii="Times New Roman" w:eastAsia="Aptos" w:hAnsi="Times New Roman" w:cs="Times New Roman"/>
          <w:kern w:val="2"/>
          <w:sz w:val="40"/>
          <w:szCs w:val="40"/>
          <w14:ligatures w14:val="standardContextual"/>
        </w:rPr>
      </w:pPr>
    </w:p>
    <w:p w:rsidR="00093DA6" w:rsidRDefault="00093DA6" w:rsidP="00093DA6">
      <w:pPr>
        <w:spacing w:after="0"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Tehnički, funkcionalni i nefunkcionalni zahtjevi koji se moraju ispuniti za integracionu platformu su dati u daljem dijelu dokumenta.</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ind w:left="792"/>
        <w:contextualSpacing/>
        <w:rPr>
          <w:rFonts w:ascii="Times New Roman" w:eastAsia="Aptos" w:hAnsi="Times New Roman" w:cs="Times New Roman"/>
          <w:kern w:val="2"/>
          <w:sz w:val="40"/>
          <w:szCs w:val="40"/>
          <w14:ligatures w14:val="standardContextual"/>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Integraciona platforma – opšti zahtjevi</w:t>
      </w:r>
    </w:p>
    <w:p w:rsidR="00093DA6" w:rsidRPr="00D93A4E" w:rsidRDefault="00093DA6" w:rsidP="00093DA6">
      <w:pPr>
        <w:spacing w:after="0" w:line="240" w:lineRule="auto"/>
        <w:rPr>
          <w:rFonts w:ascii="Times New Roman" w:eastAsia="Times New Roman" w:hAnsi="Times New Roman" w:cs="Times New Roman"/>
          <w:lang w:val="sr-Latn-RS" w:eastAsia="en-GB"/>
        </w:rPr>
      </w:pP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Ponuđeni sistem mora da obezbijedi modernu integracionu platformu, kao kompaktan proizvod sastavljen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svih traženih funkcionalnosti, sa integrisanim okruženjem zasnovanim na kontejnerima i runtime-om, koja je dobro prilagođena za cloud-native tehnike implementacije, bilo on-premise ili u javnom cloudu. Na vrhu runtime-a, sistem mora da sadrži centralnu funkciju za logovanje, web korisnički interfejs za navigaciju kroz proizvode i komponente, operativni web UI za nadzor statusa i potrošnje resursa komponenti, centralni reporting engine.</w:t>
      </w:r>
    </w:p>
    <w:p w:rsidR="00093DA6" w:rsidRPr="00D93A4E" w:rsidRDefault="00093DA6" w:rsidP="00093DA6">
      <w:pPr>
        <w:numPr>
          <w:ilvl w:val="0"/>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biti enterprise-grade rješenje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skalabilnom modernom arhitekturom.</w:t>
      </w:r>
    </w:p>
    <w:p w:rsidR="00093DA6" w:rsidRPr="00D93A4E" w:rsidRDefault="00093DA6" w:rsidP="00093DA6">
      <w:pPr>
        <w:numPr>
          <w:ilvl w:val="0"/>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da obezbijedi sljedeće funkcije:</w:t>
      </w:r>
    </w:p>
    <w:p w:rsidR="00093DA6" w:rsidRPr="00D93A4E" w:rsidRDefault="00093DA6" w:rsidP="00093DA6">
      <w:pPr>
        <w:numPr>
          <w:ilvl w:val="1"/>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Core Integration Software (koji obavlja tradicionalne „ESB</w:t>
      </w:r>
      <w:proofErr w:type="gramStart"/>
      <w:r w:rsidRPr="00D93A4E">
        <w:rPr>
          <w:rFonts w:ascii="Times New Roman" w:eastAsia="Times New Roman" w:hAnsi="Times New Roman" w:cs="Times New Roman"/>
          <w:lang w:eastAsia="en-GB"/>
        </w:rPr>
        <w:t>“ funkcije</w:t>
      </w:r>
      <w:proofErr w:type="gramEnd"/>
      <w:r w:rsidRPr="00D93A4E">
        <w:rPr>
          <w:rFonts w:ascii="Times New Roman" w:eastAsia="Times New Roman" w:hAnsi="Times New Roman" w:cs="Times New Roman"/>
          <w:lang w:eastAsia="en-GB"/>
        </w:rPr>
        <w:t xml:space="preserve"> poput preuzimanja informacija, transformacije protokola, mapiranja podataka, orkestracije servisa itd.)</w:t>
      </w:r>
    </w:p>
    <w:p w:rsidR="00093DA6" w:rsidRPr="00D93A4E" w:rsidRDefault="00093DA6" w:rsidP="00093DA6">
      <w:pPr>
        <w:numPr>
          <w:ilvl w:val="1"/>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API Management</w:t>
      </w:r>
    </w:p>
    <w:p w:rsidR="00093DA6" w:rsidRPr="00D93A4E" w:rsidRDefault="00093DA6" w:rsidP="00093DA6">
      <w:pPr>
        <w:numPr>
          <w:ilvl w:val="1"/>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Integration Security Gateway</w:t>
      </w:r>
    </w:p>
    <w:p w:rsidR="00093DA6" w:rsidRPr="00D93A4E" w:rsidRDefault="00093DA6" w:rsidP="00093DA6">
      <w:pPr>
        <w:numPr>
          <w:ilvl w:val="1"/>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Messaging</w:t>
      </w:r>
    </w:p>
    <w:p w:rsidR="00093DA6" w:rsidRPr="00D93A4E" w:rsidRDefault="00093DA6" w:rsidP="00093DA6">
      <w:pPr>
        <w:numPr>
          <w:ilvl w:val="1"/>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Event stream processing zasnovan na Kafka</w:t>
      </w:r>
    </w:p>
    <w:p w:rsidR="00093DA6" w:rsidRPr="00D93A4E" w:rsidRDefault="00093DA6" w:rsidP="00093DA6">
      <w:pPr>
        <w:numPr>
          <w:ilvl w:val="1"/>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Brz prenos fajlova</w:t>
      </w:r>
    </w:p>
    <w:p w:rsidR="00093DA6" w:rsidRPr="00D93A4E" w:rsidRDefault="00093DA6" w:rsidP="00093DA6">
      <w:pPr>
        <w:spacing w:after="0" w:line="240" w:lineRule="auto"/>
        <w:ind w:left="720"/>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Sve komponente moraju biti integralni dio proizvoda, a ne samostalne i neintegrisane. Sistem mora imati katalog i svaka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pomenutih funkcionalnosti mora biti dostupna kao dio kataloga sa mogućnošću efikasne instalacije/provizioniranja unutar kontejnerskog okruženja.</w:t>
      </w:r>
    </w:p>
    <w:p w:rsidR="00093DA6" w:rsidRPr="00D93A4E" w:rsidRDefault="00093DA6" w:rsidP="00093DA6">
      <w:pPr>
        <w:numPr>
          <w:ilvl w:val="0"/>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biti proizvod vendora. Čisto open source rješenje nije prihvatljivo. Sve zahtijevane funkcionalnosti treba da budu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jednog vendora kako bi se minimizirali troškovi održavanja i napora. Svi softverski komponenti potrebni za normalan rad platforme moraju biti uključeni u licence.</w:t>
      </w:r>
    </w:p>
    <w:p w:rsidR="00093DA6" w:rsidRPr="00D93A4E" w:rsidRDefault="00093DA6" w:rsidP="00093DA6">
      <w:pPr>
        <w:numPr>
          <w:ilvl w:val="0"/>
          <w:numId w:val="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Red Hat OpenShift Container Platform i mora imati licencu za Red Hat OpenShift Container Platform uključenu.</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Core integration software – aplikaciona integracija</w:t>
      </w:r>
    </w:p>
    <w:p w:rsidR="00093DA6" w:rsidRPr="00D93A4E" w:rsidRDefault="00093DA6" w:rsidP="00093DA6">
      <w:pPr>
        <w:spacing w:after="0" w:line="240" w:lineRule="auto"/>
        <w:ind w:left="1224"/>
        <w:contextualSpacing/>
        <w:rPr>
          <w:rFonts w:ascii="Times New Roman" w:eastAsia="Aptos" w:hAnsi="Times New Roman" w:cs="Times New Roman"/>
          <w:kern w:val="2"/>
          <w:sz w:val="40"/>
          <w:szCs w:val="40"/>
          <w14:ligatures w14:val="standardContextual"/>
        </w:rPr>
      </w:pPr>
    </w:p>
    <w:p w:rsidR="00093DA6" w:rsidRPr="00D93A4E" w:rsidRDefault="00093DA6" w:rsidP="00093DA6">
      <w:pPr>
        <w:spacing w:after="0"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da obezbijedi Application Integration modul koji predstavlja industrijski dokazano rješenje za integraciju enterprise aplikacija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Application Integration modul treba da bude samostalna aplikacija koja ne zahtijeva dodatne softverske komponente </w:t>
      </w:r>
      <w:proofErr w:type="gramStart"/>
      <w:r w:rsidRPr="00D93A4E">
        <w:rPr>
          <w:rFonts w:ascii="Times New Roman" w:eastAsia="Times New Roman" w:hAnsi="Times New Roman" w:cs="Times New Roman"/>
          <w:lang w:eastAsia="en-GB"/>
        </w:rPr>
        <w:t>ni</w:t>
      </w:r>
      <w:proofErr w:type="gramEnd"/>
      <w:r w:rsidRPr="00D93A4E">
        <w:rPr>
          <w:rFonts w:ascii="Times New Roman" w:eastAsia="Times New Roman" w:hAnsi="Times New Roman" w:cs="Times New Roman"/>
          <w:lang w:eastAsia="en-GB"/>
        </w:rPr>
        <w:t xml:space="preserve"> infrastrukturu, naročito ne 3rd party, za svoje funkcionisanje. Rješenje ne smije imati eksternu bazu kao preduslov za normalno funkcionisanje jer bi to uticalo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performanse. Baza treba da se koristi samo za logovanje i reporting. Sistem za </w:t>
      </w:r>
      <w:proofErr w:type="gramStart"/>
      <w:r w:rsidRPr="00D93A4E">
        <w:rPr>
          <w:rFonts w:ascii="Times New Roman" w:eastAsia="Times New Roman" w:hAnsi="Times New Roman" w:cs="Times New Roman"/>
          <w:lang w:eastAsia="en-GB"/>
        </w:rPr>
        <w:t>te</w:t>
      </w:r>
      <w:proofErr w:type="gramEnd"/>
      <w:r w:rsidRPr="00D93A4E">
        <w:rPr>
          <w:rFonts w:ascii="Times New Roman" w:eastAsia="Times New Roman" w:hAnsi="Times New Roman" w:cs="Times New Roman"/>
          <w:lang w:eastAsia="en-GB"/>
        </w:rPr>
        <w:t xml:space="preserve"> potrebe treba da podrži bilo koju komercijalnu bazu koja podržava ODBC i JDBC. Svi komponenti potrebni za normalno funkcionisanje moraju biti isporučeni.</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sljedeće ključne funkcionalnosti:</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Integraciona logika: procesiranje poruka mora da slijedi „Pipes and Filters</w:t>
      </w:r>
      <w:proofErr w:type="gramStart"/>
      <w:r w:rsidRPr="00D93A4E">
        <w:rPr>
          <w:rFonts w:ascii="Times New Roman" w:eastAsia="Times New Roman" w:hAnsi="Times New Roman" w:cs="Times New Roman"/>
          <w:lang w:eastAsia="en-GB"/>
        </w:rPr>
        <w:t>“ arhitektonski</w:t>
      </w:r>
      <w:proofErr w:type="gramEnd"/>
      <w:r w:rsidRPr="00D93A4E">
        <w:rPr>
          <w:rFonts w:ascii="Times New Roman" w:eastAsia="Times New Roman" w:hAnsi="Times New Roman" w:cs="Times New Roman"/>
          <w:lang w:eastAsia="en-GB"/>
        </w:rPr>
        <w:t xml:space="preserve"> stil. Ulaz može biti bilo koji podržani protokol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metod integracije, a izlaz isto tako. Mora biti omogućena efikasna transformacija i procesiranje poruka, uključujući custom programiranje.</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Validacija poruka prema šemi.</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Rutiranje poruka ka odgovarajućem primaocu. Mora biti omogućeno rutiranje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više destinacija, iz više izvora, kao i rutiranje zasnovano na poslovnim pravilima. Odluke za rutiranje moraju moći da dolaze iz eksternog Business Rules Management komponenta.</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Transformacija poruka – modul mora podržati „any-to-any</w:t>
      </w:r>
      <w:proofErr w:type="gramStart"/>
      <w:r w:rsidRPr="00D93A4E">
        <w:rPr>
          <w:rFonts w:ascii="Times New Roman" w:eastAsia="Times New Roman" w:hAnsi="Times New Roman" w:cs="Times New Roman"/>
          <w:lang w:eastAsia="en-GB"/>
        </w:rPr>
        <w:t>“ transformaciju</w:t>
      </w:r>
      <w:proofErr w:type="gramEnd"/>
      <w:r w:rsidRPr="00D93A4E">
        <w:rPr>
          <w:rFonts w:ascii="Times New Roman" w:eastAsia="Times New Roman" w:hAnsi="Times New Roman" w:cs="Times New Roman"/>
          <w:lang w:eastAsia="en-GB"/>
        </w:rPr>
        <w:t xml:space="preserve"> (protokol, format podataka).</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Interoperabilnost između .NET i Java.</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Custom procesiranje poruka (Java, .NET).</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Logovanje i reporting, uključujući monitoring transakcija i funkciju „record and replay“.</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imati punu sposobnost za integraciju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postojećim back-end sistemima, kroz različite protokole i metode pristupa. Mora podržavati:</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HTTP/HTTPS</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SOAP</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REST</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Email (POP3, IMAP, SMTP)</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SFTP/FTP</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JMS</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Socket</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SCA</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pristup relacionim bazama preko JDBC i ODBC</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MQTT</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IBM MQ</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Corba.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imati grafičko integrisano razvojno okruženje (IDE) koje podržava sve aktivnosti razvoja u vezi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složenim integracionim tokovima, koristeći gotove funkcije i adaptere, uz minimalno programiranje.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IDE treba da ima grafičko okruženje sa unaprijed definisanim funkcijama koje se koriste kao blokovi za integracije i „drag and drop</w:t>
      </w:r>
      <w:proofErr w:type="gramStart"/>
      <w:r w:rsidRPr="00D93A4E">
        <w:rPr>
          <w:rFonts w:ascii="Times New Roman" w:eastAsia="Times New Roman" w:hAnsi="Times New Roman" w:cs="Times New Roman"/>
          <w:lang w:eastAsia="en-GB"/>
        </w:rPr>
        <w:t>“ funkcionalnosti</w:t>
      </w:r>
      <w:proofErr w:type="gramEnd"/>
      <w:r w:rsidRPr="00D93A4E">
        <w:rPr>
          <w:rFonts w:ascii="Times New Roman" w:eastAsia="Times New Roman" w:hAnsi="Times New Roman" w:cs="Times New Roman"/>
          <w:lang w:eastAsia="en-GB"/>
        </w:rPr>
        <w:t xml:space="preserve">. Akcenat je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parametrizaciji, custom razvoj samo kada je nužan.</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DE mora podržavati kompletan životni ciklus integracionih aplikacija: razvoj, testiranje, debug, deployment, monitoring.</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mora podržavati dodavanje custom logike za procesiranje poruka direktno u tok, kroz predefinisane blokove. Mora postojati podrška za najmanje Java i .NET.</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Custom Java kod mora se moći pisati direktno u IDE,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efikasnog debug-a kao u Eclipse okruženju.</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Custom .NET kod treba da se piše u eksternom MS Visual Studio i da bude potpuno integrisan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IDE, uz line-by-line debugging.</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alate za slanje poruka kroz tok i pregled puta poruke i sadržaja u svakoj fazi, radi debug-</w:t>
      </w:r>
      <w:proofErr w:type="gramStart"/>
      <w:r w:rsidRPr="00D93A4E">
        <w:rPr>
          <w:rFonts w:ascii="Times New Roman" w:eastAsia="Times New Roman" w:hAnsi="Times New Roman" w:cs="Times New Roman"/>
          <w:lang w:eastAsia="en-GB"/>
        </w:rPr>
        <w:t>a</w:t>
      </w:r>
      <w:proofErr w:type="gramEnd"/>
      <w:r w:rsidRPr="00D93A4E">
        <w:rPr>
          <w:rFonts w:ascii="Times New Roman" w:eastAsia="Times New Roman" w:hAnsi="Times New Roman" w:cs="Times New Roman"/>
          <w:lang w:eastAsia="en-GB"/>
        </w:rPr>
        <w:t xml:space="preserve"> i troubleshooting-a. Mora postojati fleksibilan mehanizam za uključivanje/isključivanje ove funkcionalnosti.</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IDE mora imati grafički editor za modelovanje JSON podataka i njihovo mapiranje u drugi format.</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Grafički IDE mora omogućiti kreiranje SOAP web servisa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minimalnim programiranjem, uključujući wizard-e za generisanje artefakata. Mora podržavati SOAP 1.1, SOAP 1.2, SOAP with Attachments (SwA), MTOM, WS-Addressing, WS-Security i WS-RM.</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REST API-je. Mora postojati mehanizam za uvoz Swagger fajla i automatsko kreiranje REST API-ja,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dalje obrade u grafičkom okruženju.</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 xml:space="preserve">Sistem mora imati mogućnost objavljivanja Swagger fajla za REST API-je kreirane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deploy-ovane u rješenju, kako bi ih mogle koristiti eksterne aplikacije.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protokol transformaciju, omogućavajući interakciju između servisa i klijenata koji koriste različite protokole (</w:t>
      </w:r>
      <w:proofErr w:type="gramStart"/>
      <w:r w:rsidRPr="00D93A4E">
        <w:rPr>
          <w:rFonts w:ascii="Times New Roman" w:eastAsia="Times New Roman" w:hAnsi="Times New Roman" w:cs="Times New Roman"/>
          <w:lang w:eastAsia="en-GB"/>
        </w:rPr>
        <w:t>npr</w:t>
      </w:r>
      <w:proofErr w:type="gramEnd"/>
      <w:r w:rsidRPr="00D93A4E">
        <w:rPr>
          <w:rFonts w:ascii="Times New Roman" w:eastAsia="Times New Roman" w:hAnsi="Times New Roman" w:cs="Times New Roman"/>
          <w:lang w:eastAsia="en-GB"/>
        </w:rPr>
        <w:t>. HTTP → MQ).</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moći da izvršava složene tokove poruka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kombinacijom funkcionalnosti, uključujući interakciju sa bazama preko JDBC/ODBC, mapiranje podataka i slanje/izlaganje servisa.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SQL-like jezik,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integracije SQL komandi u tok poruka.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Radi performansi, sistem mora procesirati XML i ne-XML podatke bez obavezne interne konverzije u XML. Mora podržavati i binarne podatke.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konverziju između ne-XML i XML formata.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pružati sigurnosne funkcionalnosti za kontrolu pristupa SOAP, HTTP i MQ protokolima.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integraciju i autentifikaciju korisnika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eksternim user repository (AD).</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TLS/SSL enkripciju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transportnom sloju za HTTP, WS-Security standard i SAML standard.</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otkrivanje i virtualizaciju endpoint-a u runtime-u, bez potrebe da klijent zna detalje o servisu.</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modul mora podržavati dinamičku transformaciju i translaciju poruka u runtime-u.</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omogućiti direktne interakcije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bazama iz integracionih tokova.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omogućiti orkestraciju servisa.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imati predefinisane obrasce (patterns) za integraciju, kao i mogućnost kreiranja custom obrazaca.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DFDL standard za transformaciju i procesiranje ne-XML podataka. IDE treba da ima grafičku podršku za definisanje DFDL-a.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modul mora podržavati obradu veoma velikih flat fajlova u originalnom formatu, radi performansi, bez obavezne baze za persistenciju.</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publish/subscribe model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minimalnim programiranjem, preko out-of-the-box alata u IDE.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file-based integracije:</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čitanje fajlova sa lokalnog sistema, FTP ili SFTP</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transformaciju fajlova i mapiranje sadržaja</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primjenu custom logike (Java, .NET)</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kreiranje fajlova iz poruka i obrnuto</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podršku za MQ protokol</w:t>
      </w:r>
    </w:p>
    <w:p w:rsidR="00093DA6" w:rsidRPr="00D93A4E" w:rsidRDefault="00093DA6" w:rsidP="00093DA6">
      <w:pPr>
        <w:numPr>
          <w:ilvl w:val="1"/>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pisanje fajlova u destinaciju ili slanje preko transportnog protokola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record &amp; replay funkcionalnost za subset poruka.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„hot deploy</w:t>
      </w:r>
      <w:proofErr w:type="gramStart"/>
      <w:r w:rsidRPr="00D93A4E">
        <w:rPr>
          <w:rFonts w:ascii="Times New Roman" w:eastAsia="Times New Roman" w:hAnsi="Times New Roman" w:cs="Times New Roman"/>
          <w:lang w:eastAsia="en-GB"/>
        </w:rPr>
        <w:t>“ –</w:t>
      </w:r>
      <w:proofErr w:type="gramEnd"/>
      <w:r w:rsidRPr="00D93A4E">
        <w:rPr>
          <w:rFonts w:ascii="Times New Roman" w:eastAsia="Times New Roman" w:hAnsi="Times New Roman" w:cs="Times New Roman"/>
          <w:lang w:eastAsia="en-GB"/>
        </w:rPr>
        <w:t xml:space="preserve"> deployment komponenti bez zaustavljanja aplikacija.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automatizovan deployment direktno iz IDE, i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lokalni i na udaljeni runtime.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dinamičko rutiranje poruka (content-based, itinerary-based, context-based).</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validaciju, agregaciju, filtriranje i transformaciju XML poruka.</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modul mora podržavati WS-* specifikacije.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obezbijediti detaljan audit trail za akcije: kreiranje, izmjena, brisanje objekata,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zapisom ID korisnika i vremenom akcije.</w:t>
      </w:r>
    </w:p>
    <w:p w:rsidR="00093DA6" w:rsidRPr="00D93A4E" w:rsidRDefault="00093DA6" w:rsidP="00093DA6">
      <w:pPr>
        <w:numPr>
          <w:ilvl w:val="0"/>
          <w:numId w:val="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adapter za SAP integraciju, uključen u licencu, bez dodatnih troškova. Adapter mora imati wizard za generisanje poslovnih objekata iz SAP servisa,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podrškom za BAPI, ALE, QISS, AEP.</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lastRenderedPageBreak/>
        <w:t>Messaging</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Aplikacija mora obezbijediti enterprise-grade messaging i queuing mogućnosti u više režima: point-to-point, publish/subscribe.</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Messaging framework mora podržavati različite API-je uključujući: MQI, Java™ Message Service (JMS), REST, .NET, IBM MQ Light i MQTT.</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„once and once only</w:t>
      </w:r>
      <w:proofErr w:type="gramStart"/>
      <w:r w:rsidRPr="00D93A4E">
        <w:rPr>
          <w:rFonts w:ascii="Times New Roman" w:eastAsia="Times New Roman" w:hAnsi="Times New Roman" w:cs="Times New Roman"/>
          <w:lang w:eastAsia="en-GB"/>
        </w:rPr>
        <w:t>“ isporuku</w:t>
      </w:r>
      <w:proofErr w:type="gramEnd"/>
      <w:r w:rsidRPr="00D93A4E">
        <w:rPr>
          <w:rFonts w:ascii="Times New Roman" w:eastAsia="Times New Roman" w:hAnsi="Times New Roman" w:cs="Times New Roman"/>
          <w:lang w:eastAsia="en-GB"/>
        </w:rPr>
        <w:t>, bez dupliranja ili gubitka poruka.</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Mora postojati jedinstvena tačka za vidljivost, upravljanje i kontrolu kretanja poruka.</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rukovati svim porukama u okviru transakcije, radi predvidljivog ponašanja čak i u slučaju grešaka.</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da štiti podatke tokom prenosa koristeći TLS.</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mogućnosti za high availability i disaster recovery.</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Aplikacija mora obezbijediti visok nivo integriteta podataka kroz persistenciju poruka i transakcione mogućnosti, uključujući:</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Persistente poruke – koje preživljavaju restart bilo kog dijela sistema i ne smiju se izgubiti čak </w:t>
      </w:r>
      <w:proofErr w:type="gramStart"/>
      <w:r w:rsidRPr="00D93A4E">
        <w:rPr>
          <w:rFonts w:ascii="Times New Roman" w:eastAsia="Times New Roman" w:hAnsi="Times New Roman" w:cs="Times New Roman"/>
          <w:lang w:eastAsia="en-GB"/>
        </w:rPr>
        <w:t>ni</w:t>
      </w:r>
      <w:proofErr w:type="gramEnd"/>
      <w:r w:rsidRPr="00D93A4E">
        <w:rPr>
          <w:rFonts w:ascii="Times New Roman" w:eastAsia="Times New Roman" w:hAnsi="Times New Roman" w:cs="Times New Roman"/>
          <w:lang w:eastAsia="en-GB"/>
        </w:rPr>
        <w:t xml:space="preserve"> u slučaju prekida.</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Globalne transakcije – messaging operacije koordinisane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drugim resursima (aplikacioni serveri, baze).</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web-baziranu grafičku konzolu za administraciju i konfiguraciju.</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Mora postojati administrativni REST API i Messaging REST API. Messaging API mora omogućiti slanje i prijem poruka u tekstualnom formatu.</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Messaging framework mora podržavati proceduralne programske jezike:</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Visual Basic (samo Windows)</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COBOL</w:t>
      </w:r>
    </w:p>
    <w:p w:rsidR="00093DA6" w:rsidRPr="00D93A4E" w:rsidRDefault="00093DA6" w:rsidP="00093DA6">
      <w:pPr>
        <w:spacing w:after="0" w:line="240" w:lineRule="auto"/>
        <w:ind w:left="720"/>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 objektno-orijentisane:</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.NET</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ActiveX</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Java</w:t>
      </w:r>
    </w:p>
    <w:p w:rsidR="00093DA6" w:rsidRPr="00D93A4E" w:rsidRDefault="00093DA6" w:rsidP="00093DA6">
      <w:pPr>
        <w:numPr>
          <w:ilvl w:val="1"/>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JMS</w:t>
      </w:r>
    </w:p>
    <w:p w:rsidR="00093DA6" w:rsidRPr="00D93A4E" w:rsidRDefault="00093DA6" w:rsidP="00093DA6">
      <w:pPr>
        <w:numPr>
          <w:ilvl w:val="0"/>
          <w:numId w:val="7"/>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Framework mora podržavati protokole: MQ, AMQP, MQTT, HTTP.</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API management</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kompletnu, modernu i intuitivnu API lifecycle platformu za kreiranje, sigurno izlaganje i upravljanje API-jima u različitim cloud okruženjima, radi podrške digitalnim aplikacijama. Platforma mora pokrivati cijeli životni ciklus API-ja,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kreiranja do brisanja.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podržavati kreiranje REST API definicija.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kreiranje SOAP API definicije iz postojećeg WSDL servisa.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kreiranje REST API definicije iz postojećeg WSDL servisa.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podržavati kreiranje GraphQL API proxy definicije.</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OpenAPI 2.0 (Swagger) specifikaciju.</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ugrađeni alat za testiranje API-ja.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obezbijediti GraphiQL editor za testiranje GraphQL API-ja.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obezbijediti mogućnost transformacije payload-</w:t>
      </w:r>
      <w:proofErr w:type="gramStart"/>
      <w:r w:rsidRPr="00D93A4E">
        <w:rPr>
          <w:rFonts w:ascii="Times New Roman" w:eastAsia="Times New Roman" w:hAnsi="Times New Roman" w:cs="Times New Roman"/>
          <w:color w:val="000000"/>
          <w:lang w:eastAsia="en-GB"/>
        </w:rPr>
        <w:t>a</w:t>
      </w:r>
      <w:proofErr w:type="gramEnd"/>
      <w:r w:rsidRPr="00D93A4E">
        <w:rPr>
          <w:rFonts w:ascii="Times New Roman" w:eastAsia="Times New Roman" w:hAnsi="Times New Roman" w:cs="Times New Roman"/>
          <w:color w:val="000000"/>
          <w:lang w:eastAsia="en-GB"/>
        </w:rPr>
        <w:t xml:space="preserve"> API definicije koristeći XSLT.</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korišćenje skript jezika za transformaciju payload-</w:t>
      </w:r>
      <w:proofErr w:type="gramStart"/>
      <w:r w:rsidRPr="00D93A4E">
        <w:rPr>
          <w:rFonts w:ascii="Times New Roman" w:eastAsia="Times New Roman" w:hAnsi="Times New Roman" w:cs="Times New Roman"/>
          <w:lang w:eastAsia="en-GB"/>
        </w:rPr>
        <w:t>a</w:t>
      </w:r>
      <w:proofErr w:type="gramEnd"/>
      <w:r w:rsidRPr="00D93A4E">
        <w:rPr>
          <w:rFonts w:ascii="Times New Roman" w:eastAsia="Times New Roman" w:hAnsi="Times New Roman" w:cs="Times New Roman"/>
          <w:lang w:eastAsia="en-GB"/>
        </w:rPr>
        <w:t xml:space="preserve"> API definicije.</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Rješenje mora obezbijediti transformaciju između XML i JSON formata (XML → JSON i JSON → XML).</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mogućnost kontrole saobraćaja API-ja definisanjem rate limiting-a.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Basic authentication za siguran pristup API-jima.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API key security definiciju.</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OAuth 2.0 security definiciju za siguran pristup API-jima.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imati ugrađene mogućnosti za rukovanje greškama (error handling).</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verzionisanje API-ja.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lifecycle management API proizvoda, </w:t>
      </w:r>
      <w:proofErr w:type="gramStart"/>
      <w:r w:rsidRPr="00D93A4E">
        <w:rPr>
          <w:rFonts w:ascii="Times New Roman" w:eastAsia="Times New Roman" w:hAnsi="Times New Roman" w:cs="Times New Roman"/>
          <w:lang w:eastAsia="en-GB"/>
        </w:rPr>
        <w:t>npr</w:t>
      </w:r>
      <w:proofErr w:type="gramEnd"/>
      <w:r w:rsidRPr="00D93A4E">
        <w:rPr>
          <w:rFonts w:ascii="Times New Roman" w:eastAsia="Times New Roman" w:hAnsi="Times New Roman" w:cs="Times New Roman"/>
          <w:lang w:eastAsia="en-GB"/>
        </w:rPr>
        <w:t xml:space="preserve">. </w:t>
      </w:r>
      <w:proofErr w:type="gramStart"/>
      <w:r w:rsidRPr="00D93A4E">
        <w:rPr>
          <w:rFonts w:ascii="Times New Roman" w:eastAsia="Times New Roman" w:hAnsi="Times New Roman" w:cs="Times New Roman"/>
          <w:lang w:eastAsia="en-GB"/>
        </w:rPr>
        <w:t>prelazak</w:t>
      </w:r>
      <w:proofErr w:type="gramEnd"/>
      <w:r w:rsidRPr="00D93A4E">
        <w:rPr>
          <w:rFonts w:ascii="Times New Roman" w:eastAsia="Times New Roman" w:hAnsi="Times New Roman" w:cs="Times New Roman"/>
          <w:lang w:eastAsia="en-GB"/>
        </w:rPr>
        <w:t xml:space="preserve"> iz statusa „published“ u „deprecated“.</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mogućnost odobravanja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odbijanja API subscription zahtjeva.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da obezbijedi naprednu API usage analitiku,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offload-a podataka u sisteme poput Splunk, Kafka, Elasticsearch.</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prilagodljiv self-service portal za objavljivanje API-ja.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Self-service portal mora obezbijediti bezbjednosne elemente: CAPTCHA, reCAPTCHA, session timeout, honeypot zaštitu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spama.</w:t>
      </w:r>
    </w:p>
    <w:p w:rsidR="00093DA6" w:rsidRPr="00D93A4E" w:rsidRDefault="00093DA6" w:rsidP="00093DA6">
      <w:pPr>
        <w:numPr>
          <w:ilvl w:val="0"/>
          <w:numId w:val="8"/>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Self-service portal mora imati ugrađene mehanizme za socijalni sadržaj: blogove, forume, linkove ka društvenim mrežama, ankete.</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Real time event streaming</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mogućnosti za real-time event streaming. To treba da bude publish/subscribe messaging sistem, dizajniran da bude fault-tolerant,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visokim protokom i niskom latencijom za obradu real-time data feed-ova. „Event-Driven</w:t>
      </w:r>
      <w:proofErr w:type="gramStart"/>
      <w:r w:rsidRPr="00D93A4E">
        <w:rPr>
          <w:rFonts w:ascii="Times New Roman" w:eastAsia="Times New Roman" w:hAnsi="Times New Roman" w:cs="Times New Roman"/>
          <w:lang w:eastAsia="en-GB"/>
        </w:rPr>
        <w:t>“ arhitektura</w:t>
      </w:r>
      <w:proofErr w:type="gramEnd"/>
      <w:r w:rsidRPr="00D93A4E">
        <w:rPr>
          <w:rFonts w:ascii="Times New Roman" w:eastAsia="Times New Roman" w:hAnsi="Times New Roman" w:cs="Times New Roman"/>
          <w:lang w:eastAsia="en-GB"/>
        </w:rPr>
        <w:t xml:space="preserve"> obezbjeđuje angažujuće korisničko iskustvo.</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podržavati horizontalnu skalabilnost.</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da bude jednostavno za implementaciju i korišćenje.</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ugrađeno particionisanje i replikaciju.</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Mora postojati administrativni UI za pregled i filtriranje velikog broja poruka, uključujući mogućnost detaljnog uvida u pojedinačne poruke kroz istoriju.</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immutable istoriju event stream-</w:t>
      </w:r>
      <w:proofErr w:type="gramStart"/>
      <w:r w:rsidRPr="00D93A4E">
        <w:rPr>
          <w:rFonts w:ascii="Times New Roman" w:eastAsia="Times New Roman" w:hAnsi="Times New Roman" w:cs="Times New Roman"/>
          <w:lang w:eastAsia="en-GB"/>
        </w:rPr>
        <w:t>a</w:t>
      </w:r>
      <w:proofErr w:type="gramEnd"/>
      <w:r w:rsidRPr="00D93A4E">
        <w:rPr>
          <w:rFonts w:ascii="Times New Roman" w:eastAsia="Times New Roman" w:hAnsi="Times New Roman" w:cs="Times New Roman"/>
          <w:lang w:eastAsia="en-GB"/>
        </w:rPr>
        <w:t xml:space="preserve"> i mogućnost event stream replay-a.</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da obezbijedi REST API za povezivanje eksternih sistema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event streaming platformom.</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imati role-based security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nivou pojedinačnih topic-a.</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biti integrisano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messaging framework-om, radi omogućavanja event-driven aplikacija.</w:t>
      </w:r>
    </w:p>
    <w:p w:rsidR="00093DA6" w:rsidRPr="00D93A4E" w:rsidRDefault="00093DA6" w:rsidP="00093DA6">
      <w:pPr>
        <w:numPr>
          <w:ilvl w:val="0"/>
          <w:numId w:val="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integrisanu geo-replikaciju za disaster recovery.</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High speed file transfer</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da obezbijedi mogućnosti za High-Speed Transfer prenos fajlova, direktorijuma i velikih setova podataka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mnogo korisnika, na bilo kojoj udaljenosti, preko wide area networks.</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koristiti FASP® (Fast, Adaptive and Secure Protocol) tehnologiju koja obezbjeđuje enterprise-grade bezbjednost, visoku pouzdanost i izuzetnu kontrolu propusnog opsega. Mora u potpunosti koristiti dostupni mrežni bandwidth za efikasan prenos, uz automatski retry i nastavak prenosa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tačke prekida.</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 xml:space="preserve">Rješenje treba omogućiti brz i pouzdan prenos, uz mogućnost ručnog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automatskog pokretanja, kao i zakazivanja ponavljajućih transfera.</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imati mogućnost dodjeljivanja bandwidth-a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osnovu prioriteta prenosa.</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omogućiti konekcije putem različitih klijenata – desktop aplikacija i mobilnih aplikacija.</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automatski retry i resume funkcionalnost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tačke prekida.</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Runtime rješenja mora se moći ugraditi u bilo koju web aplikaciju i služiti kao high-speed backbone za prenos fajlova preko javnog Interneta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privatnih IP veza.</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Mora postojati mogućnost kreiranja ponavljajućih i zakazanih prenosa (jednokratnih i periodičnih).</w:t>
      </w:r>
    </w:p>
    <w:p w:rsidR="00093DA6" w:rsidRPr="00D93A4E" w:rsidRDefault="00093DA6" w:rsidP="00093DA6">
      <w:pPr>
        <w:numPr>
          <w:ilvl w:val="0"/>
          <w:numId w:val="10"/>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Secure Shell (SSH) autentifikaciju i integritet podataka za svaki prenos blokova, radi zaštite digitalnih resursa.</w:t>
      </w:r>
    </w:p>
    <w:p w:rsidR="00093DA6" w:rsidRPr="00D93A4E" w:rsidRDefault="00093DA6" w:rsidP="00093DA6">
      <w:pPr>
        <w:numPr>
          <w:ilvl w:val="0"/>
          <w:numId w:val="10"/>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 xml:space="preserve">Mora postojati AES-128/192/256 enkripcija u toku prenosa i pri skladištenju, </w:t>
      </w:r>
      <w:proofErr w:type="gramStart"/>
      <w:r w:rsidRPr="00D93A4E">
        <w:rPr>
          <w:rFonts w:ascii="Times New Roman" w:eastAsia="Times New Roman" w:hAnsi="Times New Roman" w:cs="Times New Roman"/>
          <w:color w:val="000000"/>
          <w:lang w:eastAsia="en-GB"/>
        </w:rPr>
        <w:t>na</w:t>
      </w:r>
      <w:proofErr w:type="gramEnd"/>
      <w:r w:rsidRPr="00D93A4E">
        <w:rPr>
          <w:rFonts w:ascii="Times New Roman" w:eastAsia="Times New Roman" w:hAnsi="Times New Roman" w:cs="Times New Roman"/>
          <w:color w:val="000000"/>
          <w:lang w:eastAsia="en-GB"/>
        </w:rPr>
        <w:t xml:space="preserve"> strani klijenta i servera, sa opcijom podešavanja enkripcije po korisniku i definisanjem minimalne jačine lozinke.</w:t>
      </w:r>
    </w:p>
    <w:p w:rsidR="00093DA6" w:rsidRPr="00D93A4E" w:rsidRDefault="00093DA6" w:rsidP="00093DA6">
      <w:pPr>
        <w:numPr>
          <w:ilvl w:val="0"/>
          <w:numId w:val="10"/>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Pokretanje prenosa mora biti moguće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web browser-a, mobilne aplikacije, desktop klijenta, endpoint-a, komandne linije ili third-party embedded klijenta.</w:t>
      </w:r>
    </w:p>
    <w:p w:rsidR="00093DA6" w:rsidRPr="00D93A4E" w:rsidRDefault="00093DA6" w:rsidP="00093DA6">
      <w:pPr>
        <w:numPr>
          <w:ilvl w:val="0"/>
          <w:numId w:val="10"/>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high-availability cluster konfiguracije (active/active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active/passive) i pouzdane isporuke sa automatskim retry i resume funkcionalnošću.</w:t>
      </w:r>
    </w:p>
    <w:p w:rsidR="00093DA6" w:rsidRPr="00D93A4E" w:rsidRDefault="00093DA6" w:rsidP="00093DA6">
      <w:pPr>
        <w:numPr>
          <w:ilvl w:val="0"/>
          <w:numId w:val="10"/>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omogućiti automatsku, brzu i lossless inline kompresiju radi smanjenja veličine podataka za prenos.</w:t>
      </w:r>
    </w:p>
    <w:p w:rsidR="00093DA6" w:rsidRPr="00D93A4E" w:rsidRDefault="00093DA6" w:rsidP="00093DA6">
      <w:pPr>
        <w:numPr>
          <w:ilvl w:val="0"/>
          <w:numId w:val="10"/>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omogućiti otkazivanje, pauziranje, nastavak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promjenu prioriteta transfera u redu čekanja u realnom vremenu.</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2"/>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Security gateway</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sigurnosni gateway koji preuzima ulogu internog i eksternog gateway-a kako bi organizacija zadovoljila svoje sigurnosne i integracione potrebe. Gateway mora biti modularan i u potpunosti podržavati sigurnu integraciju koja koristi XML/JSON formate – SOAP, REST, Web Services protokole.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biti jedinstvena multi-channel gateway platforma koja obezbjeđuje sigurnost, integraciju, kontrolu i optimizaciju isporuke workload-a kroz različite kanale: mobilne, API, web, SOA, B2B i cloud.</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omogućiti grafičko okruženje za konfiguraciju tokova obrade poruka unutar gateway-a, uključujući podešavanje sigurnosnih i integracionih funkcija. Mora imati web-baziran GUI za korisnike, razvoj i administraciju – sve funkcije dostupne u jednom interfejsu, bez dodatnih licenci. Gateway mora podržavati „pipes and filters</w:t>
      </w:r>
      <w:proofErr w:type="gramStart"/>
      <w:r w:rsidRPr="00D93A4E">
        <w:rPr>
          <w:rFonts w:ascii="Times New Roman" w:eastAsia="Times New Roman" w:hAnsi="Times New Roman" w:cs="Times New Roman"/>
          <w:lang w:eastAsia="en-GB"/>
        </w:rPr>
        <w:t>“ arhitektonski</w:t>
      </w:r>
      <w:proofErr w:type="gramEnd"/>
      <w:r w:rsidRPr="00D93A4E">
        <w:rPr>
          <w:rFonts w:ascii="Times New Roman" w:eastAsia="Times New Roman" w:hAnsi="Times New Roman" w:cs="Times New Roman"/>
          <w:lang w:eastAsia="en-GB"/>
        </w:rPr>
        <w:t xml:space="preserve"> stil i omogućiti drag &amp; drop konfiguraciju složenih sigurnosnih funkcija i transformacija poruka. Mora imati out-of-the-box alate za: enkripciju/dekripciju poruka, validaciju sadržaja, zaštitu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napada na sadržaj, digitalno potpisivanje i validaciju potpisa, transformaciju sadržaja (any-to-any), autentifikaciju i autorizaciju pošiljaoca, kontrolu protoka i throttling. Sve navedene funkcije moraju biti dostupne i za ulazne i za izlazne poruke.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Kreiranje custom politika, dodavanje/izmjena filtera za procesiranje poruka ne smije zahtijevati restart sistema.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imati striktne kontrole pristupa svim informacijama koje sadrži.</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spriječiti instalaciju interpretera za bilo koji programski jezik.</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podržavati rad preko više mrežnih interfejsa i domena, kako bi služio različitim domenima.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Sigurnosni gateway mora obezbijediti zaštitu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XML DoS napada (XDoS), curenja buffera i malicioznih XML dokumenata.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Sigurnosni gateway mora biti centralna tačka za kontrolu i sprovođenje politika: autentifikacija, autorizacija, validacija poruka, timestamping itd.</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obezbijediti objedinjeno sprovođenje politika i naprednu sigurnost, omogućavajući jedinstvenu tačku pristupa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konzistentnim sigurnosnim pravilima kroz sve kanale.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obezbijediti sljedeće sigurnosne funkcionalnosti:</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autentifikacija i autorizacija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translacija sigurnosnih tokena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virtualizacija servisa/API-ja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zaštita od prijetnji</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validacija šeme poruka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filtriranje poruka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digitalni potpis poruka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enkripcija poruka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integracija sa AV skenerima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obezbijediti sljedeće kontrolne funkcionalnosti:</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enforcement kvota i rate-a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content-based routing</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accounting poruka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obezbijediti optimizacione mogućnosti:</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HTTP/2</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SSL/TLS offload</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JSON/XML offload</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ubrzanje za JavaScript, JSONiq, XSLT, XQuery</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caching odgovora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enkripciju metodama: XKMS, RSA, 3DES, DES, AES, SHA, X.509, PKCS, CRLs, OCSP, XML, SSL i digitalni potpis i timestamp.</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enkripciju/potpisivanje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nivou pojedinačnog polja i na nivou cijelog dokumenta.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različite protokole i metode kontrole pristupa: OAuth 2.0, XACML, SAML, SSL, TLS, LDAP, </w:t>
      </w:r>
      <w:proofErr w:type="gramStart"/>
      <w:r w:rsidRPr="00D93A4E">
        <w:rPr>
          <w:rFonts w:ascii="Times New Roman" w:eastAsia="Times New Roman" w:hAnsi="Times New Roman" w:cs="Times New Roman"/>
          <w:lang w:eastAsia="en-GB"/>
        </w:rPr>
        <w:t>RADIUS</w:t>
      </w:r>
      <w:proofErr w:type="gramEnd"/>
      <w:r w:rsidRPr="00D93A4E">
        <w:rPr>
          <w:rFonts w:ascii="Times New Roman" w:eastAsia="Times New Roman" w:hAnsi="Times New Roman" w:cs="Times New Roman"/>
          <w:lang w:eastAsia="en-GB"/>
        </w:rPr>
        <w:t>.</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SSL v3 i TLS v1.0, v1.1, v1.2, v1.3.</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sve WS-* standarde.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WS-Policy Framework i WS-Policy Attachment. Sistem mora automatski umetati WS-Policy metapodatke u WSDL, kako bi klijenti mogli automatski da generišu zahtjeve.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SAML v1.0, v1.1 i v2.0.</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Za validaciju i verifikaciju identiteta korisnika, gateway mora podržavati:</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validaciju sertifikata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ekstrakciju identiteta iz različitih tokena</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proofErr w:type="gramStart"/>
      <w:r w:rsidRPr="00D93A4E">
        <w:rPr>
          <w:rFonts w:ascii="Times New Roman" w:eastAsia="Times New Roman" w:hAnsi="Times New Roman" w:cs="Times New Roman"/>
          <w:lang w:eastAsia="en-GB"/>
        </w:rPr>
        <w:t>validaciju</w:t>
      </w:r>
      <w:proofErr w:type="gramEnd"/>
      <w:r w:rsidRPr="00D93A4E">
        <w:rPr>
          <w:rFonts w:ascii="Times New Roman" w:eastAsia="Times New Roman" w:hAnsi="Times New Roman" w:cs="Times New Roman"/>
          <w:lang w:eastAsia="en-GB"/>
        </w:rPr>
        <w:t xml:space="preserve"> na eksternom ili internom repository-ju (npr. LDAP)</w:t>
      </w:r>
    </w:p>
    <w:p w:rsidR="00093DA6" w:rsidRPr="00D93A4E" w:rsidRDefault="00093DA6" w:rsidP="00093DA6">
      <w:pPr>
        <w:numPr>
          <w:ilvl w:val="1"/>
          <w:numId w:val="1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custom tokove za složene validacije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validaciju poruka poređenjem podataka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XML šemom WSDL-a i korišćenjem XSLT-a.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SSL/TLS offload.</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eksterno konfigurisano auditovanje.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Administrativni pristup gateway-u mora biti osiguran SSL-om.</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SNMP za udaljeno upravljanje.</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obezbijediti mogućnosti za dijagnostiku i rješavanje problema: testovi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mrežnom nivou (ping, portovi itd.), praćenje tokova poruka, hvatanje saobraćaja.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prioritizaciju izvršenja u skladu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definisanim SLA-ovima.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Web Services offloading korišćenjem XPath rutiranja zavisno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broja poruka.</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 xml:space="preserve">Gateway mora podržavati integraciju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bilo kojim UDDI proizvodom.</w:t>
      </w:r>
    </w:p>
    <w:p w:rsidR="00093DA6" w:rsidRPr="00D93A4E" w:rsidRDefault="00093DA6" w:rsidP="00093DA6">
      <w:pPr>
        <w:numPr>
          <w:ilvl w:val="0"/>
          <w:numId w:val="11"/>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omogućiti kontrolu nivoa saobraćaja ka određenim Web Services, kao i kontrolu pristupa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specifičnih klijenata ili mrežnih segmenata.</w:t>
      </w: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spacing w:after="0" w:line="240" w:lineRule="auto"/>
        <w:jc w:val="both"/>
        <w:rPr>
          <w:rFonts w:ascii="Times New Roman" w:eastAsia="Times New Roman" w:hAnsi="Times New Roman" w:cs="Times New Roman"/>
          <w:lang w:eastAsia="en-GB"/>
        </w:rPr>
      </w:pPr>
    </w:p>
    <w:p w:rsidR="00093DA6" w:rsidRPr="00D93A4E" w:rsidRDefault="00093DA6" w:rsidP="00093DA6">
      <w:pPr>
        <w:numPr>
          <w:ilvl w:val="1"/>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E-servisi</w:t>
      </w:r>
    </w:p>
    <w:p w:rsidR="00093DA6" w:rsidRPr="00D93A4E" w:rsidRDefault="00093DA6" w:rsidP="00093DA6">
      <w:pPr>
        <w:contextualSpacing/>
        <w:jc w:val="center"/>
        <w:rPr>
          <w:rFonts w:ascii="Times New Roman" w:eastAsia="Calibri" w:hAnsi="Times New Roman" w:cs="Times New Roman"/>
          <w:color w:val="000000"/>
          <w:sz w:val="40"/>
          <w:szCs w:val="40"/>
          <w:highlight w:val="yellow"/>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Tehnički, funkcionalni i nefunkcionalni zahtjevi koji se moraju ispuniti za e-servise su:</w:t>
      </w:r>
    </w:p>
    <w:p w:rsidR="00093DA6" w:rsidRPr="00D93A4E" w:rsidRDefault="00093DA6" w:rsidP="00093DA6">
      <w:pPr>
        <w:numPr>
          <w:ilvl w:val="0"/>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Administrativni i nadzorni moduli:</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Portal mora obezbijediti administratorski interfejs za praćenje korišćenja usluga.</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Sistem mora imati funkcionalnost logovanja svih aktivnosti građana i administratora.</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Mora postojati mogućnost generisanja izvještaja o korišćenju usluga i integracionih servisa.</w:t>
      </w:r>
    </w:p>
    <w:p w:rsidR="00093DA6" w:rsidRPr="00D93A4E" w:rsidRDefault="00093DA6" w:rsidP="00093DA6">
      <w:pPr>
        <w:numPr>
          <w:ilvl w:val="0"/>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Integracija sa internim sistemom:</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Servisi moraju biti razvijeni nad postojećom internom bazom podataka FPIO (Oracle RAC 19c).</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Komunikacija mora ići preko komponente za integraciju aplikacija.</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Portal mora prikazivati podatke u realnom vremenu.</w:t>
      </w:r>
    </w:p>
    <w:p w:rsidR="00093DA6" w:rsidRPr="00D93A4E" w:rsidRDefault="00093DA6" w:rsidP="00093DA6">
      <w:pPr>
        <w:numPr>
          <w:ilvl w:val="0"/>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Arhitekturni principi:</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Servisno orijentisana arhitektura (SOA).</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Sigurnost: TLS enkripcija i kontrola pristupa.</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Visoka dostupnost i skalabilnost.</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Otpornost na kvarove.</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Interoperabilnost sa drugim sistemima javne uprave.</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Održivost i mogućnost proširenja funkcionalnosti.</w:t>
      </w:r>
    </w:p>
    <w:p w:rsidR="00093DA6" w:rsidRPr="00D93A4E" w:rsidRDefault="00093DA6" w:rsidP="00093DA6">
      <w:pPr>
        <w:numPr>
          <w:ilvl w:val="0"/>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Performanse:</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Vrijeme odziva ne smiju prelaziti 5 sekundi u 95% slučajeva.</w:t>
      </w:r>
    </w:p>
    <w:p w:rsidR="00093DA6" w:rsidRPr="00D93A4E" w:rsidRDefault="00093DA6" w:rsidP="00093DA6">
      <w:pPr>
        <w:numPr>
          <w:ilvl w:val="1"/>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Servisi moraju podržavati rad sa velikim količinama podataka bez degradacije performansi.</w:t>
      </w:r>
    </w:p>
    <w:p w:rsidR="00093DA6" w:rsidRPr="00D93A4E" w:rsidRDefault="00093DA6" w:rsidP="00093DA6">
      <w:pPr>
        <w:numPr>
          <w:ilvl w:val="0"/>
          <w:numId w:val="5"/>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Autentifikacija:</w:t>
      </w:r>
    </w:p>
    <w:p w:rsidR="00093DA6" w:rsidRPr="00D93A4E" w:rsidRDefault="00093DA6" w:rsidP="00093DA6">
      <w:pPr>
        <w:numPr>
          <w:ilvl w:val="1"/>
          <w:numId w:val="5"/>
        </w:numPr>
        <w:spacing w:after="0" w:line="240" w:lineRule="auto"/>
        <w:ind w:right="-46"/>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Autentifikacija korisnika (građana) na javni dio portala vrši se kroz kori</w:t>
      </w:r>
      <w:r w:rsidRPr="00D93A4E">
        <w:rPr>
          <w:rFonts w:ascii="Times New Roman" w:eastAsia="Calibri" w:hAnsi="Times New Roman" w:cs="Times New Roman"/>
          <w:color w:val="000000"/>
          <w:lang w:val="sr-Latn-RS" w:eastAsia="en-GB"/>
        </w:rPr>
        <w:t xml:space="preserve">šćenje servisa NSeID uspostavljenog od strane Ministarstva Javne Uprave. Integracija portala i servisa treba da bude izvršena uz saradnju sa stručnim licima Ministarstva. </w:t>
      </w:r>
    </w:p>
    <w:p w:rsidR="00093DA6" w:rsidRPr="00D93A4E" w:rsidRDefault="00093DA6" w:rsidP="00093DA6">
      <w:pPr>
        <w:numPr>
          <w:ilvl w:val="0"/>
          <w:numId w:val="5"/>
        </w:numPr>
        <w:spacing w:after="0" w:line="240" w:lineRule="auto"/>
        <w:ind w:right="-46"/>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RS" w:eastAsia="en-GB"/>
        </w:rPr>
        <w:t>Sigurnost</w:t>
      </w:r>
      <w:r w:rsidRPr="00D93A4E">
        <w:rPr>
          <w:rFonts w:ascii="Times New Roman" w:eastAsia="Calibri" w:hAnsi="Times New Roman" w:cs="Times New Roman"/>
          <w:color w:val="000000"/>
          <w:lang w:eastAsia="en-GB"/>
        </w:rPr>
        <w:t>:</w:t>
      </w:r>
    </w:p>
    <w:p w:rsidR="00093DA6" w:rsidRPr="00D93A4E" w:rsidRDefault="00093DA6" w:rsidP="00093DA6">
      <w:pPr>
        <w:numPr>
          <w:ilvl w:val="1"/>
          <w:numId w:val="5"/>
        </w:numPr>
        <w:spacing w:after="0" w:line="240" w:lineRule="auto"/>
        <w:ind w:right="-46"/>
        <w:contextualSpacing/>
        <w:jc w:val="both"/>
        <w:rPr>
          <w:rFonts w:ascii="Times New Roman" w:eastAsia="Calibri" w:hAnsi="Times New Roman" w:cs="Times New Roman"/>
          <w:color w:val="000000"/>
          <w:lang w:eastAsia="en-GB"/>
        </w:rPr>
      </w:pPr>
      <w:r w:rsidRPr="00D93A4E">
        <w:rPr>
          <w:rFonts w:ascii="Times New Roman" w:eastAsia="Calibri" w:hAnsi="Times New Roman" w:cs="Times New Roman"/>
          <w:color w:val="000000"/>
          <w:lang w:val="sr-Latn-RS" w:eastAsia="en-GB"/>
        </w:rPr>
        <w:t>Arhitektura predmetnih servisa treba da bude osmišljena</w:t>
      </w:r>
      <w:r w:rsidRPr="00D93A4E">
        <w:rPr>
          <w:rFonts w:ascii="Times New Roman" w:eastAsia="Calibri" w:hAnsi="Times New Roman" w:cs="Times New Roman"/>
          <w:color w:val="000000"/>
          <w:lang w:val="sr-Latn-ME" w:eastAsia="en-GB"/>
        </w:rPr>
        <w:t xml:space="preserve"> </w:t>
      </w:r>
      <w:r w:rsidRPr="00D93A4E">
        <w:rPr>
          <w:rFonts w:ascii="Times New Roman" w:eastAsia="Calibri" w:hAnsi="Times New Roman" w:cs="Times New Roman"/>
          <w:color w:val="000000"/>
          <w:lang w:val="sr-Latn-RS" w:eastAsia="en-GB"/>
        </w:rPr>
        <w:t xml:space="preserve">tako da </w:t>
      </w:r>
      <w:r w:rsidRPr="00D93A4E">
        <w:rPr>
          <w:rFonts w:ascii="Times New Roman" w:eastAsia="Calibri" w:hAnsi="Times New Roman" w:cs="Times New Roman"/>
          <w:color w:val="000000"/>
          <w:lang w:eastAsia="en-GB"/>
        </w:rPr>
        <w:t>sigurnost mora biti ugrađena u dizajn (</w:t>
      </w:r>
      <w:r w:rsidRPr="00D93A4E">
        <w:rPr>
          <w:rFonts w:ascii="Times New Roman" w:eastAsia="Calibri" w:hAnsi="Times New Roman" w:cs="Times New Roman"/>
          <w:i/>
          <w:iCs/>
          <w:color w:val="000000"/>
          <w:lang w:eastAsia="en-GB"/>
        </w:rPr>
        <w:t>security by design</w:t>
      </w:r>
      <w:r w:rsidRPr="00D93A4E">
        <w:rPr>
          <w:rFonts w:ascii="Times New Roman" w:eastAsia="Calibri" w:hAnsi="Times New Roman" w:cs="Times New Roman"/>
          <w:color w:val="000000"/>
          <w:lang w:eastAsia="en-GB"/>
        </w:rPr>
        <w:t>) i podrazumijevana (</w:t>
      </w:r>
      <w:r w:rsidRPr="00D93A4E">
        <w:rPr>
          <w:rFonts w:ascii="Times New Roman" w:eastAsia="Calibri" w:hAnsi="Times New Roman" w:cs="Times New Roman"/>
          <w:i/>
          <w:iCs/>
          <w:color w:val="000000"/>
          <w:lang w:eastAsia="en-GB"/>
        </w:rPr>
        <w:t>security by default</w:t>
      </w:r>
      <w:r w:rsidRPr="00D93A4E">
        <w:rPr>
          <w:rFonts w:ascii="Times New Roman" w:eastAsia="Calibri" w:hAnsi="Times New Roman" w:cs="Times New Roman"/>
          <w:color w:val="000000"/>
          <w:lang w:eastAsia="en-GB"/>
        </w:rPr>
        <w:t xml:space="preserve">). Obavezna je potpuna izolacija domena korisnika, podataka i okruženja (npr. odvojeni </w:t>
      </w:r>
      <w:r w:rsidRPr="00D93A4E">
        <w:rPr>
          <w:rFonts w:ascii="Times New Roman" w:eastAsia="Calibri" w:hAnsi="Times New Roman" w:cs="Times New Roman"/>
          <w:i/>
          <w:iCs/>
          <w:color w:val="000000"/>
          <w:lang w:eastAsia="en-GB"/>
        </w:rPr>
        <w:t>tenant</w:t>
      </w:r>
      <w:r w:rsidRPr="00D93A4E">
        <w:rPr>
          <w:rFonts w:ascii="Times New Roman" w:eastAsia="Calibri" w:hAnsi="Times New Roman" w:cs="Times New Roman"/>
          <w:color w:val="000000"/>
          <w:lang w:eastAsia="en-GB"/>
        </w:rPr>
        <w:t>-i, baze i storage gdje je primjenjivo)</w:t>
      </w:r>
    </w:p>
    <w:p w:rsidR="00093DA6" w:rsidRPr="00D93A4E" w:rsidRDefault="00093DA6" w:rsidP="00093DA6">
      <w:pPr>
        <w:numPr>
          <w:ilvl w:val="1"/>
          <w:numId w:val="5"/>
        </w:numPr>
        <w:spacing w:after="0" w:line="240" w:lineRule="auto"/>
        <w:ind w:right="-46"/>
        <w:contextualSpacing/>
        <w:jc w:val="both"/>
        <w:rPr>
          <w:rFonts w:ascii="Times New Roman" w:eastAsia="Calibri" w:hAnsi="Times New Roman" w:cs="Times New Roman"/>
          <w:color w:val="000000"/>
          <w:lang w:eastAsia="en-GB"/>
        </w:rPr>
      </w:pPr>
      <w:r w:rsidRPr="00D93A4E">
        <w:rPr>
          <w:rFonts w:ascii="Times New Roman" w:eastAsia="Calibri" w:hAnsi="Times New Roman" w:cs="Times New Roman"/>
          <w:color w:val="000000"/>
          <w:lang w:eastAsia="en-GB"/>
        </w:rPr>
        <w:t>Primijeniti principe najmanjih privilegija, te segmentaciju logičkih segmenata u cilju olakšanja uspostave obrane po dubini (</w:t>
      </w:r>
      <w:r w:rsidRPr="00D93A4E">
        <w:rPr>
          <w:rFonts w:ascii="Times New Roman" w:eastAsia="Calibri" w:hAnsi="Times New Roman" w:cs="Times New Roman"/>
          <w:i/>
          <w:iCs/>
          <w:color w:val="000000"/>
          <w:lang w:eastAsia="en-GB"/>
        </w:rPr>
        <w:t>defence in depth</w:t>
      </w:r>
      <w:r w:rsidRPr="00D93A4E">
        <w:rPr>
          <w:rFonts w:ascii="Times New Roman" w:eastAsia="Calibri" w:hAnsi="Times New Roman" w:cs="Times New Roman"/>
          <w:color w:val="000000"/>
          <w:lang w:eastAsia="en-GB"/>
        </w:rPr>
        <w:t>) te olakšanja integracije naprednih sistema zaštite</w:t>
      </w:r>
    </w:p>
    <w:p w:rsidR="00093DA6" w:rsidRPr="00D93A4E" w:rsidRDefault="00093DA6" w:rsidP="00093DA6">
      <w:pPr>
        <w:numPr>
          <w:ilvl w:val="1"/>
          <w:numId w:val="5"/>
        </w:numPr>
        <w:spacing w:after="0" w:line="240" w:lineRule="auto"/>
        <w:ind w:right="-46"/>
        <w:contextualSpacing/>
        <w:jc w:val="both"/>
        <w:rPr>
          <w:rFonts w:ascii="Times New Roman" w:eastAsia="Calibri" w:hAnsi="Times New Roman" w:cs="Times New Roman"/>
          <w:color w:val="000000"/>
          <w:lang w:eastAsia="en-GB"/>
        </w:rPr>
      </w:pPr>
      <w:r w:rsidRPr="00D93A4E">
        <w:rPr>
          <w:rFonts w:ascii="Times New Roman" w:eastAsia="Times New Roman" w:hAnsi="Times New Roman" w:cs="Times New Roman"/>
          <w:color w:val="000000"/>
          <w:sz w:val="21"/>
          <w:szCs w:val="21"/>
          <w:shd w:val="clear" w:color="auto" w:fill="FFFFFF"/>
          <w:lang w:eastAsia="en-GB"/>
        </w:rPr>
        <w:t>Primijeniti princip segmentacije i mikrosegmentacije servisa gdje god je to mogu</w:t>
      </w:r>
      <w:r w:rsidRPr="00D93A4E">
        <w:rPr>
          <w:rFonts w:ascii="Times New Roman" w:eastAsia="Times New Roman" w:hAnsi="Times New Roman" w:cs="Times New Roman"/>
          <w:color w:val="000000"/>
          <w:sz w:val="21"/>
          <w:szCs w:val="21"/>
          <w:shd w:val="clear" w:color="auto" w:fill="FFFFFF"/>
          <w:lang w:val="sr-Latn-RS" w:eastAsia="en-GB"/>
        </w:rPr>
        <w:t>će i opravdano.</w:t>
      </w:r>
    </w:p>
    <w:p w:rsidR="00093DA6" w:rsidRPr="00D93A4E" w:rsidRDefault="00093DA6" w:rsidP="00093DA6">
      <w:pPr>
        <w:ind w:left="1440" w:right="-46"/>
        <w:contextualSpacing/>
        <w:jc w:val="both"/>
        <w:rPr>
          <w:rFonts w:ascii="Times New Roman" w:eastAsia="Calibri" w:hAnsi="Times New Roman" w:cs="Times New Roman"/>
          <w:color w:val="000000"/>
          <w:lang w:eastAsia="en-GB"/>
        </w:rPr>
      </w:pPr>
    </w:p>
    <w:p w:rsidR="00093DA6" w:rsidRPr="00D93A4E" w:rsidRDefault="00093DA6" w:rsidP="00093DA6">
      <w:pPr>
        <w:numPr>
          <w:ilvl w:val="0"/>
          <w:numId w:val="3"/>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SPECIFIKACIJA RELEVANTNE ZAKONSKE REGULATIVE</w:t>
      </w:r>
    </w:p>
    <w:p w:rsidR="00093DA6" w:rsidRPr="00D93A4E" w:rsidRDefault="00093DA6" w:rsidP="00093DA6">
      <w:pPr>
        <w:contextualSpacing/>
        <w:jc w:val="center"/>
        <w:rPr>
          <w:rFonts w:ascii="Times New Roman" w:eastAsia="Calibri" w:hAnsi="Times New Roman" w:cs="Times New Roman"/>
          <w:color w:val="000000"/>
          <w:sz w:val="40"/>
          <w:szCs w:val="4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relevantne zakonske ragulative koja je bitna za projekat:</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 xml:space="preserve">Zakon o penzijskom i invalidskom osiguranju (“Službeni list RCG”, br. 54/03, 39/04, 79/04, 81/04 i 47/07);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opštem upravnom postupku (“Službeni list RCG”, br. 60/03);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opštem upravnom postupku (“Službeni list RCG”, br  56/14, 20/15, 40/16, 37/17);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Republičkog fonda penzijskog i invalidskog osiguranja (“Službeni list RCG”, br. 48/04);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Uredba o načinu obračuna i utvrđivanju visine sredstava koja se iz Budžeta Republike obezbjeđuju Republičkom fondu penzijskog i invalidskog osiguranja (“Službeni list RCG”, br. 22/05);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obrazovanju i načinu rada Prvostepene invalidske komisije (“Službeni list RCG”, br. 47/04);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obrascima prijava podataka za matičnu evidenciju iz penzijskog i invalidskog osiguranja (“Službeni list RCG”, br. 5/04);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jedinstvenim metodološkim principima za vođenje matične evidencije iz penzijskog i invalidskog osiguranja (“Službeni list RCG”, br. 5/04);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jedinstvenom kodeksu šifara za unošenje podataka u matičnu evidenciju iz penzijskog i invalidskog osiguranja (“Službeni list RCG”, br. 5/04);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osnovica za penzijsko i invalidsko osiguranje za lica zaposlena u inostranstvu (“Službeni list RCG”, br. 34/04);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osnovica za penzijsko i invalidsko osiguranje za sveštenike i vjerske službenike (“Službeni list RCG”, br. 34/04);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osnovica za penzijsko i invalidsko osiguranje na koje se osiguranici poljoprivrednici mogu osigurati po sopstvenom izboru (“Službeni list RCG”, br. 34/04);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Pravilnik o obimu i sadržini medicinske dokumentacije potrebne u postupku za ostvarivanje prava iz penzijskog i invalidskog osiguranja (“Službeni list RCG”, br. 60/04);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tjelesnih oštećenja (“Službeni list RCG”, br. 45/04);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profesionalnih bolesti (“Službeni list RCG”, br. 66/04);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obrazovanju i načinu rada Drugostepene invalidske komisije (“Službeni list RCG”, br. 35/07);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načinu i postupku povraćaja više plaćenog doprinosa za penzijsko i invalidsko osiguranje (“Službeni list RCG”, br. 24/05);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obavljanju poljoprivredne djelatnosti kao jedinog ili glavnog zanimanja (“Službeni list RCG”, br. 25/04);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Odluka o usklađivanju osnovica, rokovima i načinu plaćanja doprinosa za produženo osiguranje (“Službeni list RCG”, br. 31/04).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objedinjenoj registraciji i sistemu izvještavanja o obračunu i naplati poreza i doprinosa («Sl. list RCG», br. 29/05)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penzijskom i invalidskom osiguranju ( "Službeni list Crne Gore", br.  79/08 , 14/10 , 78/10, 34/11 , 66/12 , 38/13 , 61/13 , 6/14 ,  60/14 , 10/15 , 44/15 , 42/16 , 55/16 , 80/20,45/21, 145/21 i86/22 )</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Stari propisi</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penzijskom osiguranju (“Sl. list FNRJ”, br. 51/57, 44/58, 27/59, 48/59, 10/61, 22/62 i 53/62);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invalidskom osiguranju (“Sl. list FNRJ”, br. 49/58, 27/59, 53/62 i 5/65);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Osnovni zakon o penzijskom osiguranju (“Sl. list SFRJ”, br. 51/64, 56/65, 14/66, 1/67, 18/67, 31/67, 54/67, 17/68, 32/68, 55/68, 11/69, 13/69, 56/69, 47/70, 60/70, 15/71, 16/71 i 60/71);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Osnovni zakon o invalidskom osiguranju (“Sl. list SFRJ”, br. 10/65, 14/66, 15/66, 1/67, 23/67 i 59/67);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utvrđivanju radnih mjesta na kojima se staž osiguranja računa sa uvećanim trajanjem (“Sl. list SFRJ”, br. 17/68, 20/69 i 29/71);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osnovnim pravima iz penzijskog i invalidskog osiguranja (“Sl. list SFRJ”, br. 35/72, 18/76, 58/76, 22/78 i 74/80);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osnovnim pravima nosilaca “Partizanske spomenice 1941” (“Sl. list SFRJ”, br. 67/72, 40/73, 33/76, 32/81, 68/81, 25/85, 75/85, 44/89, 87/89, 20/90 i 42/90);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osnovnim pravima iz penzijskog i invalidskog osiguranja (“Sl. list SFRJ”, br. 23/82, 77/82, 75/85, 8/87, 65/87, 87/89, 44/90 i 54/90 i “Sl. list SRJ”, br. 41/94);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Zakona o osnovama penzijskog i invalidskog osiguranja (“Sl. list SRJ”, br. 30/96);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penzijskom i invalidskom osiguranju (“Sl. list SRCG”, br. 28/72, 16/78, 7/81 i 8/82);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penzijskom i invalidskom osiguranju (“Sl. list SRCG”, br. 14/83, 12/85, 14/89 i 28/91 i “Sl. list RCG”, br. 18/92 i 20/93);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Zakonom  o penzijskom i invalidskom osiguranju (“Sl. list SRCG”, br. 14/83, 12/85, 14/89 i 28/91 i “Sl. list RCG”, br. 18/92 i 20/93);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Samoupravne interesne zajednice penzijskog i invalidskog osiguranja radnika Crne Gore (“Sl. list SRCG”, br. 3/73, 5/75, 7/76, 24/78, 9/80, 14/82 i 15/83);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Republičke samoupravne interesne zajednice penzijskog i invalidskog osiguranja (“Sl. list RCG”, br. 23/83, 9/86 i 8/89);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Republičkog Fonda penzijskog i invalidskog osiguranja ("Službeni list RCG", br. 46/91 i 11/94);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Vojsci Jugoslavije (“Sl. list SRJ”, br. 43/94, 28/96, 44/99, 74/99, 3/02 i 37/02 i “Sl. list SCG”, br. 7/05 i 44/05);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izmjenama i dopunama Zakona o osnovama sistema državne uprave i o Saveznom izvršnom vijeću i saveznim organima uprave (“Sl. list SFRJ”, br. 40/89);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izmjenama i dopunama Zakona o državnoj upravi u Socijalističkoj Republici Crnoj Gori (“Sl. list SRCG”, br. 37/89);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izmjenama i dopunama Zakona o naknadama ličnih dohodaka delegata u Skupštini SFRJ i o ličnim dohocima funkcionera koje proglašava, bira ili imenuje Skupština SFRJ (“Sl. list SFRJ”, br. 74/90);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12/67);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5/73 i 21/76);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3/81);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13/85 i 32/89 i (“Sl. list RCG”, br. 20/93);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RCG”, br. 24/94);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izvršenju krivičnih sankcija (“Sl. list SRCG”, br. 38/74, 21/79 i 41/82);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izvršenju krivičnih sankcija (“Sl. list SRCG”, br. 15/86, 22/87 i 28/89);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izvršenju krivičnih sankcija (“Sl. list SRCG”, br. 25/94 i 29/94);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Odluke o usklađivanjima</w:t>
      </w:r>
    </w:p>
    <w:p w:rsidR="00093DA6" w:rsidRPr="00D93A4E" w:rsidRDefault="00093DA6" w:rsidP="00093DA6">
      <w:pPr>
        <w:contextualSpacing/>
        <w:jc w:val="both"/>
        <w:rPr>
          <w:rFonts w:ascii="Times New Roman" w:eastAsia="Calibri" w:hAnsi="Times New Roman" w:cs="Times New Roman"/>
          <w:color w:val="000000"/>
          <w:lang w:val="sr-Latn-ME" w:eastAsia="en-GB"/>
        </w:rPr>
      </w:pP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Odluke o usklađivanju, odnosno usaglašavanju prava iz penzijskog i invalidskog osiguranja od 1965. godine do danas</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br.1.Sl.list br. 20/65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br.2.Sl.list br. 8/66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br.3.Sl.list br. 24/67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br.4.Sl.list br. 9/68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br.5.Sl.list br. 31/68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br.6.Sl.list br. 6/69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br.7.Sl.list br. 3/70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br.8.Sl.list br. 3/70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br.9.Sl.list br. 22/70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br.10.Sl.list br. 2/71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br.11.Sl.list br. 15/71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 Sl.list br. 27/71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br.13.Sl.list br. 4/72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br.14.Sl.list br. 4/72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br.15.Sl.list br. 21/72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br.16.Sl.list br. 29/73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br.17.Sl.list br. 29/73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br.19.Sl.list br. 11/74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br.20.Sl.list br. 25/74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br.21Sl.list br. 29/74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br.22.Sl.list br. 7/75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br.23.Sl.list br. 16/75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br.24.Sl.list br. 36/75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br.25.Sl.list br. 51/75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br.26.Sl.list br. 45/76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br.27.Sl.list br. 45/76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br.28.Sl.list br. 1/77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br.29.Sl.list br. 34/77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br.30.Sl.list br. 7/78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br.31.Sl.list br. 7/78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br.32.Sl.list br. 22/78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br.33.Sl.list br. 32/78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br.34.Sl.list br. 9/79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br.35.Sl.list br. 24/79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br.36.Sl.list br. 2/80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br.37.Sl.list br. 20/80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br.38.Sl.list br. 10/81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br.39.Sl.list br. 43/81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br.40.Sl.list br. 9/82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br.41.Sl.list br. 23/82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br.42.Sl.list br. 9/83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br.43.Sl.list br. 32/83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br.44.Sl.list br. 36/83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br.45.Sl.list br. 10/84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br.46.Sl.list br. 17/84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br.47.Sl.list br. 32/84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br.48.Sl.list br. 31/84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br.49.Sl.list br. 28/85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br.50.Sl.list br. 4/87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br.51.Sl.list br. 4/87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br.52.Sl.list br. 18/87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br.53.Sl.list br. 23/87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br.54.Sl.list br. 25/87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br.55.Sl.list br. 28/87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br.56.Sl.list br. 3/88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br.57.Sl.list br. 3/88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br.65.Sl.list br. 16/90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br.66.Sl.list br. 32/89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br.67.Sl.list br. 4/90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br.68.Sl.list br. 16/90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br.69-72.Sl.list br. 38/90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br.73.Sl.list br. 42/90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br.74.Sl.list br. 42/90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br.75.Sl.list br. 48/90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br.76.Sl.list br. 48/90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br.77.Sl.list br. 17/91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br.78.Sl.list br. 17/91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br.79.Sl.list br. 19/91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br.80.Sl.list br. 49/91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br.81.Sl.list br. 49/91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br.82.Sl.list br. 49/91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br.83.Sl.list br. 50/91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br.84.priručnik</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br.85.priručnik</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br.86.priručnik</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br.87.Sl.list br. 13/92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br.88.Sl.list br. 26/92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br.89.Sl.list br. 26/92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br.90.Sl.list br. 26/92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br.91.Sl.list br. 34/92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br.92.Sl.list br. 54/92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br.93.Sl.list br. 54/92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br.94.Sl.list br. 54/92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br.95.Sl.list br. 54/92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br.96.Sl.list br. 54/92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br.97.Sl.list br. 60/92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br.98.Sl.list br. 6/93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br.99.Sl.list br. 12/94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br.100.Sl.list br. 12/94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br.101.Sl.list br. 12/94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br.102.Sl.list br. 23/94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br.103.Sl.list br. 23/94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br.104.Sl.list br. 23/94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br.105.Sl.list br. 34/94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br.106.Sl.list br. 34/94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br.107.Sl.list br. 34/94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br.108.Sl.list br. 38/94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br.109.Sl.list br. 1/95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br.110.Sl.list br. 23/95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br.111.Sl.list br. 12/95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br.112.Sl.list br. 23/95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br.113.Sl.list br. 23/95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br.114.Sl.list br. 33/95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br.115.Sl.list br. 33/95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br.116.Sl.list br. 41/95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br.117.Sl.list br. 41/95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br.118.Sl.list br. 7/96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br.119.Sl.list br. 7/96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br.120.Sl.list br. 16/96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br.121.Sl.list br. 16/96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br.122.Sl.list br. 16/96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br.123.Sl.list br. 36/96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br.124.Sl.list br. 36/96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br.125.Sl.list br. 36/96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br.126.Sl.list br. 36/96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br.127.Sl.list br. 6/97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br.128.Sl.list br. 37/97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br.129.Sl.list br. 37/97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br.130.Sl.list br. 37/97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br.131.Sl.list br. 37/97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br.132.Sl.list br. 37/97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br.133.Sl.list br. 37/97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br.134.Sl.list br. 44/97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br.135.Sl.list br. 44/97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br.136.Sl.list br. 2/98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br.137.Sl.list br. 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br.138.Sl.list br. 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br.139.Sl.list br. 13/98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br.140.Sl.list br. 22/98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br.141.Sl.list br. 36/98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br.142.Sl.list br. 36/98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br.143.Sl.list br. 36/98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br.144.Sl.list br. 46/98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br.145.Sl.list br. 46/98</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br.146.Sl.list br. 7/99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br.147.Sl.list br. 7/99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br.148.Sl.list br. 7/99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br.149.Sl.list br. 16/99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br.150.Sl.list br. 40/99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br.151.Sl.list br. 40/99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br.152.Sl.list br. 40/99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br.153.Sl.list br. 50/99</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br.154.Sl.list br. 5/00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br.155.Sl.list br. 10/00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br.156.Sl.list br. 10/00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br.157.Sl.list br. 10/00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br.158.Sl.list br. 20/00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br.159.Sl.list br. 35/00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br.160.Sl.list br. 45/00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br.161.Sl.list br. 60/00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br.162.Sl.list br. 32/01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br.163.Sl.list br. 32/01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br.164.Sl.list br. 32/01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br.165.Sl.list br. 44/01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br.166.Sl.list br. 14/02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br.167.Sl.list br. 14/02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br.168.Sl.list br. 38/02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br.169.Sl.list br. 38/02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br.170.Sl.list br. 67/02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br.171.Sl.list br. 67/02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br.172.Sl.list br. 12/04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br.173.Sl.list br. 12/04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br.174.Sl.list br. 12/04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br.175.Sl.list br. 57/04</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br.176.Sl.list br. 06/05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br.177.Sl.list br. 45/05</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br.178.Sl.list br. 08/06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br.179.Sl.list br. 47/06</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br.180.Sl.list br. 08/07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br.181.Sl.list br. 45/07</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br.182 Sl.list br. 15/07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br.183 Sl.list br. 07/08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br.184 Sl.list br. 44/08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br.185 Sl.list br.72/08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 xml:space="preserve">Usklađivanje br.186 Sl.list br. 09/09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br.187 Sl.list br. 47/09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br.188 Sl.list br. 07/10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br.189 Sl.list br. 41/10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br.190 Sl.list br. 11/11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br.191 Sl.list br. 09/12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br.192 Sl.list br. 09/16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br.193 Sl.list br.50/16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br.194 Sl.list br.11/17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br.195 Sl.list br. 06/18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br.196 Sl.list br. 08/19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br.197 Sl.list br.08/20</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br.198 Sl.list br. 10/21</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br.199 Sl.list br. 12/22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br.200 Sl.list br. 54/22</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br.201 Sl.list br. 100/22 </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br.202 Sl.list br. 14/23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br.203 Sl.list br. 58/23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br.204 Sl.list br. 88/23</w:t>
      </w:r>
    </w:p>
    <w:p w:rsidR="00093DA6" w:rsidRPr="00D93A4E" w:rsidRDefault="00093DA6" w:rsidP="00093DA6">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br.205 Sl.list br. 92/23</w:t>
      </w:r>
    </w:p>
    <w:p w:rsidR="00093DA6" w:rsidRPr="00E469D1" w:rsidRDefault="00093DA6" w:rsidP="00093DA6">
      <w:pPr>
        <w:spacing w:after="160" w:line="259" w:lineRule="auto"/>
        <w:contextualSpacing/>
        <w:jc w:val="both"/>
        <w:rPr>
          <w:rFonts w:ascii="Arial" w:eastAsia="Calibri" w:hAnsi="Arial" w:cs="Arial"/>
          <w:color w:val="000000"/>
          <w:lang w:val="sr-Latn-ME"/>
        </w:rPr>
      </w:pPr>
    </w:p>
    <w:p w:rsidR="00EF416C" w:rsidRDefault="00EF416C"/>
    <w:sectPr w:rsidR="00EF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13E"/>
    <w:multiLevelType w:val="hybridMultilevel"/>
    <w:tmpl w:val="4AF02CE6"/>
    <w:lvl w:ilvl="0" w:tplc="5706F34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60F8B"/>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E2927"/>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280FF9"/>
    <w:multiLevelType w:val="multilevel"/>
    <w:tmpl w:val="110E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8F6B78"/>
    <w:multiLevelType w:val="hybridMultilevel"/>
    <w:tmpl w:val="8AAC80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630CC1"/>
    <w:multiLevelType w:val="multilevel"/>
    <w:tmpl w:val="ED2AE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F1782"/>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E311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6C12DF"/>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302211"/>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1A6A1E"/>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E73248"/>
    <w:multiLevelType w:val="hybridMultilevel"/>
    <w:tmpl w:val="A5CC1ECA"/>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091C62"/>
    <w:multiLevelType w:val="hybridMultilevel"/>
    <w:tmpl w:val="06F09BB2"/>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DA4BBA"/>
    <w:multiLevelType w:val="hybridMultilevel"/>
    <w:tmpl w:val="739498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13"/>
  </w:num>
  <w:num w:numId="5">
    <w:abstractNumId w:val="4"/>
  </w:num>
  <w:num w:numId="6">
    <w:abstractNumId w:val="8"/>
  </w:num>
  <w:num w:numId="7">
    <w:abstractNumId w:val="10"/>
  </w:num>
  <w:num w:numId="8">
    <w:abstractNumId w:val="1"/>
  </w:num>
  <w:num w:numId="9">
    <w:abstractNumId w:val="6"/>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52"/>
    <w:rsid w:val="00093DA6"/>
    <w:rsid w:val="009E0D52"/>
    <w:rsid w:val="00EF4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E87A"/>
  <w15:chartTrackingRefBased/>
  <w15:docId w15:val="{BA4B12F8-2717-4ED3-B69F-2C7761C7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DA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6635</Words>
  <Characters>37825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Zugic</dc:creator>
  <cp:keywords/>
  <dc:description/>
  <cp:lastModifiedBy>Ana Zugic</cp:lastModifiedBy>
  <cp:revision>1</cp:revision>
  <dcterms:created xsi:type="dcterms:W3CDTF">2025-10-14T07:51:00Z</dcterms:created>
  <dcterms:modified xsi:type="dcterms:W3CDTF">2025-10-14T10:11:00Z</dcterms:modified>
</cp:coreProperties>
</file>