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8B156">
      <w:pPr>
        <w:jc w:val="right"/>
        <w:rPr>
          <w:rFonts w:ascii="Arial" w:hAnsi="Arial" w:cs="Arial"/>
          <w:b/>
          <w:color w:val="000000"/>
        </w:rPr>
      </w:pPr>
    </w:p>
    <w:p w14:paraId="555B94D6">
      <w:pPr>
        <w:jc w:val="right"/>
        <w:rPr>
          <w:rFonts w:ascii="Arial" w:hAnsi="Arial" w:cs="Arial"/>
          <w:b/>
          <w:color w:val="000000"/>
        </w:rPr>
      </w:pPr>
      <w:r>
        <w:rPr>
          <w:rFonts w:ascii="Arial" w:hAnsi="Arial" w:cs="Arial"/>
          <w:b/>
          <w:color w:val="000000"/>
        </w:rPr>
        <w:t xml:space="preserve">OBRAZAC 1  </w:t>
      </w:r>
    </w:p>
    <w:p w14:paraId="076392B9">
      <w:pPr>
        <w:jc w:val="both"/>
        <w:rPr>
          <w:rFonts w:ascii="Arial" w:hAnsi="Arial" w:cs="Arial"/>
        </w:rPr>
      </w:pPr>
      <w:r>
        <w:rPr>
          <w:rFonts w:ascii="Arial" w:hAnsi="Arial" w:cs="Arial"/>
        </w:rPr>
        <w:t>Opština Andrijevica</w:t>
      </w:r>
    </w:p>
    <w:p w14:paraId="5EF0582F">
      <w:pPr>
        <w:jc w:val="both"/>
        <w:rPr>
          <w:rFonts w:hint="default" w:ascii="Arial" w:hAnsi="Arial" w:cs="Arial"/>
          <w:lang w:val="sr-Latn-RS"/>
        </w:rPr>
      </w:pPr>
      <w:r>
        <w:rPr>
          <w:rFonts w:ascii="Arial" w:hAnsi="Arial" w:cs="Arial"/>
        </w:rPr>
        <w:t>Broj iz evidencije postupaka javnih nabavki: 018-</w:t>
      </w:r>
      <w:r>
        <w:rPr>
          <w:rFonts w:hint="default" w:ascii="Arial" w:hAnsi="Arial" w:cs="Arial"/>
          <w:lang w:val="sr-Latn-RS"/>
        </w:rPr>
        <w:t>1183/25-01/1</w:t>
      </w:r>
    </w:p>
    <w:p w14:paraId="4402D611">
      <w:pPr>
        <w:jc w:val="both"/>
        <w:rPr>
          <w:rFonts w:hint="default" w:ascii="Arial" w:hAnsi="Arial" w:cs="Arial"/>
          <w:color w:val="000000"/>
          <w:lang w:val="sr-Latn-RS"/>
        </w:rPr>
      </w:pPr>
      <w:r>
        <w:rPr>
          <w:rFonts w:ascii="Arial" w:hAnsi="Arial" w:cs="Arial"/>
          <w:color w:val="000000"/>
        </w:rPr>
        <w:t>Redni broj iz Plana javnih nabavki : 1</w:t>
      </w:r>
      <w:r>
        <w:rPr>
          <w:rFonts w:hint="default" w:ascii="Arial" w:hAnsi="Arial" w:cs="Arial"/>
          <w:color w:val="000000"/>
          <w:lang w:val="sr-Latn-RS"/>
        </w:rPr>
        <w:t>7</w:t>
      </w:r>
    </w:p>
    <w:p w14:paraId="3222EC96">
      <w:pPr>
        <w:jc w:val="both"/>
        <w:rPr>
          <w:rFonts w:ascii="Arial" w:hAnsi="Arial" w:cs="Arial"/>
          <w:b/>
          <w:bCs/>
          <w:color w:val="000000"/>
        </w:rPr>
      </w:pPr>
      <w:r>
        <w:rPr>
          <w:rFonts w:ascii="Arial" w:hAnsi="Arial" w:cs="Arial"/>
          <w:color w:val="000000"/>
        </w:rPr>
        <w:t xml:space="preserve">Andrijevica, </w:t>
      </w:r>
      <w:r>
        <w:rPr>
          <w:rFonts w:hint="default" w:ascii="Arial" w:hAnsi="Arial" w:cs="Arial"/>
          <w:color w:val="000000"/>
          <w:lang w:val="sr-Latn-RS"/>
        </w:rPr>
        <w:t>02</w:t>
      </w:r>
      <w:r>
        <w:rPr>
          <w:rFonts w:ascii="Arial" w:hAnsi="Arial" w:cs="Arial"/>
          <w:color w:val="000000"/>
        </w:rPr>
        <w:t>.</w:t>
      </w:r>
      <w:r>
        <w:rPr>
          <w:rFonts w:hint="default" w:ascii="Arial" w:hAnsi="Arial" w:cs="Arial"/>
          <w:color w:val="000000"/>
          <w:lang w:val="sr-Latn-RS"/>
        </w:rPr>
        <w:t>10</w:t>
      </w:r>
      <w:r>
        <w:rPr>
          <w:rFonts w:ascii="Arial" w:hAnsi="Arial" w:cs="Arial"/>
          <w:color w:val="000000"/>
        </w:rPr>
        <w:t>.202</w:t>
      </w:r>
      <w:r>
        <w:rPr>
          <w:rFonts w:hint="default" w:ascii="Arial" w:hAnsi="Arial" w:cs="Arial"/>
          <w:color w:val="000000"/>
          <w:lang w:val="sr-Latn-RS"/>
        </w:rPr>
        <w:t>5</w:t>
      </w:r>
      <w:r>
        <w:rPr>
          <w:rFonts w:ascii="Arial" w:hAnsi="Arial" w:cs="Arial"/>
          <w:color w:val="000000"/>
        </w:rPr>
        <w:t>.god</w:t>
      </w:r>
    </w:p>
    <w:p w14:paraId="01CD9EF4">
      <w:pPr>
        <w:rPr>
          <w:rFonts w:ascii="Arial" w:hAnsi="Arial" w:cs="Arial"/>
        </w:rPr>
      </w:pPr>
    </w:p>
    <w:p w14:paraId="71ECBD73">
      <w:pPr>
        <w:rPr>
          <w:rFonts w:ascii="Arial" w:hAnsi="Arial" w:cs="Arial"/>
        </w:rPr>
      </w:pPr>
    </w:p>
    <w:p w14:paraId="3D1F5F5E">
      <w:pPr>
        <w:rPr>
          <w:rFonts w:ascii="Arial" w:hAnsi="Arial" w:cs="Arial"/>
        </w:rPr>
      </w:pPr>
    </w:p>
    <w:p w14:paraId="38924C39">
      <w:pPr>
        <w:tabs>
          <w:tab w:val="left" w:pos="1276"/>
          <w:tab w:val="left" w:pos="3261"/>
        </w:tabs>
        <w:jc w:val="both"/>
        <w:rPr>
          <w:rFonts w:ascii="Arial" w:hAnsi="Arial" w:cs="Arial"/>
          <w:b/>
          <w:bCs/>
          <w:color w:val="000000"/>
        </w:rPr>
      </w:pPr>
      <w:r>
        <w:rPr>
          <w:rFonts w:ascii="Arial" w:hAnsi="Arial" w:cs="Arial"/>
        </w:rPr>
        <w:t>Na osnovu člana 53 stav 3 Zakona o javnim nabavkama („Službeni list CG“, br. 74/19, 3/23  I 11/23  Opština Andrijevica objavljuje:</w:t>
      </w:r>
    </w:p>
    <w:p w14:paraId="0E018999">
      <w:pPr>
        <w:tabs>
          <w:tab w:val="left" w:pos="1276"/>
          <w:tab w:val="left" w:pos="3261"/>
        </w:tabs>
        <w:jc w:val="both"/>
        <w:rPr>
          <w:rFonts w:ascii="Arial" w:hAnsi="Arial" w:cs="Arial"/>
          <w:b/>
          <w:bCs/>
          <w:color w:val="000000"/>
        </w:rPr>
      </w:pPr>
    </w:p>
    <w:p w14:paraId="4BA8FD79">
      <w:pPr>
        <w:tabs>
          <w:tab w:val="left" w:pos="1276"/>
          <w:tab w:val="left" w:pos="3261"/>
        </w:tabs>
        <w:jc w:val="both"/>
        <w:rPr>
          <w:rFonts w:ascii="Arial" w:hAnsi="Arial" w:cs="Arial"/>
          <w:b/>
          <w:bCs/>
          <w:color w:val="000000"/>
        </w:rPr>
      </w:pPr>
    </w:p>
    <w:p w14:paraId="5B2A2D7F">
      <w:pPr>
        <w:tabs>
          <w:tab w:val="left" w:pos="1276"/>
          <w:tab w:val="left" w:pos="3261"/>
        </w:tabs>
        <w:jc w:val="both"/>
        <w:rPr>
          <w:rFonts w:ascii="Arial" w:hAnsi="Arial" w:cs="Arial"/>
          <w:b/>
          <w:bCs/>
          <w:color w:val="000000"/>
        </w:rPr>
      </w:pPr>
    </w:p>
    <w:p w14:paraId="0B277AB9">
      <w:pPr>
        <w:tabs>
          <w:tab w:val="left" w:pos="1276"/>
          <w:tab w:val="left" w:pos="3261"/>
        </w:tabs>
        <w:jc w:val="both"/>
        <w:rPr>
          <w:rFonts w:ascii="Arial" w:hAnsi="Arial" w:cs="Arial"/>
          <w:b/>
          <w:bCs/>
          <w:color w:val="000000"/>
        </w:rPr>
      </w:pPr>
    </w:p>
    <w:p w14:paraId="6D57E808">
      <w:pPr>
        <w:tabs>
          <w:tab w:val="left" w:pos="1276"/>
          <w:tab w:val="left" w:pos="3261"/>
        </w:tabs>
        <w:jc w:val="both"/>
        <w:rPr>
          <w:rFonts w:ascii="Arial" w:hAnsi="Arial" w:cs="Arial"/>
          <w:b/>
          <w:bCs/>
          <w:color w:val="000000"/>
        </w:rPr>
      </w:pPr>
    </w:p>
    <w:p w14:paraId="1BC4A7C8">
      <w:pPr>
        <w:tabs>
          <w:tab w:val="left" w:pos="1276"/>
          <w:tab w:val="left" w:pos="3261"/>
        </w:tabs>
        <w:jc w:val="both"/>
        <w:rPr>
          <w:rFonts w:ascii="Arial" w:hAnsi="Arial" w:cs="Arial"/>
        </w:rPr>
      </w:pPr>
      <w:r>
        <w:rPr>
          <w:rFonts w:ascii="Arial" w:hAnsi="Arial" w:cs="Arial"/>
          <w:b/>
          <w:bCs/>
          <w:color w:val="000000"/>
        </w:rPr>
        <w:tab/>
      </w:r>
    </w:p>
    <w:p w14:paraId="4DB04C07">
      <w:pPr>
        <w:keepNext/>
        <w:jc w:val="center"/>
        <w:outlineLvl w:val="0"/>
        <w:rPr>
          <w:rFonts w:ascii="Arial" w:hAnsi="Arial" w:cs="Arial"/>
          <w:b/>
          <w:bCs/>
          <w:color w:val="000000"/>
        </w:rPr>
      </w:pPr>
    </w:p>
    <w:p w14:paraId="33F60021">
      <w:pPr>
        <w:jc w:val="center"/>
        <w:rPr>
          <w:rFonts w:ascii="Arial" w:hAnsi="Arial" w:cs="Arial"/>
          <w:b/>
          <w:bCs/>
          <w:color w:val="000000"/>
          <w:sz w:val="28"/>
          <w:szCs w:val="28"/>
        </w:rPr>
      </w:pPr>
      <w:r>
        <w:rPr>
          <w:rFonts w:ascii="Arial" w:hAnsi="Arial" w:cs="Arial"/>
          <w:b/>
          <w:bCs/>
          <w:color w:val="000000"/>
          <w:sz w:val="28"/>
          <w:szCs w:val="28"/>
        </w:rPr>
        <w:t>TENDERSKU DOKUMENTACIJU</w:t>
      </w:r>
    </w:p>
    <w:p w14:paraId="23756541">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14:paraId="0C12CE7C">
      <w:pPr>
        <w:jc w:val="center"/>
        <w:rPr>
          <w:rFonts w:ascii="Arial" w:hAnsi="Arial" w:cs="Arial"/>
          <w:b/>
          <w:bCs/>
          <w:color w:val="000000"/>
          <w:sz w:val="28"/>
          <w:szCs w:val="28"/>
        </w:rPr>
      </w:pPr>
    </w:p>
    <w:p w14:paraId="5A34FF2D">
      <w:pPr>
        <w:jc w:val="center"/>
        <w:rPr>
          <w:rFonts w:hint="default" w:ascii="sans-serif" w:hAnsi="sans-serif" w:eastAsia="sans-serif"/>
          <w:i w:val="0"/>
          <w:iCs w:val="0"/>
          <w:caps w:val="0"/>
          <w:spacing w:val="0"/>
          <w:sz w:val="21"/>
          <w:szCs w:val="21"/>
          <w:shd w:val="clear" w:fill="FFFFFF"/>
        </w:rPr>
      </w:pPr>
      <w:r>
        <w:rPr>
          <w:rFonts w:hint="default" w:ascii="sans-serif" w:hAnsi="sans-serif" w:eastAsia="sans-serif"/>
          <w:i w:val="0"/>
          <w:iCs w:val="0"/>
          <w:caps w:val="0"/>
          <w:spacing w:val="0"/>
          <w:sz w:val="21"/>
          <w:szCs w:val="21"/>
          <w:shd w:val="clear" w:fill="FFFFFF"/>
        </w:rPr>
        <w:t>Asfaltiranje putnih pravaca na teritoriji opštine Andrijevica</w:t>
      </w:r>
    </w:p>
    <w:p w14:paraId="2493B459">
      <w:pPr>
        <w:jc w:val="center"/>
        <w:rPr>
          <w:rFonts w:ascii="Arial" w:hAnsi="Arial" w:cs="Arial"/>
          <w:color w:val="000000"/>
        </w:rPr>
      </w:pPr>
    </w:p>
    <w:p w14:paraId="52158B33">
      <w:pPr>
        <w:jc w:val="center"/>
        <w:rPr>
          <w:rFonts w:ascii="Arial" w:hAnsi="Arial" w:cs="Arial"/>
          <w:color w:val="000000"/>
        </w:rPr>
      </w:pPr>
      <w:r>
        <w:rPr>
          <w:rFonts w:ascii="Arial" w:hAnsi="Arial" w:cs="Arial"/>
          <w:color w:val="000000"/>
        </w:rPr>
        <w:t>Predmet nabavke se nabavlja:</w:t>
      </w:r>
    </w:p>
    <w:p w14:paraId="18E23389">
      <w:pPr>
        <w:jc w:val="both"/>
        <w:rPr>
          <w:rFonts w:ascii="Arial" w:hAnsi="Arial" w:cs="Arial"/>
          <w:color w:val="000000"/>
        </w:rPr>
      </w:pPr>
    </w:p>
    <w:p w14:paraId="73E6336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14:paraId="58F12229">
      <w:pPr>
        <w:jc w:val="both"/>
        <w:rPr>
          <w:rFonts w:ascii="Arial" w:hAnsi="Arial" w:cs="Arial"/>
          <w:color w:val="000000"/>
        </w:rPr>
      </w:pPr>
      <w:r>
        <w:rPr>
          <w:rFonts w:ascii="Arial" w:hAnsi="Arial" w:cs="Arial"/>
          <w:color w:val="000000"/>
        </w:rPr>
        <w:sym w:font="Wingdings" w:char="F0A8"/>
      </w:r>
      <w:r>
        <w:rPr>
          <w:rFonts w:ascii="Arial" w:hAnsi="Arial" w:cs="Arial"/>
          <w:color w:val="000000"/>
        </w:rPr>
        <w:t>po partijama</w:t>
      </w:r>
    </w:p>
    <w:p w14:paraId="64C9641E">
      <w:pPr>
        <w:rPr>
          <w:rFonts w:ascii="Arial" w:hAnsi="Arial" w:cs="Arial"/>
          <w:color w:val="000000"/>
        </w:rPr>
      </w:pPr>
    </w:p>
    <w:p w14:paraId="799B6DF9">
      <w:pPr>
        <w:rPr>
          <w:rFonts w:ascii="Arial" w:hAnsi="Arial" w:cs="Arial"/>
          <w:color w:val="000000"/>
        </w:rPr>
      </w:pPr>
    </w:p>
    <w:p w14:paraId="085B9B34">
      <w:pPr>
        <w:rPr>
          <w:rFonts w:ascii="Arial" w:hAnsi="Arial" w:cs="Arial"/>
          <w:color w:val="000000"/>
        </w:rPr>
      </w:pPr>
    </w:p>
    <w:p w14:paraId="07AB0196">
      <w:pPr>
        <w:rPr>
          <w:rFonts w:ascii="Arial" w:hAnsi="Arial" w:cs="Arial"/>
          <w:color w:val="000000"/>
        </w:rPr>
      </w:pPr>
    </w:p>
    <w:p w14:paraId="4E53529F">
      <w:pPr>
        <w:rPr>
          <w:rFonts w:ascii="Arial" w:hAnsi="Arial" w:cs="Arial"/>
          <w:color w:val="000000"/>
        </w:rPr>
      </w:pPr>
    </w:p>
    <w:p w14:paraId="0A797A2D">
      <w:pPr>
        <w:rPr>
          <w:rFonts w:ascii="Arial" w:hAnsi="Arial" w:cs="Arial"/>
          <w:color w:val="000000"/>
        </w:rPr>
      </w:pPr>
    </w:p>
    <w:p w14:paraId="47E7861C">
      <w:pPr>
        <w:rPr>
          <w:rFonts w:ascii="Arial" w:hAnsi="Arial" w:cs="Arial"/>
          <w:color w:val="000000"/>
        </w:rPr>
      </w:pPr>
    </w:p>
    <w:p w14:paraId="39F7A3C7">
      <w:pPr>
        <w:rPr>
          <w:rFonts w:ascii="Arial" w:hAnsi="Arial" w:cs="Arial"/>
          <w:color w:val="000000"/>
        </w:rPr>
      </w:pPr>
    </w:p>
    <w:p w14:paraId="5D19763A">
      <w:pPr>
        <w:rPr>
          <w:rFonts w:ascii="Arial" w:hAnsi="Arial" w:cs="Arial"/>
          <w:color w:val="000000"/>
        </w:rPr>
      </w:pPr>
    </w:p>
    <w:p w14:paraId="1684123F">
      <w:pPr>
        <w:rPr>
          <w:rFonts w:ascii="Arial" w:hAnsi="Arial" w:cs="Arial"/>
          <w:color w:val="000000"/>
        </w:rPr>
      </w:pPr>
    </w:p>
    <w:p w14:paraId="218E6044">
      <w:pPr>
        <w:rPr>
          <w:rFonts w:ascii="Arial" w:hAnsi="Arial" w:cs="Arial"/>
          <w:color w:val="000000"/>
        </w:rPr>
      </w:pPr>
    </w:p>
    <w:p w14:paraId="59DCF6EE">
      <w:pPr>
        <w:rPr>
          <w:rFonts w:ascii="Arial" w:hAnsi="Arial" w:cs="Arial"/>
          <w:color w:val="000000"/>
        </w:rPr>
      </w:pPr>
    </w:p>
    <w:p w14:paraId="3E29D2F6">
      <w:pPr>
        <w:rPr>
          <w:rFonts w:ascii="Arial" w:hAnsi="Arial" w:cs="Arial"/>
          <w:color w:val="000000"/>
        </w:rPr>
      </w:pPr>
    </w:p>
    <w:p w14:paraId="7776FD98">
      <w:pPr>
        <w:rPr>
          <w:rFonts w:ascii="Arial" w:hAnsi="Arial" w:cs="Arial"/>
          <w:color w:val="000000"/>
        </w:rPr>
      </w:pPr>
    </w:p>
    <w:p w14:paraId="25560ABE">
      <w:pPr>
        <w:rPr>
          <w:rFonts w:ascii="Arial" w:hAnsi="Arial" w:cs="Arial"/>
          <w:color w:val="000000"/>
        </w:rPr>
      </w:pPr>
    </w:p>
    <w:p w14:paraId="0E9BF6CB">
      <w:pPr>
        <w:rPr>
          <w:rFonts w:ascii="Arial" w:hAnsi="Arial" w:cs="Arial"/>
          <w:color w:val="000000"/>
        </w:rPr>
      </w:pPr>
    </w:p>
    <w:p w14:paraId="72A31BB3">
      <w:pPr>
        <w:rPr>
          <w:rFonts w:ascii="Arial" w:hAnsi="Arial" w:cs="Arial"/>
          <w:color w:val="000000"/>
        </w:rPr>
      </w:pPr>
    </w:p>
    <w:p w14:paraId="6785326C">
      <w:pPr>
        <w:rPr>
          <w:rFonts w:ascii="Arial" w:hAnsi="Arial" w:cs="Arial"/>
          <w:color w:val="000000"/>
        </w:rPr>
      </w:pPr>
    </w:p>
    <w:p w14:paraId="1E8AC004">
      <w:pPr>
        <w:rPr>
          <w:rFonts w:ascii="Arial" w:hAnsi="Arial" w:cs="Arial"/>
          <w:color w:val="000000"/>
        </w:rPr>
      </w:pPr>
    </w:p>
    <w:p w14:paraId="50537C08">
      <w:pPr>
        <w:rPr>
          <w:rFonts w:ascii="Arial" w:hAnsi="Arial" w:cs="Arial"/>
          <w:color w:val="000000"/>
        </w:rPr>
      </w:pPr>
    </w:p>
    <w:p w14:paraId="2D5D4BE9">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0" w:name="_Toc62730553"/>
      <w:r>
        <w:rPr>
          <w:rFonts w:ascii="Arial" w:hAnsi="Arial"/>
          <w:b/>
          <w:color w:val="000000"/>
          <w:szCs w:val="32"/>
        </w:rPr>
        <w:t>POZIV ZA NADMETANJE</w:t>
      </w:r>
      <w:r>
        <w:rPr>
          <w:rFonts w:ascii="Arial" w:hAnsi="Arial"/>
          <w:b/>
          <w:color w:val="000000"/>
          <w:szCs w:val="32"/>
          <w:vertAlign w:val="superscript"/>
        </w:rPr>
        <w:footnoteReference w:id="0"/>
      </w:r>
      <w:bookmarkEnd w:id="0"/>
    </w:p>
    <w:p w14:paraId="0518258B">
      <w:pPr>
        <w:rPr>
          <w:rFonts w:ascii="Arial" w:hAnsi="Arial" w:cs="Arial"/>
          <w:b/>
          <w:bCs/>
          <w:color w:val="000000"/>
        </w:rPr>
      </w:pPr>
      <w:r>
        <w:rPr>
          <w:rFonts w:ascii="Arial" w:hAnsi="Arial" w:cs="Arial"/>
          <w:b/>
          <w:bCs/>
          <w:color w:val="000000"/>
        </w:rPr>
        <w:tab/>
      </w:r>
    </w:p>
    <w:p w14:paraId="535F5B0A">
      <w:pPr>
        <w:ind w:left="360"/>
        <w:jc w:val="center"/>
        <w:rPr>
          <w:rFonts w:ascii="Arial" w:hAnsi="Arial" w:cs="Arial"/>
          <w:b/>
          <w:bCs/>
          <w:color w:val="000000"/>
        </w:rPr>
      </w:pPr>
    </w:p>
    <w:p w14:paraId="43B740FB">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14:paraId="785C8EC2">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14:paraId="4C598BA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14:paraId="34852EE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14:paraId="2FA606CE">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14:paraId="1A5414F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14:paraId="7D0AA42A">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14:paraId="4A6FFB63">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14:paraId="60C61F61">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14:paraId="6BA82F8C">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14:paraId="5B363A7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14:paraId="35D0DDF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14:paraId="01120FBA">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14:paraId="10B5406B">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14:paraId="4AD1092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14:paraId="497E4246">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14:paraId="52D55AD1">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14:paraId="291ED96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14:paraId="4D0BB84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14:paraId="29BDF0C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14:paraId="570AC9D8">
      <w:pPr>
        <w:rPr>
          <w:rFonts w:ascii="Calibri" w:hAnsi="Calibri" w:eastAsia="Calibri"/>
          <w:color w:val="000000"/>
          <w:sz w:val="22"/>
          <w:szCs w:val="22"/>
        </w:rPr>
      </w:pPr>
    </w:p>
    <w:p w14:paraId="465764C2">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rFonts w:ascii="Arial" w:hAnsi="Arial"/>
          <w:b/>
          <w:color w:val="000000"/>
          <w:szCs w:val="32"/>
          <w:vertAlign w:val="superscript"/>
        </w:rPr>
        <w:footnoteReference w:id="2"/>
      </w:r>
      <w:bookmarkEnd w:id="1"/>
    </w:p>
    <w:p w14:paraId="53B63D71">
      <w:pPr>
        <w:rPr>
          <w:rFonts w:ascii="Calibri" w:hAnsi="Calibri" w:eastAsia="Calibri"/>
          <w:color w:val="000000"/>
          <w:sz w:val="22"/>
          <w:szCs w:val="22"/>
        </w:rPr>
      </w:pPr>
    </w:p>
    <w:p w14:paraId="58F3E51B">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14:paraId="2A3DFDC2">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14:paraId="5B9A413A">
      <w:pPr>
        <w:rPr>
          <w:rFonts w:ascii="Calibri" w:hAnsi="Calibri" w:eastAsia="Calibri"/>
          <w:color w:val="000000"/>
          <w:sz w:val="22"/>
          <w:szCs w:val="22"/>
        </w:rPr>
      </w:pPr>
    </w:p>
    <w:p w14:paraId="7CEA216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rFonts w:ascii="Arial" w:hAnsi="Arial"/>
          <w:b/>
          <w:color w:val="000000"/>
          <w:szCs w:val="32"/>
          <w:vertAlign w:val="superscript"/>
        </w:rPr>
        <w:footnoteReference w:id="3"/>
      </w:r>
      <w:bookmarkEnd w:id="2"/>
    </w:p>
    <w:p w14:paraId="21882EB2">
      <w:pPr>
        <w:jc w:val="both"/>
        <w:rPr>
          <w:rFonts w:hint="default" w:ascii="Arial" w:hAnsi="Arial" w:cs="Arial"/>
          <w:b/>
          <w:bCs/>
          <w:color w:val="000000"/>
          <w:lang w:val="sr-Latn-RS"/>
        </w:rPr>
      </w:pPr>
    </w:p>
    <w:p w14:paraId="6F4050F7">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predmenta nabavke:</w:t>
      </w:r>
      <w:r>
        <w:rPr>
          <w:rFonts w:ascii="Arial" w:hAnsi="Arial" w:eastAsia="Calibri" w:cs="Arial"/>
          <w:b/>
          <w:bCs/>
          <w:color w:val="000000"/>
          <w:sz w:val="22"/>
          <w:szCs w:val="22"/>
          <w:vertAlign w:val="superscript"/>
        </w:rPr>
        <w:footnoteReference w:id="4"/>
      </w:r>
    </w:p>
    <w:p w14:paraId="15C53A5A">
      <w:pPr>
        <w:spacing w:after="160" w:line="259" w:lineRule="auto"/>
        <w:jc w:val="both"/>
        <w:rPr>
          <w:rFonts w:ascii="Arial" w:hAnsi="Arial" w:eastAsia="Calibri" w:cs="Arial"/>
          <w:color w:val="000000"/>
          <w:sz w:val="22"/>
          <w:szCs w:val="22"/>
        </w:rPr>
      </w:pPr>
    </w:p>
    <w:p w14:paraId="494CCD98">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14:paraId="268B5634">
      <w:pPr>
        <w:spacing w:after="160" w:line="259" w:lineRule="auto"/>
        <w:jc w:val="both"/>
        <w:rPr>
          <w:rFonts w:ascii="Arial" w:hAnsi="Arial" w:eastAsia="Calibri" w:cs="Arial"/>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kao cjeline je </w:t>
      </w:r>
      <w:r>
        <w:t xml:space="preserve">239.685 </w:t>
      </w:r>
      <w:r>
        <w:rPr>
          <w:rFonts w:hint="default"/>
        </w:rPr>
        <w:t> </w:t>
      </w:r>
      <w:r>
        <w:t xml:space="preserve"> </w:t>
      </w:r>
      <w:r>
        <w:rPr>
          <w:rFonts w:ascii="Arial" w:hAnsi="Arial" w:eastAsia="Calibri" w:cs="Arial"/>
          <w:color w:val="000000"/>
          <w:sz w:val="22"/>
          <w:szCs w:val="22"/>
        </w:rPr>
        <w:t>€;</w:t>
      </w:r>
    </w:p>
    <w:p w14:paraId="42197F10">
      <w:pPr>
        <w:jc w:val="both"/>
        <w:rPr>
          <w:rFonts w:ascii="Arial" w:hAnsi="Arial" w:cs="Arial"/>
          <w:b/>
          <w:bCs/>
          <w:color w:val="000000"/>
        </w:rPr>
      </w:pPr>
    </w:p>
    <w:p w14:paraId="0356E10E">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5"/>
      </w:r>
    </w:p>
    <w:p w14:paraId="37B39DA1">
      <w:pPr>
        <w:jc w:val="both"/>
        <w:rPr>
          <w:rFonts w:ascii="Arial" w:hAnsi="Arial" w:cs="Arial"/>
          <w:color w:val="000000"/>
        </w:rPr>
      </w:pPr>
      <w:r>
        <w:rPr>
          <w:rFonts w:ascii="Arial" w:hAnsi="Arial" w:cs="Arial"/>
          <w:color w:val="000000"/>
        </w:rPr>
        <w:t>Nije primjenjivo</w:t>
      </w:r>
    </w:p>
    <w:p w14:paraId="46D510C6">
      <w:pPr>
        <w:jc w:val="both"/>
        <w:rPr>
          <w:rFonts w:ascii="Arial" w:hAnsi="Arial" w:cs="Arial"/>
          <w:color w:val="000000"/>
        </w:rPr>
      </w:pPr>
    </w:p>
    <w:p w14:paraId="04B62C72">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14:paraId="128D5E5C">
      <w:pPr>
        <w:jc w:val="both"/>
        <w:rPr>
          <w:rFonts w:ascii="Arial" w:hAnsi="Arial" w:cs="Arial"/>
          <w:color w:val="000000"/>
        </w:rPr>
      </w:pPr>
    </w:p>
    <w:p w14:paraId="1CDA2957">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14:paraId="163DD1A4">
      <w:pPr>
        <w:jc w:val="both"/>
        <w:rPr>
          <w:rFonts w:ascii="Arial" w:hAnsi="Arial" w:cs="Arial"/>
          <w:color w:val="000000"/>
        </w:rPr>
      </w:pPr>
    </w:p>
    <w:p w14:paraId="190918EC">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14:paraId="7DF450A0">
      <w:pPr>
        <w:jc w:val="both"/>
        <w:rPr>
          <w:rFonts w:ascii="Arial" w:hAnsi="Arial" w:cs="Arial"/>
          <w:color w:val="000000"/>
        </w:rPr>
      </w:pPr>
      <w:r>
        <w:rPr>
          <w:rFonts w:ascii="Arial" w:hAnsi="Arial" w:cs="Arial"/>
          <w:color w:val="000000"/>
        </w:rPr>
        <w:sym w:font="Wingdings" w:char="F0A8"/>
      </w:r>
      <w:r>
        <w:rPr>
          <w:rFonts w:ascii="Arial" w:hAnsi="Arial" w:cs="Arial"/>
          <w:color w:val="000000"/>
        </w:rPr>
        <w:t>da</w:t>
      </w:r>
    </w:p>
    <w:p w14:paraId="61DCA11A">
      <w:pPr>
        <w:jc w:val="both"/>
        <w:rPr>
          <w:rFonts w:ascii="Arial" w:hAnsi="Arial" w:cs="Arial"/>
          <w:color w:val="000000"/>
        </w:rPr>
      </w:pPr>
    </w:p>
    <w:p w14:paraId="56D1500C">
      <w:pPr>
        <w:jc w:val="both"/>
        <w:rPr>
          <w:rFonts w:ascii="Arial" w:hAnsi="Arial" w:cs="Arial"/>
        </w:rPr>
      </w:pPr>
    </w:p>
    <w:p w14:paraId="54CB5A2B">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14:paraId="1C5EC6D3">
      <w:pPr>
        <w:jc w:val="both"/>
        <w:rPr>
          <w:rFonts w:ascii="Arial" w:hAnsi="Arial" w:cs="Arial"/>
        </w:rPr>
      </w:pPr>
    </w:p>
    <w:p w14:paraId="67E33198">
      <w:pPr>
        <w:jc w:val="both"/>
        <w:rPr>
          <w:rFonts w:hint="default" w:ascii="Arial" w:hAnsi="Arial" w:cs="Arial"/>
          <w:lang w:val="sr-Latn-RS"/>
        </w:rPr>
      </w:pPr>
      <w:r>
        <w:rPr>
          <w:rFonts w:ascii="Arial" w:hAnsi="Arial" w:cs="Arial"/>
          <w:color w:val="222A35"/>
        </w:rPr>
        <w:t xml:space="preserve">Elektronska aukcija </w:t>
      </w:r>
      <w:r>
        <w:rPr>
          <w:rFonts w:hint="default" w:ascii="Arial" w:hAnsi="Arial" w:cs="Arial"/>
          <w:color w:val="222A35"/>
          <w:lang w:val="sr-Latn-RS"/>
        </w:rPr>
        <w:t xml:space="preserve">se ne sporvodi </w:t>
      </w:r>
    </w:p>
    <w:p w14:paraId="349AF2D8">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p>
    <w:p w14:paraId="25FEED81">
      <w:pPr>
        <w:jc w:val="both"/>
        <w:rPr>
          <w:rFonts w:ascii="Arial" w:hAnsi="Arial" w:cs="Arial"/>
          <w:color w:val="FF0000"/>
        </w:rPr>
      </w:pPr>
    </w:p>
    <w:p w14:paraId="4360B32C">
      <w:pPr>
        <w:jc w:val="both"/>
        <w:rPr>
          <w:rFonts w:hint="default" w:ascii="Arial" w:hAnsi="Arial" w:cs="Arial"/>
          <w:color w:val="000000"/>
          <w:lang w:val="sr-Latn-RS"/>
        </w:rPr>
      </w:pPr>
      <w:r>
        <w:rPr>
          <w:rFonts w:ascii="Arial" w:hAnsi="Arial" w:cs="Arial"/>
          <w:color w:val="222A35"/>
        </w:rPr>
        <w:t xml:space="preserve">Elektronski katalog </w:t>
      </w:r>
      <w:r>
        <w:rPr>
          <w:rFonts w:hint="default" w:ascii="Arial" w:hAnsi="Arial" w:cs="Arial"/>
          <w:color w:val="222A35"/>
          <w:lang w:val="sr-Latn-RS"/>
        </w:rPr>
        <w:t xml:space="preserve">nije primjenljiv </w:t>
      </w:r>
    </w:p>
    <w:p w14:paraId="5A5BB2B3">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PONUDA SA VARIJANTAMA</w:t>
      </w:r>
    </w:p>
    <w:p w14:paraId="5410E5C6">
      <w:pPr>
        <w:jc w:val="both"/>
        <w:rPr>
          <w:rFonts w:ascii="Arial" w:hAnsi="Arial" w:cs="Arial"/>
          <w:b/>
          <w:bCs/>
          <w:color w:val="000000"/>
        </w:rPr>
      </w:pPr>
    </w:p>
    <w:p w14:paraId="2977A3D4">
      <w:pPr>
        <w:jc w:val="both"/>
        <w:rPr>
          <w:rFonts w:ascii="Arial" w:hAnsi="Arial" w:cs="Arial"/>
        </w:rPr>
      </w:pPr>
      <w:r>
        <w:rPr>
          <w:rFonts w:ascii="Arial" w:hAnsi="Arial" w:cs="Arial"/>
        </w:rPr>
        <w:t>Mogućnost podnošenja ponude sa varijantama</w:t>
      </w:r>
    </w:p>
    <w:p w14:paraId="61BA18BD">
      <w:pPr>
        <w:jc w:val="both"/>
        <w:rPr>
          <w:rFonts w:ascii="Arial" w:hAnsi="Arial" w:cs="Arial"/>
        </w:rPr>
      </w:pPr>
    </w:p>
    <w:p w14:paraId="1CF8D549">
      <w:pPr>
        <w:jc w:val="both"/>
        <w:rPr>
          <w:rFonts w:ascii="Arial" w:hAnsi="Arial" w:cs="Arial"/>
          <w:color w:val="000000"/>
        </w:rPr>
      </w:pPr>
      <w:r>
        <w:rPr>
          <w:rFonts w:ascii="Arial" w:hAnsi="Arial" w:cs="Arial"/>
          <w:color w:val="000000"/>
        </w:rPr>
        <w:sym w:font="Wingdings" w:char="F078"/>
      </w:r>
      <w:r>
        <w:rPr>
          <w:rFonts w:ascii="Arial" w:hAnsi="Arial" w:cs="Arial"/>
        </w:rPr>
        <w:t>Varijante ponude nijesu dozvoljene i neće biti razmatrane.</w:t>
      </w:r>
    </w:p>
    <w:p w14:paraId="4258037A">
      <w:pPr>
        <w:jc w:val="both"/>
        <w:rPr>
          <w:rFonts w:ascii="Arial" w:hAnsi="Arial" w:cs="Arial"/>
        </w:rPr>
      </w:pPr>
      <w:r>
        <w:rPr>
          <w:rFonts w:ascii="Arial" w:hAnsi="Arial" w:cs="Arial"/>
          <w:color w:val="000000"/>
        </w:rPr>
        <w:sym w:font="Wingdings" w:char="F0A8"/>
      </w:r>
      <w:r>
        <w:rPr>
          <w:rFonts w:ascii="Arial" w:hAnsi="Arial" w:cs="Arial"/>
        </w:rPr>
        <w:t>Varijante ponude su dozvoljene.</w:t>
      </w:r>
    </w:p>
    <w:p w14:paraId="2385E688">
      <w:pPr>
        <w:jc w:val="both"/>
        <w:rPr>
          <w:rFonts w:ascii="Arial" w:hAnsi="Arial" w:cs="Arial"/>
          <w:b/>
          <w:bCs/>
          <w:color w:val="FF0000"/>
        </w:rPr>
      </w:pPr>
    </w:p>
    <w:p w14:paraId="740D761D">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14:paraId="7AC898A7">
      <w:pPr>
        <w:jc w:val="both"/>
        <w:rPr>
          <w:rFonts w:ascii="Arial" w:hAnsi="Arial" w:cs="Arial"/>
          <w:b/>
          <w:bCs/>
          <w:color w:val="FF0000"/>
        </w:rPr>
      </w:pPr>
    </w:p>
    <w:p w14:paraId="63E1FD9C">
      <w:pPr>
        <w:jc w:val="both"/>
        <w:rPr>
          <w:rFonts w:ascii="Arial" w:hAnsi="Arial" w:cs="Arial"/>
        </w:rPr>
      </w:pPr>
      <w:r>
        <w:rPr>
          <w:rFonts w:ascii="Arial" w:hAnsi="Arial" w:cs="Arial"/>
          <w:color w:val="000000"/>
        </w:rPr>
        <w:sym w:font="Wingdings" w:char="F0A8"/>
      </w:r>
      <w:r>
        <w:rPr>
          <w:rFonts w:ascii="Arial" w:hAnsi="Arial" w:cs="Arial"/>
        </w:rPr>
        <w:t>Da</w:t>
      </w:r>
    </w:p>
    <w:p w14:paraId="19E9B2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14:paraId="551E9198">
      <w:pPr>
        <w:jc w:val="both"/>
        <w:rPr>
          <w:rFonts w:ascii="Arial" w:hAnsi="Arial" w:cs="Arial"/>
          <w:b/>
          <w:bCs/>
          <w:color w:val="FF0000"/>
        </w:rPr>
      </w:pPr>
    </w:p>
    <w:p w14:paraId="135CD6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14:paraId="1BB0BE28">
      <w:pPr>
        <w:jc w:val="both"/>
        <w:rPr>
          <w:rFonts w:ascii="Arial" w:hAnsi="Arial" w:cs="Arial"/>
          <w:bCs/>
          <w:color w:val="FF0000"/>
        </w:rPr>
      </w:pPr>
    </w:p>
    <w:p w14:paraId="7C28B5B4">
      <w:pPr>
        <w:jc w:val="both"/>
        <w:rPr>
          <w:rFonts w:hint="default" w:ascii="Arial" w:hAnsi="Arial" w:cs="Arial"/>
          <w:bCs/>
          <w:color w:val="FF0000"/>
          <w:lang w:val="sr-Latn-RS"/>
        </w:rPr>
      </w:pPr>
      <w:r>
        <w:rPr>
          <w:rFonts w:hint="default" w:ascii="Arial" w:hAnsi="Arial" w:cs="Arial"/>
          <w:bCs/>
          <w:color w:val="000000"/>
          <w:lang w:val="sr-Latn-RS"/>
        </w:rPr>
        <w:t>Nije primjenljivo</w:t>
      </w:r>
    </w:p>
    <w:p w14:paraId="2C8F906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14:paraId="37436073">
      <w:pPr>
        <w:jc w:val="both"/>
        <w:rPr>
          <w:rFonts w:ascii="Arial" w:hAnsi="Arial" w:cs="Arial"/>
        </w:rPr>
      </w:pPr>
    </w:p>
    <w:p w14:paraId="06282DEF">
      <w:pPr>
        <w:rPr>
          <w:rFonts w:ascii="Arial" w:hAnsi="Arial" w:cs="Arial"/>
        </w:rPr>
      </w:pPr>
      <w:r>
        <w:rPr>
          <w:rFonts w:ascii="Arial" w:hAnsi="Arial" w:cs="Arial"/>
        </w:rPr>
        <w:t xml:space="preserve">Privredni subjekat će se isključiti iz postupka javne nabavke, ako: </w:t>
      </w:r>
    </w:p>
    <w:p w14:paraId="73D3F832">
      <w:pPr>
        <w:numPr>
          <w:ilvl w:val="0"/>
          <w:numId w:val="6"/>
        </w:numPr>
        <w:rPr>
          <w:rFonts w:ascii="Arial" w:hAnsi="Arial" w:cs="Arial"/>
        </w:rPr>
      </w:pPr>
      <w:bookmarkStart w:id="5" w:name="_Toc62730558"/>
      <w:r>
        <w:rPr>
          <w:rFonts w:ascii="Arial" w:hAnsi="Arial" w:cs="Arial"/>
        </w:rPr>
        <w:t>je vršio neprimjeren uticaj u smislu člana 38 stav 2 tačka 1 ovog zakona;</w:t>
      </w:r>
    </w:p>
    <w:p w14:paraId="7D12ECC0">
      <w:pPr>
        <w:numPr>
          <w:ilvl w:val="0"/>
          <w:numId w:val="6"/>
        </w:numPr>
        <w:rPr>
          <w:rFonts w:ascii="Arial" w:hAnsi="Arial" w:cs="Arial"/>
        </w:rPr>
      </w:pPr>
      <w:r>
        <w:rPr>
          <w:rFonts w:ascii="Arial" w:hAnsi="Arial" w:cs="Arial"/>
        </w:rPr>
        <w:t>postoji sukob interesa iz člana 41 stav 1 tačka 2 ili člana 42 ovog zakona;</w:t>
      </w:r>
    </w:p>
    <w:p w14:paraId="4086DAE5">
      <w:pPr>
        <w:numPr>
          <w:ilvl w:val="0"/>
          <w:numId w:val="6"/>
        </w:numPr>
        <w:rPr>
          <w:rFonts w:ascii="Arial" w:hAnsi="Arial" w:cs="Arial"/>
        </w:rPr>
      </w:pPr>
      <w:r>
        <w:rPr>
          <w:rFonts w:ascii="Arial" w:hAnsi="Arial" w:cs="Arial"/>
        </w:rPr>
        <w:t>ne ispunjava uslov iz člana 99 ovog zakona;</w:t>
      </w:r>
    </w:p>
    <w:p w14:paraId="6E308B43">
      <w:pPr>
        <w:numPr>
          <w:ilvl w:val="0"/>
          <w:numId w:val="6"/>
        </w:numPr>
        <w:rPr>
          <w:rFonts w:ascii="Arial" w:hAnsi="Arial" w:cs="Arial"/>
        </w:rPr>
      </w:pPr>
      <w:r>
        <w:rPr>
          <w:rFonts w:ascii="Arial" w:hAnsi="Arial" w:cs="Arial"/>
        </w:rPr>
        <w:t>ne ispunjava uslov iz čl. 102, 104 ili 106 ovog zakona predviđen tenderskom dokumentacijom;</w:t>
      </w:r>
    </w:p>
    <w:p w14:paraId="3483E8DD">
      <w:pPr>
        <w:numPr>
          <w:ilvl w:val="0"/>
          <w:numId w:val="6"/>
        </w:numPr>
        <w:rPr>
          <w:rFonts w:ascii="Arial" w:hAnsi="Arial" w:cs="Arial"/>
        </w:rPr>
      </w:pPr>
      <w:r>
        <w:rPr>
          <w:rFonts w:ascii="Arial" w:hAnsi="Arial" w:cs="Arial"/>
        </w:rPr>
        <w:t>nije dostavio izjavu privrednog subjekta ili dostavljena izjava ne sadrži informacije i podatke tražene tenderskom dokumentacijom ili je nepravilno sačinjena;</w:t>
      </w:r>
    </w:p>
    <w:p w14:paraId="06FA89C5">
      <w:pPr>
        <w:numPr>
          <w:ilvl w:val="0"/>
          <w:numId w:val="6"/>
        </w:numPr>
        <w:rPr>
          <w:rFonts w:ascii="Arial" w:hAnsi="Arial" w:cs="Arial"/>
        </w:rPr>
      </w:pPr>
      <w:r>
        <w:rPr>
          <w:rFonts w:ascii="Arial" w:hAnsi="Arial" w:cs="Arial"/>
        </w:rPr>
        <w:t>postoji razlog na osnovu kojeg se smatra da je odustao od prijave, odnosno ponude, a koji je propisan članom 120 stav 15 ovog zakona;</w:t>
      </w:r>
    </w:p>
    <w:p w14:paraId="1871D075">
      <w:pPr>
        <w:numPr>
          <w:ilvl w:val="0"/>
          <w:numId w:val="6"/>
        </w:numPr>
        <w:rPr>
          <w:rFonts w:ascii="Arial" w:hAnsi="Arial" w:cs="Arial"/>
        </w:rPr>
      </w:pPr>
      <w:r>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082E6AE">
      <w:pPr>
        <w:numPr>
          <w:ilvl w:val="0"/>
          <w:numId w:val="6"/>
        </w:numPr>
        <w:rPr>
          <w:rFonts w:ascii="Arial" w:hAnsi="Arial" w:cs="Arial"/>
        </w:rPr>
      </w:pPr>
      <w:r>
        <w:rPr>
          <w:rFonts w:ascii="Arial" w:hAnsi="Arial" w:cs="Arial"/>
        </w:rPr>
        <w:t>postoji drugi razlog propisan ovim zakonom.</w:t>
      </w:r>
    </w:p>
    <w:p w14:paraId="1A47C50A">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r>
        <w:rPr>
          <w:rFonts w:ascii="Arial" w:hAnsi="Arial"/>
          <w:b/>
          <w:szCs w:val="32"/>
        </w:rPr>
        <w:t>SREDSTVA FINANSIJSKOG OBEZBJEĐENJA UGOVORA O JAVNOJ NABAVCI</w:t>
      </w:r>
      <w:bookmarkEnd w:id="5"/>
    </w:p>
    <w:p w14:paraId="00F14E8A">
      <w:pPr>
        <w:jc w:val="both"/>
        <w:rPr>
          <w:rFonts w:ascii="Arial" w:hAnsi="Arial" w:cs="Arial"/>
          <w:color w:val="000000"/>
        </w:rPr>
      </w:pPr>
    </w:p>
    <w:p w14:paraId="779C32EE">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2DA7DF8C">
      <w:pPr>
        <w:jc w:val="both"/>
        <w:rPr>
          <w:rFonts w:ascii="Arial" w:hAnsi="Arial" w:cs="Arial"/>
        </w:rPr>
      </w:pPr>
      <w:r>
        <w:rPr>
          <w:rFonts w:ascii="Arial" w:hAnsi="Arial" w:cs="Arial"/>
          <w:color w:val="000000"/>
        </w:rPr>
        <w:sym w:font="Wingdings" w:char="F078"/>
      </w:r>
      <w:r>
        <w:rPr>
          <w:rFonts w:ascii="Arial" w:hAnsi="Arial" w:cs="Arial"/>
        </w:rPr>
        <w:t>garanciju za dobro izvršenje ugovora  ako su potpisnici dužni da ga izvršavaju</w:t>
      </w:r>
      <w:r>
        <w:rPr>
          <w:rFonts w:ascii="Arial" w:hAnsi="Arial" w:cs="Arial"/>
          <w:vertAlign w:val="superscript"/>
        </w:rPr>
        <w:footnoteReference w:id="7"/>
      </w:r>
      <w:r>
        <w:rPr>
          <w:rFonts w:ascii="Arial" w:hAnsi="Arial" w:cs="Arial"/>
        </w:rPr>
        <w:t xml:space="preserve">, za slučaj povrede ugovorenih obaveza </w:t>
      </w:r>
      <w:r>
        <w:rPr>
          <w:rFonts w:ascii="Arial" w:hAnsi="Arial" w:cs="Arial"/>
          <w:color w:val="000000"/>
        </w:rPr>
        <w:t>u iznosu od 5 % od vrijednosti ugovora</w:t>
      </w:r>
      <w:r>
        <w:rPr>
          <w:rFonts w:ascii="Arial" w:hAnsi="Arial" w:cs="Arial"/>
          <w:vertAlign w:val="superscript"/>
        </w:rPr>
        <w:footnoteReference w:id="8"/>
      </w:r>
    </w:p>
    <w:p w14:paraId="44C55965">
      <w:pPr>
        <w:jc w:val="both"/>
        <w:rPr>
          <w:rFonts w:ascii="Arial" w:hAnsi="Arial" w:cs="Arial"/>
        </w:rPr>
      </w:pPr>
      <w:r>
        <w:rPr>
          <w:rFonts w:ascii="Arial" w:hAnsi="Arial" w:cs="Arial"/>
          <w:color w:val="000000"/>
        </w:rPr>
        <w:sym w:font="Wingdings" w:char="F0A8"/>
      </w:r>
      <w:r>
        <w:rPr>
          <w:rFonts w:ascii="Arial" w:hAnsi="Arial" w:cs="Arial"/>
        </w:rPr>
        <w:t xml:space="preserve">avansnu garanciju, </w:t>
      </w:r>
      <w:r>
        <w:rPr>
          <w:rFonts w:ascii="Arial" w:hAnsi="Arial" w:cs="Arial"/>
          <w:color w:val="000000"/>
        </w:rPr>
        <w:t>za avansno plaćanje u iznosu ugovorenog avansa, sa rokom važenja za vrijeme ukupnog trajanja ugovora</w:t>
      </w:r>
    </w:p>
    <w:p w14:paraId="1B034A1A">
      <w:pPr>
        <w:jc w:val="both"/>
        <w:rPr>
          <w:rFonts w:ascii="Arial" w:hAnsi="Arial" w:cs="Arial"/>
        </w:rPr>
      </w:pPr>
      <w:r>
        <w:rPr>
          <w:rFonts w:ascii="Arial" w:hAnsi="Arial" w:cs="Arial"/>
          <w:color w:val="000000"/>
        </w:rPr>
        <w:sym w:font="Wingdings" w:char="F0A8"/>
      </w:r>
      <w:r>
        <w:rPr>
          <w:rFonts w:ascii="Arial" w:hAnsi="Arial" w:cs="Arial"/>
        </w:rPr>
        <w:t xml:space="preserve">garanciju za otklanjanje nedostataka u garantnom roku, za slučaj da izabrani ponuđač u garantnom roku ne ispuni obaveze na koje se garancija odnosi </w:t>
      </w:r>
      <w:r>
        <w:rPr>
          <w:rFonts w:ascii="Arial" w:hAnsi="Arial" w:cs="Arial"/>
          <w:color w:val="000000"/>
        </w:rPr>
        <w:t xml:space="preserve">u iznosu od _______% od vrijednosti ugovora </w:t>
      </w:r>
      <w:r>
        <w:rPr>
          <w:rFonts w:ascii="Arial" w:hAnsi="Arial" w:cs="Arial"/>
        </w:rPr>
        <w:t xml:space="preserve">sa rokom važenja od _________. </w:t>
      </w:r>
    </w:p>
    <w:p w14:paraId="165EBCE5">
      <w:pPr>
        <w:jc w:val="both"/>
        <w:rPr>
          <w:rFonts w:ascii="Arial" w:hAnsi="Arial" w:cs="Arial"/>
        </w:rPr>
      </w:pPr>
      <w:r>
        <w:rPr>
          <w:rFonts w:ascii="Arial" w:hAnsi="Arial" w:cs="Arial"/>
          <w:color w:val="000000"/>
        </w:rPr>
        <w:sym w:font="Wingdings" w:char="F0A8"/>
      </w:r>
      <w:r>
        <w:rPr>
          <w:rFonts w:ascii="Arial" w:hAnsi="Arial" w:cs="Arial"/>
        </w:rPr>
        <w:t xml:space="preserve">polisu osiguranja od profesionalne odgovornosti u iznosu od ___________ eura sa rokom važenja od _________, u skladu sa zakonom; </w:t>
      </w:r>
    </w:p>
    <w:p w14:paraId="6E82A5C7">
      <w:pPr>
        <w:jc w:val="both"/>
        <w:rPr>
          <w:rFonts w:ascii="Arial" w:hAnsi="Arial" w:cs="Arial"/>
          <w:b/>
          <w:bCs/>
          <w:color w:val="000000"/>
        </w:rPr>
      </w:pPr>
      <w:r>
        <w:rPr>
          <w:rFonts w:ascii="Arial" w:hAnsi="Arial" w:cs="Arial"/>
          <w:color w:val="000000"/>
        </w:rPr>
        <w:sym w:font="Wingdings" w:char="F0A8"/>
      </w:r>
      <w:r>
        <w:rPr>
          <w:rFonts w:ascii="Arial" w:hAnsi="Arial" w:cs="Arial"/>
        </w:rPr>
        <w:t>druge vrste garancija u skladu sa zakonom:</w:t>
      </w:r>
    </w:p>
    <w:p w14:paraId="43D7A71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14:paraId="0305661F">
      <w:pPr>
        <w:rPr>
          <w:rFonts w:ascii="Arial" w:hAnsi="Arial" w:cs="Arial"/>
        </w:rPr>
      </w:pPr>
    </w:p>
    <w:p w14:paraId="2BC583A7">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9"/>
      </w:r>
      <w:r>
        <w:rPr>
          <w:rFonts w:ascii="Arial" w:hAnsi="Arial" w:cs="Arial"/>
        </w:rPr>
        <w:t xml:space="preserve">: </w:t>
      </w:r>
    </w:p>
    <w:p w14:paraId="383C2938">
      <w:pPr>
        <w:rPr>
          <w:rFonts w:ascii="Arial" w:hAnsi="Arial" w:cs="Arial"/>
        </w:rPr>
      </w:pPr>
      <w:r>
        <w:rPr>
          <w:rFonts w:ascii="Arial" w:hAnsi="Arial" w:cs="Arial"/>
          <w:color w:val="000000"/>
        </w:rPr>
        <w:sym w:font="Wingdings" w:char="F0A8"/>
      </w:r>
      <w:r>
        <w:rPr>
          <w:rFonts w:ascii="Arial" w:hAnsi="Arial" w:cs="Arial"/>
        </w:rPr>
        <w:t xml:space="preserve">cijena, </w:t>
      </w:r>
    </w:p>
    <w:p w14:paraId="3617E655">
      <w:pPr>
        <w:rPr>
          <w:rFonts w:ascii="Arial" w:hAnsi="Arial" w:cs="Arial"/>
        </w:rPr>
      </w:pPr>
      <w:r>
        <w:rPr>
          <w:rFonts w:ascii="Arial" w:hAnsi="Arial" w:cs="Arial"/>
          <w:color w:val="000000"/>
        </w:rPr>
        <w:sym w:font="Wingdings" w:char="F078"/>
      </w:r>
      <w:r>
        <w:rPr>
          <w:rFonts w:ascii="Arial" w:hAnsi="Arial" w:cs="Arial"/>
        </w:rPr>
        <w:t xml:space="preserve">odnos cijene i kvaliteta </w:t>
      </w:r>
    </w:p>
    <w:p w14:paraId="48D967C0">
      <w:pPr>
        <w:rPr>
          <w:rFonts w:ascii="Arial" w:hAnsi="Arial" w:cs="Arial"/>
        </w:rPr>
      </w:pPr>
      <w:r>
        <w:rPr>
          <w:rFonts w:ascii="Arial" w:hAnsi="Arial" w:cs="Arial"/>
          <w:color w:val="000000"/>
        </w:rPr>
        <w:sym w:font="Wingdings" w:char="F0A8"/>
      </w:r>
      <w:r>
        <w:rPr>
          <w:rFonts w:ascii="Arial" w:hAnsi="Arial" w:cs="Arial"/>
        </w:rPr>
        <w:t>trošak životnog ciklusa.</w:t>
      </w:r>
    </w:p>
    <w:p w14:paraId="0C9782AA">
      <w:pPr>
        <w:rPr>
          <w:rFonts w:ascii="Arial" w:hAnsi="Arial" w:cs="Arial"/>
        </w:rPr>
      </w:pPr>
    </w:p>
    <w:p w14:paraId="61C27EC8">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0D2EEEB0">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Naručilac će u postupku javne nabavke izabrati ekonomski najpovoljniju ponudu, primjenom pristupa isplativosti, po osnovu kriterijuma :</w:t>
      </w:r>
    </w:p>
    <w:p w14:paraId="009BFCA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183C9C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 odnos cijene i kvaliteta </w:t>
      </w:r>
    </w:p>
    <w:p w14:paraId="2DD00AD9">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0D29DF6">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Parametar: Cijena (C) ..................maksimalan broj bodova 90</w:t>
      </w:r>
    </w:p>
    <w:p w14:paraId="41A9B8F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Parametar: Kvalitet (K) .................maksimalan broj bodova 10</w:t>
      </w:r>
    </w:p>
    <w:p w14:paraId="1CDF07CB">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5DD5B5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Ukupan broj bodova = broj bodova za ponuđenu cijenu (C) + broj bodova za kvalitet (K)</w:t>
      </w:r>
    </w:p>
    <w:p w14:paraId="4F500A7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6CF1704">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Ponuđena cijena (C=90 bodova)</w:t>
      </w:r>
    </w:p>
    <w:p w14:paraId="76362201">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85F6CF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kriterijum najniža ponuđena cijena iskazuje se na način što se najniže ponuđena  cijena podijeli sa ponuđenom cijenom i dobijeni količnik pomnoži sa brojem bodova (90 bodova) i to po formuli: </w:t>
      </w:r>
    </w:p>
    <w:p w14:paraId="2D3D6E87">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58F2C3F">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C=(Cmin/Cp)x 90</w:t>
      </w:r>
    </w:p>
    <w:p w14:paraId="1EBD748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Cmin-najniža ponuđena cijena (bez PDV-a)</w:t>
      </w:r>
    </w:p>
    <w:p w14:paraId="6EF8AB23">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Cp-ponuđena cijena (bez PDV-a)</w:t>
      </w:r>
    </w:p>
    <w:p w14:paraId="304943A2">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68A8560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Kvalitet (K) – rok izvođenja radova  ( 10 poena)</w:t>
      </w:r>
    </w:p>
    <w:p w14:paraId="75580405">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EE4B1D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Pod kriterijum kvalitet: </w:t>
      </w:r>
      <w:r>
        <w:t>Parametar kvalitet (K) vrednovaće se na sljedeći način: max 10 bodova. Za izbor najpovoljnije ponude primjenom parametra kvalitet, kao osnova za vrednovanje uzima se rok izvršenja radova Ponuđač sa najkraćim ponuđenim rokom tj brojem dana za izvođenje radova od dana uvođenja u posao dobija maksimalni broj bodova u skladu sa ovim parametrom, a drugi ponuđači dobijaju proporcionalno manji broj bodova po formuli: Broj bodova (K)= (najkraći ponuđeni broj dana izvođenja radova / ponuđeni broj dana izvođenja radova) × 10 NAPOMENA: Ponuđač ponuđeni broj dana izvođenja radova od dana uvođenja u posao dokazuje dostavljanjem potpisane i ovjerene Izjave. ( Ponuđeni rok ne može biti kraći od 20 niti duži od 25 dana)</w:t>
      </w:r>
    </w:p>
    <w:p w14:paraId="5165DB4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28B01A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K=(Kmin/Kp)x10</w:t>
      </w:r>
    </w:p>
    <w:p w14:paraId="4356C189">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Kmin- najkraći ponuđeni rok za izvođenje radova</w:t>
      </w:r>
    </w:p>
    <w:p w14:paraId="6A0B4EB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Kp – ponuđeni rok za izvođenje radova</w:t>
      </w:r>
    </w:p>
    <w:p w14:paraId="1A0EE83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CDCA4FE">
      <w:pPr>
        <w:pBdr>
          <w:top w:val="single" w:color="auto" w:sz="4" w:space="1"/>
          <w:left w:val="single" w:color="auto" w:sz="4" w:space="4"/>
          <w:bottom w:val="single" w:color="auto" w:sz="4" w:space="1"/>
          <w:right w:val="single" w:color="auto" w:sz="4" w:space="4"/>
        </w:pBdr>
        <w:jc w:val="both"/>
        <w:rPr>
          <w:rFonts w:ascii="Arial" w:hAnsi="Arial" w:cs="Arial"/>
        </w:rPr>
      </w:pPr>
    </w:p>
    <w:p w14:paraId="54AE0BFD">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17276E2C">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296BC8A7">
      <w:pPr>
        <w:jc w:val="both"/>
        <w:rPr>
          <w:rFonts w:ascii="Arial" w:hAnsi="Arial" w:cs="Arial"/>
          <w:color w:val="000000"/>
        </w:rPr>
      </w:pPr>
    </w:p>
    <w:p w14:paraId="374FE843">
      <w:pPr>
        <w:jc w:val="both"/>
        <w:rPr>
          <w:rFonts w:ascii="Arial" w:hAnsi="Arial" w:cs="Arial"/>
        </w:rPr>
      </w:pPr>
      <w:r>
        <w:rPr>
          <w:rFonts w:ascii="Arial" w:hAnsi="Arial" w:cs="Arial"/>
          <w:color w:val="000000"/>
        </w:rPr>
        <w:sym w:font="Wingdings" w:char="F0A8"/>
      </w:r>
      <w:r>
        <w:rPr>
          <w:rFonts w:ascii="Arial" w:hAnsi="Arial" w:cs="Arial"/>
          <w:color w:val="000000"/>
        </w:rPr>
        <w:t xml:space="preserve"> Vrednovanje</w:t>
      </w:r>
      <w:r>
        <w:rPr>
          <w:rFonts w:ascii="Arial" w:hAnsi="Arial" w:cs="Arial"/>
        </w:rPr>
        <w:t xml:space="preserve"> ponuda sa varijantama: </w:t>
      </w:r>
    </w:p>
    <w:p w14:paraId="25B3B8CD">
      <w:pPr>
        <w:jc w:val="both"/>
        <w:rPr>
          <w:rFonts w:ascii="Arial" w:hAnsi="Arial" w:cs="Arial"/>
        </w:rPr>
      </w:pPr>
    </w:p>
    <w:p w14:paraId="5F6961A8">
      <w:pPr>
        <w:jc w:val="both"/>
        <w:rPr>
          <w:rFonts w:hint="default" w:ascii="Arial" w:hAnsi="Arial" w:cs="Arial"/>
          <w:color w:val="000000"/>
          <w:lang w:val="sr-Latn-RS"/>
        </w:rPr>
      </w:pPr>
      <w:r>
        <w:rPr>
          <w:rFonts w:hint="default" w:ascii="Arial" w:hAnsi="Arial" w:cs="Arial"/>
          <w:lang w:val="sr-Latn-RS"/>
        </w:rPr>
        <w:t>Neće se vrednovati.</w:t>
      </w:r>
    </w:p>
    <w:p w14:paraId="7091AB4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7" w:name="_Toc62730560"/>
      <w:r>
        <w:rPr>
          <w:rFonts w:ascii="Arial" w:hAnsi="Arial"/>
          <w:b/>
          <w:szCs w:val="32"/>
        </w:rPr>
        <w:t>JEZIK PONUDE</w:t>
      </w:r>
      <w:bookmarkEnd w:id="7"/>
    </w:p>
    <w:p w14:paraId="2D420180">
      <w:pPr>
        <w:jc w:val="both"/>
        <w:rPr>
          <w:rFonts w:ascii="Arial" w:hAnsi="Arial" w:cs="Arial"/>
          <w:b/>
          <w:bCs/>
          <w:color w:val="000000"/>
        </w:rPr>
      </w:pPr>
    </w:p>
    <w:p w14:paraId="58DDD958">
      <w:pPr>
        <w:jc w:val="both"/>
        <w:rPr>
          <w:rFonts w:ascii="Arial" w:hAnsi="Arial" w:cs="Arial"/>
          <w:color w:val="000000"/>
        </w:rPr>
      </w:pPr>
      <w:r>
        <w:rPr>
          <w:rFonts w:ascii="Arial" w:hAnsi="Arial" w:cs="Arial"/>
          <w:color w:val="000000"/>
        </w:rPr>
        <w:t>Ponuda se sačinjava na:</w:t>
      </w:r>
    </w:p>
    <w:p w14:paraId="734F985C">
      <w:pPr>
        <w:jc w:val="both"/>
        <w:rPr>
          <w:rFonts w:ascii="Arial" w:hAnsi="Arial" w:cs="Arial"/>
          <w:b/>
          <w:bCs/>
          <w:color w:val="000000"/>
        </w:rPr>
      </w:pPr>
    </w:p>
    <w:p w14:paraId="6A72D208">
      <w:pPr>
        <w:jc w:val="both"/>
        <w:rPr>
          <w:rFonts w:ascii="Arial" w:hAnsi="Arial" w:cs="Arial"/>
          <w:color w:val="000000"/>
        </w:rPr>
      </w:pPr>
      <w:r>
        <w:rPr>
          <w:rFonts w:ascii="Arial" w:hAnsi="Arial" w:cs="Arial"/>
          <w:color w:val="000000"/>
        </w:rPr>
        <w:sym w:font="Wingdings" w:char="00FE"/>
      </w:r>
      <w:r>
        <w:rPr>
          <w:rFonts w:ascii="Arial" w:hAnsi="Arial" w:cs="Arial"/>
          <w:color w:val="000000"/>
        </w:rPr>
        <w:t>crnogorski jezik i drugi jezik koji je u službenoj upotrebi u Crnoj Gori, u skladu sa Ustavom i zakonom</w:t>
      </w:r>
    </w:p>
    <w:p w14:paraId="57E81A65">
      <w:pPr>
        <w:jc w:val="both"/>
        <w:rPr>
          <w:rFonts w:ascii="Arial" w:hAnsi="Arial" w:cs="Arial"/>
        </w:rPr>
      </w:pPr>
    </w:p>
    <w:p w14:paraId="59A9B53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8" w:name="_Toc62730561"/>
      <w:r>
        <w:rPr>
          <w:rFonts w:ascii="Arial" w:hAnsi="Arial"/>
          <w:b/>
          <w:szCs w:val="32"/>
        </w:rPr>
        <w:t>NAČIN, MJESTO I VRIJEME PODNOŠENJA PONUDA I OTVARANJA PONUDA</w:t>
      </w:r>
      <w:bookmarkEnd w:id="8"/>
    </w:p>
    <w:p w14:paraId="06BB3EA3">
      <w:pPr>
        <w:jc w:val="both"/>
        <w:rPr>
          <w:rFonts w:ascii="Arial" w:hAnsi="Arial" w:cs="Arial"/>
          <w:b/>
          <w:bCs/>
          <w:color w:val="000000"/>
        </w:rPr>
      </w:pPr>
    </w:p>
    <w:p w14:paraId="71F27453">
      <w:pPr>
        <w:jc w:val="both"/>
        <w:rPr>
          <w:rFonts w:ascii="Arial" w:hAnsi="Arial" w:cs="Arial"/>
          <w:color w:val="000000"/>
        </w:rPr>
      </w:pPr>
      <w:r>
        <w:rPr>
          <w:rFonts w:ascii="Arial" w:hAnsi="Arial" w:cs="Arial"/>
          <w:color w:val="000000"/>
        </w:rPr>
        <w:t xml:space="preserve">Ponude se podnose preko ESJN-a zaključno sa danom </w:t>
      </w:r>
      <w:r>
        <w:rPr>
          <w:rFonts w:hint="default" w:ascii="Arial" w:hAnsi="Arial" w:cs="Arial"/>
          <w:color w:val="000000"/>
          <w:lang w:val="sr-Latn-RS"/>
        </w:rPr>
        <w:t>20</w:t>
      </w:r>
      <w:r>
        <w:rPr>
          <w:rFonts w:ascii="Arial" w:hAnsi="Arial" w:cs="Arial"/>
          <w:color w:val="000000"/>
        </w:rPr>
        <w:t>.</w:t>
      </w:r>
      <w:r>
        <w:rPr>
          <w:rFonts w:hint="default" w:ascii="Arial" w:hAnsi="Arial" w:cs="Arial"/>
          <w:color w:val="000000"/>
          <w:lang w:val="sr-Latn-RS"/>
        </w:rPr>
        <w:t>10</w:t>
      </w:r>
      <w:r>
        <w:rPr>
          <w:rFonts w:ascii="Arial" w:hAnsi="Arial" w:cs="Arial"/>
          <w:color w:val="000000"/>
        </w:rPr>
        <w:t>.202</w:t>
      </w:r>
      <w:r>
        <w:rPr>
          <w:rFonts w:hint="default" w:ascii="Arial" w:hAnsi="Arial" w:cs="Arial"/>
          <w:color w:val="000000"/>
          <w:lang w:val="sr-Latn-RS"/>
        </w:rPr>
        <w:t>5</w:t>
      </w:r>
      <w:r>
        <w:rPr>
          <w:rFonts w:ascii="Arial" w:hAnsi="Arial" w:cs="Arial"/>
          <w:color w:val="000000"/>
        </w:rPr>
        <w:t xml:space="preserve">. godine do </w:t>
      </w:r>
      <w:r>
        <w:rPr>
          <w:rFonts w:hint="default" w:ascii="Arial" w:hAnsi="Arial" w:cs="Arial"/>
          <w:color w:val="000000"/>
          <w:lang w:val="sr-Latn-RS"/>
        </w:rPr>
        <w:t>09</w:t>
      </w:r>
      <w:r>
        <w:rPr>
          <w:rFonts w:ascii="Arial" w:hAnsi="Arial" w:cs="Arial"/>
          <w:color w:val="000000"/>
        </w:rPr>
        <w:t xml:space="preserve"> sati.</w:t>
      </w:r>
    </w:p>
    <w:p w14:paraId="34E718F5">
      <w:pPr>
        <w:jc w:val="both"/>
        <w:rPr>
          <w:rFonts w:ascii="Arial" w:hAnsi="Arial" w:cs="Arial"/>
          <w:b/>
          <w:bCs/>
          <w:i/>
          <w:iCs/>
          <w:color w:val="000000"/>
        </w:rPr>
      </w:pPr>
    </w:p>
    <w:p w14:paraId="195CDC85">
      <w:pPr>
        <w:jc w:val="both"/>
        <w:rPr>
          <w:rFonts w:ascii="Arial" w:hAnsi="Arial" w:cs="Arial"/>
          <w:color w:val="000000"/>
        </w:rPr>
      </w:pPr>
      <w:r>
        <w:rPr>
          <w:rFonts w:ascii="Arial" w:hAnsi="Arial" w:cs="Arial"/>
          <w:color w:val="000000"/>
        </w:rPr>
        <w:t xml:space="preserve">Otvaranje ponuda održaće se dana  </w:t>
      </w:r>
      <w:r>
        <w:rPr>
          <w:rFonts w:hint="default" w:ascii="Arial" w:hAnsi="Arial" w:cs="Arial"/>
          <w:color w:val="000000"/>
          <w:lang w:val="sr-Latn-RS"/>
        </w:rPr>
        <w:t>20</w:t>
      </w:r>
      <w:r>
        <w:rPr>
          <w:rFonts w:ascii="Arial" w:hAnsi="Arial" w:cs="Arial"/>
          <w:color w:val="000000"/>
        </w:rPr>
        <w:t>.</w:t>
      </w:r>
      <w:r>
        <w:rPr>
          <w:rFonts w:hint="default" w:ascii="Arial" w:hAnsi="Arial" w:cs="Arial"/>
          <w:color w:val="000000"/>
          <w:lang w:val="sr-Latn-RS"/>
        </w:rPr>
        <w:t>10</w:t>
      </w:r>
      <w:r>
        <w:rPr>
          <w:rFonts w:ascii="Arial" w:hAnsi="Arial" w:cs="Arial"/>
          <w:color w:val="000000"/>
        </w:rPr>
        <w:t>.202</w:t>
      </w:r>
      <w:r>
        <w:rPr>
          <w:rFonts w:hint="default" w:ascii="Arial" w:hAnsi="Arial" w:cs="Arial"/>
          <w:color w:val="000000"/>
          <w:lang w:val="sr-Latn-RS"/>
        </w:rPr>
        <w:t>5</w:t>
      </w:r>
      <w:r>
        <w:rPr>
          <w:rFonts w:ascii="Arial" w:hAnsi="Arial" w:cs="Arial"/>
          <w:color w:val="000000"/>
        </w:rPr>
        <w:t xml:space="preserve">. godine u </w:t>
      </w:r>
      <w:r>
        <w:rPr>
          <w:rFonts w:hint="default" w:ascii="Arial" w:hAnsi="Arial" w:cs="Arial"/>
          <w:color w:val="000000"/>
          <w:lang w:val="sr-Latn-RS"/>
        </w:rPr>
        <w:t>9</w:t>
      </w:r>
      <w:r>
        <w:rPr>
          <w:rFonts w:ascii="Arial" w:hAnsi="Arial" w:cs="Arial"/>
          <w:color w:val="000000"/>
        </w:rPr>
        <w:t xml:space="preserve"> sati. </w:t>
      </w:r>
    </w:p>
    <w:p w14:paraId="1FA50C50">
      <w:pPr>
        <w:jc w:val="both"/>
        <w:rPr>
          <w:rFonts w:ascii="Arial" w:hAnsi="Arial" w:cs="Arial"/>
          <w:color w:val="000000"/>
        </w:rPr>
      </w:pPr>
    </w:p>
    <w:p w14:paraId="43C60C1B">
      <w:pPr>
        <w:pStyle w:val="15"/>
        <w:rPr>
          <w:rFonts w:ascii="Arial" w:hAnsi="Arial" w:cs="Arial"/>
          <w:sz w:val="24"/>
          <w:szCs w:val="24"/>
        </w:rPr>
      </w:pPr>
      <w:r>
        <w:rPr>
          <w:rFonts w:ascii="Arial" w:hAnsi="Arial" w:cs="Arial"/>
          <w:sz w:val="24"/>
          <w:szCs w:val="24"/>
        </w:rPr>
        <w:t>Izjava privrednog subjekta i garancija ponude podnose se u elektronskom obliku putem ESJN.</w:t>
      </w:r>
    </w:p>
    <w:p w14:paraId="3E13ABC4">
      <w:pPr>
        <w:pStyle w:val="15"/>
        <w:rPr>
          <w:rFonts w:ascii="Arial" w:hAnsi="Arial" w:cs="Arial"/>
          <w:sz w:val="21"/>
          <w:szCs w:val="21"/>
          <w:shd w:val="clear" w:color="auto" w:fill="FFFFFF"/>
        </w:rPr>
      </w:pPr>
      <w:r>
        <w:rPr>
          <w:rFonts w:ascii="Arial" w:hAnsi="Arial" w:cs="Arial"/>
          <w:sz w:val="24"/>
          <w:szCs w:val="24"/>
        </w:rPr>
        <w:t xml:space="preserve">Izuzetno ako ponuđač ne može da garanciju ponude podnese u elektronskom obliku, dužan je da putem ESJN dostavi kopiju garancije ponude, a da original garancije ponude dostavi, odnosno uruči naručiocu neposredno ili putem pošte </w:t>
      </w:r>
      <w:r>
        <w:rPr>
          <w:rFonts w:ascii="Arial" w:hAnsi="Arial" w:cs="Arial"/>
          <w:sz w:val="24"/>
          <w:szCs w:val="24"/>
          <w:shd w:val="clear" w:color="auto" w:fill="FFFFFF"/>
        </w:rPr>
        <w:t xml:space="preserve">preporučenom pošiljkom sa povratnicom na adresi Opština Andrijevica, Branka Deletića 64. s tim što Garancija ponude mora biti uručena od strane poštanskog operatora najkasnije do roka određenog za podnošenje ponude, radnim danima od 8 do 14 sati, zaključno sa danom </w:t>
      </w:r>
      <w:r>
        <w:rPr>
          <w:rFonts w:hint="default" w:ascii="Arial" w:hAnsi="Arial" w:cs="Arial"/>
          <w:sz w:val="24"/>
          <w:szCs w:val="24"/>
          <w:shd w:val="clear" w:color="auto" w:fill="FFFFFF"/>
          <w:lang w:val="sr-Latn-RS"/>
        </w:rPr>
        <w:t>20</w:t>
      </w:r>
      <w:r>
        <w:rPr>
          <w:rFonts w:ascii="Arial" w:hAnsi="Arial" w:cs="Arial"/>
          <w:sz w:val="24"/>
          <w:szCs w:val="24"/>
          <w:shd w:val="clear" w:color="auto" w:fill="FFFFFF"/>
        </w:rPr>
        <w:t>.</w:t>
      </w:r>
      <w:r>
        <w:rPr>
          <w:rFonts w:hint="default" w:ascii="Arial" w:hAnsi="Arial" w:cs="Arial"/>
          <w:sz w:val="24"/>
          <w:szCs w:val="24"/>
          <w:shd w:val="clear" w:color="auto" w:fill="FFFFFF"/>
          <w:lang w:val="sr-Latn-RS"/>
        </w:rPr>
        <w:t>10</w:t>
      </w:r>
      <w:r>
        <w:rPr>
          <w:rFonts w:ascii="Arial" w:hAnsi="Arial" w:cs="Arial"/>
          <w:sz w:val="24"/>
          <w:szCs w:val="24"/>
          <w:shd w:val="clear" w:color="auto" w:fill="FFFFFF"/>
        </w:rPr>
        <w:t>.202</w:t>
      </w:r>
      <w:r>
        <w:rPr>
          <w:rFonts w:hint="default" w:ascii="Arial" w:hAnsi="Arial" w:cs="Arial"/>
          <w:sz w:val="24"/>
          <w:szCs w:val="24"/>
          <w:shd w:val="clear" w:color="auto" w:fill="FFFFFF"/>
          <w:lang w:val="sr-Latn-RS"/>
        </w:rPr>
        <w:t>5</w:t>
      </w:r>
      <w:r>
        <w:rPr>
          <w:rFonts w:ascii="Arial" w:hAnsi="Arial" w:cs="Arial"/>
          <w:sz w:val="24"/>
          <w:szCs w:val="24"/>
          <w:shd w:val="clear" w:color="auto" w:fill="FFFFFF"/>
        </w:rPr>
        <w:t xml:space="preserve">. godine do </w:t>
      </w:r>
      <w:r>
        <w:rPr>
          <w:rFonts w:hint="default" w:ascii="Arial" w:hAnsi="Arial" w:cs="Arial"/>
          <w:sz w:val="24"/>
          <w:szCs w:val="24"/>
          <w:shd w:val="clear" w:color="auto" w:fill="FFFFFF"/>
          <w:lang w:val="sr-Latn-RS"/>
        </w:rPr>
        <w:t>09</w:t>
      </w:r>
      <w:r>
        <w:rPr>
          <w:rFonts w:ascii="Arial" w:hAnsi="Arial" w:cs="Arial"/>
          <w:sz w:val="24"/>
          <w:szCs w:val="24"/>
          <w:shd w:val="clear" w:color="auto" w:fill="FFFFFF"/>
        </w:rPr>
        <w:t>:00 sati.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Pr>
          <w:rFonts w:ascii="Arial" w:hAnsi="Arial" w:cs="Arial"/>
          <w:sz w:val="24"/>
          <w:szCs w:val="24"/>
          <w:shd w:val="clear" w:color="auto" w:fill="FFFFFF"/>
        </w:rPr>
        <w:sym w:font="Symbol" w:char="F0FC"/>
      </w:r>
      <w:r>
        <w:rPr>
          <w:rFonts w:ascii="Arial" w:hAnsi="Arial" w:cs="Arial"/>
          <w:sz w:val="24"/>
          <w:szCs w:val="24"/>
          <w:shd w:val="clear" w:color="auto" w:fill="FFFFFF"/>
        </w:rPr>
        <w:t xml:space="preserve"> neposrednom predajom na arhivi naručioca na adresi Opština Andrijevica Branka Deletića 64.</w:t>
      </w:r>
    </w:p>
    <w:p w14:paraId="123ADA3E">
      <w:pPr>
        <w:pStyle w:val="15"/>
        <w:rPr>
          <w:rFonts w:ascii="Arial" w:hAnsi="Arial" w:cs="Arial"/>
          <w:sz w:val="24"/>
          <w:szCs w:val="24"/>
        </w:rPr>
      </w:pPr>
    </w:p>
    <w:p w14:paraId="7F9B5EF8">
      <w:pPr>
        <w:pStyle w:val="15"/>
        <w:rPr>
          <w:rFonts w:ascii="Arial" w:hAnsi="Arial" w:cs="Arial"/>
          <w:sz w:val="24"/>
          <w:szCs w:val="24"/>
        </w:rPr>
      </w:pPr>
      <w:r>
        <w:rPr>
          <w:rFonts w:ascii="Arial" w:hAnsi="Arial" w:cs="Arial"/>
          <w:sz w:val="24"/>
          <w:szCs w:val="24"/>
        </w:rPr>
        <w:t>Dokazi iz člana 120 stav 16 tač. 3, 4 i 5  Zakona o javnim nabavkama podnose se putem ESJN u elektronskom obliku ili kao skenirana kopija originala.</w:t>
      </w:r>
    </w:p>
    <w:p w14:paraId="43E37EF1">
      <w:pPr>
        <w:jc w:val="both"/>
        <w:rPr>
          <w:rFonts w:ascii="Arial" w:hAnsi="Arial" w:cs="Arial"/>
          <w:color w:val="000000"/>
        </w:rPr>
      </w:pPr>
    </w:p>
    <w:p w14:paraId="029458A9">
      <w:pPr>
        <w:tabs>
          <w:tab w:val="left" w:pos="1230"/>
        </w:tabs>
        <w:jc w:val="both"/>
        <w:rPr>
          <w:rFonts w:hint="default" w:ascii="Arial" w:hAnsi="Arial" w:cs="Arial"/>
          <w:lang w:val="sr-Latn-RS"/>
        </w:rPr>
      </w:pPr>
      <w:r>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r>
        <w:rPr>
          <w:rFonts w:hint="default" w:ascii="Arial" w:hAnsi="Arial" w:cs="Arial"/>
          <w:lang w:val="sr-Latn-RS"/>
        </w:rPr>
        <w:t xml:space="preserve"> a iz razloga jer je Građevinska sezona na sjeveru Crne Gore kratka i postoji opasnost od ne završetka radova.</w:t>
      </w:r>
    </w:p>
    <w:p w14:paraId="483409C6">
      <w:pPr>
        <w:rPr>
          <w:rFonts w:ascii="Arial" w:hAnsi="Arial" w:cs="Arial"/>
          <w:i/>
          <w:iCs/>
          <w:color w:val="000000"/>
        </w:rPr>
      </w:pPr>
    </w:p>
    <w:p w14:paraId="4F3C34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9" w:name="_Toc62730562"/>
      <w:r>
        <w:rPr>
          <w:rFonts w:ascii="Arial" w:hAnsi="Arial"/>
          <w:b/>
          <w:szCs w:val="32"/>
        </w:rPr>
        <w:t>USLOVI ZA AKTIVIRANJE GARANCIJE PONUDE</w:t>
      </w:r>
      <w:r>
        <w:rPr>
          <w:rFonts w:ascii="Arial" w:hAnsi="Arial"/>
          <w:b/>
          <w:szCs w:val="32"/>
          <w:vertAlign w:val="superscript"/>
        </w:rPr>
        <w:footnoteReference w:id="10"/>
      </w:r>
      <w:bookmarkEnd w:id="9"/>
    </w:p>
    <w:p w14:paraId="29FF55BB">
      <w:pPr>
        <w:jc w:val="both"/>
        <w:rPr>
          <w:rFonts w:ascii="Arial" w:hAnsi="Arial" w:cs="Arial"/>
          <w:b/>
          <w:bCs/>
          <w:color w:val="000000"/>
        </w:rPr>
      </w:pPr>
    </w:p>
    <w:p w14:paraId="607C5D0D">
      <w:pPr>
        <w:jc w:val="both"/>
        <w:rPr>
          <w:rFonts w:ascii="Arial" w:hAnsi="Arial" w:cs="Arial"/>
        </w:rPr>
      </w:pPr>
      <w:r>
        <w:rPr>
          <w:rFonts w:ascii="Arial" w:hAnsi="Arial" w:cs="Arial"/>
        </w:rPr>
        <w:t xml:space="preserve">Garancija ponude će se aktivirati ako ponuđač: </w:t>
      </w:r>
    </w:p>
    <w:p w14:paraId="7FEC0D3A">
      <w:pPr>
        <w:pStyle w:val="15"/>
        <w:ind w:left="567" w:hanging="283"/>
        <w:rPr>
          <w:rFonts w:ascii="Arial" w:hAnsi="Arial" w:cs="Arial"/>
          <w:sz w:val="24"/>
          <w:szCs w:val="24"/>
        </w:rPr>
      </w:pPr>
      <w:r>
        <w:rPr>
          <w:rFonts w:ascii="Arial" w:hAnsi="Arial" w:cs="Arial"/>
          <w:sz w:val="24"/>
          <w:szCs w:val="24"/>
        </w:rPr>
        <w:t>1) odustane od ponude u roku važenja ponude i/ili</w:t>
      </w:r>
    </w:p>
    <w:p w14:paraId="33901073">
      <w:pPr>
        <w:pStyle w:val="15"/>
        <w:rPr>
          <w:rFonts w:ascii="Arial" w:hAnsi="Arial" w:cs="Arial"/>
          <w:sz w:val="24"/>
          <w:szCs w:val="24"/>
        </w:rPr>
      </w:pPr>
      <w:r>
        <w:rPr>
          <w:rFonts w:ascii="Arial" w:hAnsi="Arial" w:cs="Arial"/>
          <w:sz w:val="24"/>
          <w:szCs w:val="24"/>
        </w:rPr>
        <w:t xml:space="preserve"> 2) odbije da zaključi ugovor o javnoj nabavci ili okvirni sporazum.</w:t>
      </w:r>
    </w:p>
    <w:p w14:paraId="0AC5DD85">
      <w:pPr>
        <w:jc w:val="both"/>
        <w:rPr>
          <w:rFonts w:ascii="Arial" w:hAnsi="Arial" w:cs="Arial"/>
          <w:color w:val="000000"/>
        </w:rPr>
      </w:pPr>
    </w:p>
    <w:p w14:paraId="6818A17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0" w:name="_Toc62730563"/>
      <w:r>
        <w:rPr>
          <w:rFonts w:ascii="Arial" w:hAnsi="Arial"/>
          <w:b/>
          <w:szCs w:val="32"/>
        </w:rPr>
        <w:t>TAJNOST PODATAKA</w:t>
      </w:r>
      <w:bookmarkEnd w:id="10"/>
    </w:p>
    <w:p w14:paraId="35845826">
      <w:pPr>
        <w:jc w:val="both"/>
        <w:rPr>
          <w:rFonts w:ascii="Arial" w:hAnsi="Arial" w:cs="Arial"/>
          <w:color w:val="000000"/>
        </w:rPr>
      </w:pPr>
    </w:p>
    <w:p w14:paraId="643D83E3">
      <w:pPr>
        <w:jc w:val="both"/>
        <w:rPr>
          <w:rFonts w:ascii="Arial" w:hAnsi="Arial" w:cs="Arial"/>
          <w:color w:val="000000"/>
        </w:rPr>
      </w:pPr>
      <w:r>
        <w:rPr>
          <w:rFonts w:ascii="Arial" w:hAnsi="Arial" w:cs="Arial"/>
          <w:color w:val="000000"/>
        </w:rPr>
        <w:t>Tenderska dokumentacija sadrži tajne podatke</w:t>
      </w:r>
    </w:p>
    <w:p w14:paraId="5F3540F6">
      <w:pPr>
        <w:jc w:val="both"/>
        <w:rPr>
          <w:rFonts w:ascii="Arial" w:hAnsi="Arial" w:cs="Arial"/>
          <w:color w:val="000000"/>
        </w:rPr>
      </w:pPr>
    </w:p>
    <w:p w14:paraId="358AB40B">
      <w:pPr>
        <w:jc w:val="both"/>
        <w:rPr>
          <w:rFonts w:ascii="Arial" w:hAnsi="Arial" w:cs="Arial"/>
          <w:color w:val="000000"/>
        </w:rPr>
      </w:pPr>
      <w:r>
        <w:rPr>
          <w:rFonts w:ascii="Arial" w:hAnsi="Arial" w:cs="Arial"/>
          <w:color w:val="000000"/>
        </w:rPr>
        <w:sym w:font="Wingdings" w:char="00FE"/>
      </w:r>
      <w:r>
        <w:rPr>
          <w:rFonts w:ascii="Arial" w:hAnsi="Arial" w:cs="Arial"/>
          <w:color w:val="000000"/>
        </w:rPr>
        <w:t>ne</w:t>
      </w:r>
    </w:p>
    <w:p w14:paraId="44FB541C">
      <w:pPr>
        <w:jc w:val="both"/>
        <w:rPr>
          <w:rFonts w:ascii="Arial" w:hAnsi="Arial" w:cs="Arial"/>
          <w:b/>
          <w:bCs/>
          <w:color w:val="000000"/>
        </w:rPr>
      </w:pPr>
      <w:r>
        <w:rPr>
          <w:rFonts w:ascii="Arial" w:hAnsi="Arial" w:cs="Arial"/>
          <w:color w:val="000000"/>
        </w:rPr>
        <w:sym w:font="Wingdings" w:char="F0A8"/>
      </w:r>
      <w:r>
        <w:rPr>
          <w:rFonts w:ascii="Arial" w:hAnsi="Arial" w:cs="Arial"/>
          <w:color w:val="000000"/>
        </w:rPr>
        <w:t>da</w:t>
      </w:r>
    </w:p>
    <w:p w14:paraId="42921527">
      <w:pPr>
        <w:jc w:val="both"/>
        <w:rPr>
          <w:rFonts w:ascii="Arial" w:hAnsi="Arial" w:cs="Arial"/>
          <w:color w:val="000000"/>
        </w:rPr>
      </w:pPr>
    </w:p>
    <w:p w14:paraId="5F7DB773">
      <w:pPr>
        <w:jc w:val="both"/>
        <w:rPr>
          <w:rFonts w:ascii="Arial" w:hAnsi="Arial" w:cs="Arial"/>
        </w:rPr>
      </w:pPr>
      <w:r>
        <w:rPr>
          <w:rFonts w:ascii="Arial" w:hAnsi="Arial" w:cs="Arial"/>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5BB473A">
      <w:pPr>
        <w:rPr>
          <w:rFonts w:ascii="Arial" w:hAnsi="Arial" w:cs="Arial"/>
        </w:rPr>
      </w:pPr>
    </w:p>
    <w:p w14:paraId="104BE735">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1" w:name="_Toc62730564"/>
      <w:r>
        <w:rPr>
          <w:rFonts w:ascii="Arial" w:hAnsi="Arial"/>
          <w:b/>
          <w:szCs w:val="32"/>
        </w:rPr>
        <w:t>UPUTSTVO ZA SAČINJAVANJE PONUDE</w:t>
      </w:r>
      <w:bookmarkEnd w:id="11"/>
    </w:p>
    <w:p w14:paraId="299494E7">
      <w:pPr>
        <w:rPr>
          <w:rFonts w:ascii="Arial" w:hAnsi="Arial" w:cs="Arial"/>
        </w:rPr>
      </w:pPr>
    </w:p>
    <w:p w14:paraId="32D74AA6">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30A6195A">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62B678CA">
      <w:pPr>
        <w:jc w:val="both"/>
        <w:rPr>
          <w:rFonts w:ascii="Arial" w:hAnsi="Arial" w:cs="Arial"/>
          <w:i/>
          <w:iCs/>
          <w:color w:val="000000"/>
        </w:rPr>
      </w:pPr>
      <w:r>
        <w:rPr>
          <w:rFonts w:ascii="Arial" w:hAnsi="Arial" w:cs="Arial"/>
        </w:rPr>
        <w:t xml:space="preserve">Ponuđač je dužan da tačno, potpuno, pravilno i nedvosmisleno popuni </w:t>
      </w:r>
      <w:r>
        <w:rPr>
          <w:rFonts w:ascii="Arial" w:hAnsi="Arial" w:eastAsia="Calibri" w:cs="Arial"/>
        </w:rPr>
        <w:t>Izjavu privrednog subjekta u skladu sa zahtjevima iz tenderske dokumentacije.</w:t>
      </w:r>
    </w:p>
    <w:p w14:paraId="5218930C">
      <w:pPr>
        <w:jc w:val="both"/>
        <w:rPr>
          <w:rFonts w:ascii="Arial" w:hAnsi="Arial" w:cs="Arial"/>
          <w:b/>
          <w:bCs/>
          <w:color w:val="000000"/>
        </w:rPr>
      </w:pPr>
    </w:p>
    <w:p w14:paraId="5F473FB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14:paraId="6572E8FE">
      <w:pPr>
        <w:jc w:val="both"/>
        <w:rPr>
          <w:rFonts w:ascii="Arial" w:hAnsi="Arial" w:cs="Arial"/>
          <w:i/>
        </w:rPr>
      </w:pPr>
    </w:p>
    <w:p w14:paraId="75E9E2A9">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75AC7FC4">
      <w:pPr>
        <w:jc w:val="both"/>
        <w:rPr>
          <w:rFonts w:ascii="Arial" w:hAnsi="Arial" w:cs="Arial"/>
        </w:rPr>
      </w:pPr>
    </w:p>
    <w:p w14:paraId="7FBC7FC9">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67F2142B">
      <w:pPr>
        <w:jc w:val="both"/>
        <w:rPr>
          <w:rFonts w:ascii="Arial" w:hAnsi="Arial" w:cs="Arial"/>
        </w:rPr>
      </w:pPr>
    </w:p>
    <w:p w14:paraId="5C37FC7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1"/>
      </w:r>
    </w:p>
    <w:p w14:paraId="7C6E80B8">
      <w:pPr>
        <w:jc w:val="both"/>
        <w:rPr>
          <w:rFonts w:ascii="Arial" w:hAnsi="Arial" w:cs="Arial"/>
          <w:color w:val="000000"/>
        </w:rPr>
      </w:pPr>
    </w:p>
    <w:p w14:paraId="10A4E9C6">
      <w:pPr>
        <w:jc w:val="both"/>
        <w:rPr>
          <w:rFonts w:ascii="Arial" w:hAnsi="Arial" w:cs="Arial"/>
          <w:color w:val="000000"/>
        </w:rPr>
      </w:pPr>
      <w:r>
        <w:rPr>
          <w:rFonts w:ascii="Arial" w:hAnsi="Arial" w:cs="Arial"/>
          <w:color w:val="000000"/>
        </w:rPr>
        <w:t>___________________________________________</w:t>
      </w:r>
    </w:p>
    <w:p w14:paraId="74CDE55A">
      <w:pPr>
        <w:jc w:val="both"/>
        <w:rPr>
          <w:rFonts w:ascii="Arial" w:hAnsi="Arial" w:cs="Arial"/>
          <w:b/>
          <w:bCs/>
          <w:color w:val="000000"/>
        </w:rPr>
      </w:pPr>
    </w:p>
    <w:p w14:paraId="2967890D">
      <w:pPr>
        <w:spacing w:beforeLines="0" w:afterLines="0"/>
        <w:jc w:val="left"/>
        <w:rPr>
          <w:rFonts w:hint="default" w:ascii="Arial" w:hAnsi="Arial" w:eastAsia="TimesNewRoman" w:cs="Arial"/>
          <w:sz w:val="24"/>
          <w:szCs w:val="24"/>
        </w:rPr>
      </w:pPr>
      <w:r>
        <w:rPr>
          <w:rFonts w:ascii="Arial" w:hAnsi="Arial" w:cs="Arial"/>
          <w:color w:val="000000"/>
        </w:rPr>
        <w:sym w:font="Wingdings" w:char="F0A8"/>
      </w:r>
      <w:r>
        <w:rPr>
          <w:rFonts w:ascii="Arial" w:hAnsi="Arial" w:cs="Arial"/>
          <w:color w:val="000000"/>
        </w:rPr>
        <w:t xml:space="preserve"> Ugovor o javnoj nabavci tokom njegovog trajanja može da se izmijeni bez sprovođenja novog postupka javne nabavke u skladu sa članom 151 Zakona o javnim nabavkama: </w:t>
      </w:r>
      <w:r>
        <w:rPr>
          <w:rFonts w:hint="default" w:ascii="Arial" w:hAnsi="Arial" w:eastAsia="TimesNewRoman" w:cs="Arial"/>
          <w:sz w:val="24"/>
          <w:szCs w:val="24"/>
        </w:rPr>
        <w:t>1) ako su izmjene, bez obzira na njihovu vrijednost izraženu u novcu, predviđene tenderskom dokumentacijom 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ugovorom o javnoj nabavci i uključuju izmjenu cijene ili varijante, sa utvrđenim obimom i prirodom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mogućih izmjena ili varijanti, kao i uslovima u kojima se izmjene mogu vršiti, pod uslovom da se ugovorom</w:t>
      </w:r>
    </w:p>
    <w:p w14:paraId="4A75B2A8">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ne predviđaju izmjene kojima se mijenja ukupna priroda ugovora o javnoj nabavci, a povećanje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ugovora nije veće od 20% vrijednosti prvobitnog ugovora,</w:t>
      </w:r>
    </w:p>
    <w:p w14:paraId="064D145F">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2) radi nabavke dodatnih roba, usluga ili radova, koji su postali neophodni, a koji nijesu bili uključeni u</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prvobitni ugovor o javnoj nabavci, ako promjena privrednog subjekta sa kojim je zaključen ugovor nije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moguća iz ekonomskih ili tehničkih razloga, kao što su zahtjevi kompatibilnosti sa postojećom opremom,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uslugama ili radovima nabavljenim u okviru prvobitne nabavke i može da prouzrokuje značajne poteškoće ili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znatno</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povećavanje troškova za naručioca a povećanje vrijednosti ugovora nije veće od 20%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prvobitnog ugovora,</w:t>
      </w:r>
    </w:p>
    <w:p w14:paraId="746C85F4">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 kada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a povećanje vrijednosti ugovora nije veće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od 20% vrijednosti prvobitnog ugovora,</w:t>
      </w:r>
    </w:p>
    <w:p w14:paraId="5BEEDC93">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3a) kad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već se vrši samo smanjenje ugovorene</w:t>
      </w:r>
    </w:p>
    <w:p w14:paraId="0A8734DE">
      <w:pPr>
        <w:spacing w:beforeLines="0" w:afterLines="0"/>
        <w:jc w:val="left"/>
        <w:rPr>
          <w:rFonts w:hint="default" w:ascii="Arial" w:hAnsi="Arial" w:cs="Arial"/>
          <w:b/>
          <w:bCs/>
          <w:color w:val="FF0000"/>
          <w:sz w:val="24"/>
          <w:szCs w:val="24"/>
        </w:rPr>
      </w:pPr>
      <w:r>
        <w:rPr>
          <w:rFonts w:hint="default" w:ascii="Arial" w:hAnsi="Arial" w:eastAsia="TimesNewRoman" w:cs="Arial"/>
          <w:sz w:val="24"/>
          <w:szCs w:val="24"/>
        </w:rPr>
        <w:t>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3b) kad se vrši zamjena podugovarača, u skladu sa članom 128 st. 10, 11 i 12 ovog zakona,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4) ako privrednog subjekta nakon restrukturiranja, uključujući preuzimanje, spajanje, kupovinu ili stečaj,</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zamjenjuje u potpunosti ili djelimično novi pravni sljedbenik, odnosno privredni subjekat, koji ispunjava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 određene uslove zaključenog ugovora o javnoj nabavci, a izmjene su predviđene tenderskom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dokumentacijom, pod uslovom da se ne vrše druge bitne izmjene ugovora iz člana 150 stav 2 ovog zakona.</w:t>
      </w:r>
    </w:p>
    <w:p w14:paraId="20E9A70D">
      <w:pPr>
        <w:jc w:val="both"/>
        <w:rPr>
          <w:rFonts w:ascii="Arial" w:hAnsi="Arial" w:cs="Arial"/>
          <w:b/>
          <w:bCs/>
          <w:color w:val="FF0000"/>
        </w:rPr>
      </w:pPr>
    </w:p>
    <w:p w14:paraId="3D224EF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3" w:name="_Toc62730566"/>
      <w:r>
        <w:rPr>
          <w:rFonts w:ascii="Arial" w:hAnsi="Arial"/>
          <w:b/>
          <w:szCs w:val="32"/>
        </w:rPr>
        <w:t>ZAHTJEV ZA POJAŠNJENJE ILI IZMJENU I DOPUNU TENDERSKE DOKUMENTACIJE</w:t>
      </w:r>
      <w:bookmarkEnd w:id="13"/>
    </w:p>
    <w:p w14:paraId="2F607AE7">
      <w:pPr>
        <w:jc w:val="both"/>
        <w:rPr>
          <w:rFonts w:ascii="Arial" w:hAnsi="Arial" w:cs="Arial"/>
        </w:rPr>
      </w:pPr>
    </w:p>
    <w:p w14:paraId="307C5760">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13DED51">
      <w:pPr>
        <w:jc w:val="both"/>
        <w:rPr>
          <w:rFonts w:ascii="Arial" w:hAnsi="Arial" w:cs="Arial"/>
        </w:rPr>
      </w:pPr>
    </w:p>
    <w:p w14:paraId="1C2F487C">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6058315F">
      <w:pPr>
        <w:jc w:val="both"/>
        <w:rPr>
          <w:rFonts w:ascii="Arial" w:hAnsi="Arial" w:cs="Arial"/>
        </w:rPr>
      </w:pPr>
    </w:p>
    <w:p w14:paraId="3433414F">
      <w:pPr>
        <w:jc w:val="both"/>
        <w:rPr>
          <w:rFonts w:ascii="Arial" w:hAnsi="Arial" w:cs="Arial"/>
          <w:color w:val="000000"/>
        </w:rPr>
      </w:pPr>
      <w:r>
        <w:rPr>
          <w:rFonts w:ascii="Arial" w:hAnsi="Arial" w:cs="Arial"/>
          <w:color w:val="000000"/>
        </w:rPr>
        <w:t>Zahtjev se podnosi isključivo putem ESJN-a.</w:t>
      </w:r>
    </w:p>
    <w:p w14:paraId="71317480">
      <w:pPr>
        <w:jc w:val="both"/>
        <w:rPr>
          <w:rFonts w:ascii="Arial" w:hAnsi="Arial" w:cs="Arial"/>
          <w:color w:val="000000"/>
        </w:rPr>
      </w:pPr>
    </w:p>
    <w:p w14:paraId="448BDD26">
      <w:pPr>
        <w:jc w:val="both"/>
        <w:rPr>
          <w:rFonts w:ascii="Arial" w:hAnsi="Arial" w:cs="Arial"/>
          <w:color w:val="000000"/>
        </w:rPr>
      </w:pPr>
    </w:p>
    <w:p w14:paraId="5F96CC20">
      <w:pPr>
        <w:jc w:val="both"/>
        <w:rPr>
          <w:rFonts w:ascii="Arial" w:hAnsi="Arial" w:cs="Arial"/>
          <w:color w:val="000000"/>
        </w:rPr>
      </w:pPr>
    </w:p>
    <w:p w14:paraId="4C1842D2">
      <w:pPr>
        <w:jc w:val="both"/>
        <w:rPr>
          <w:rFonts w:ascii="Arial" w:hAnsi="Arial" w:cs="Arial"/>
          <w:color w:val="000000"/>
        </w:rPr>
      </w:pPr>
    </w:p>
    <w:p w14:paraId="1B2162D6">
      <w:pPr>
        <w:jc w:val="both"/>
        <w:rPr>
          <w:rFonts w:ascii="Arial" w:hAnsi="Arial" w:cs="Arial"/>
          <w:color w:val="000000"/>
        </w:rPr>
      </w:pPr>
    </w:p>
    <w:p w14:paraId="416F34D0">
      <w:pPr>
        <w:jc w:val="both"/>
        <w:rPr>
          <w:rFonts w:ascii="Arial" w:hAnsi="Arial" w:cs="Arial"/>
          <w:color w:val="000000"/>
        </w:rPr>
      </w:pPr>
    </w:p>
    <w:p w14:paraId="158135B3">
      <w:pPr>
        <w:jc w:val="both"/>
        <w:rPr>
          <w:rFonts w:ascii="Arial" w:hAnsi="Arial" w:cs="Arial"/>
          <w:color w:val="000000"/>
        </w:rPr>
      </w:pPr>
    </w:p>
    <w:p w14:paraId="2D63F2F4">
      <w:pPr>
        <w:jc w:val="both"/>
        <w:rPr>
          <w:rFonts w:ascii="Arial" w:hAnsi="Arial" w:cs="Arial"/>
          <w:color w:val="000000"/>
        </w:rPr>
      </w:pPr>
    </w:p>
    <w:p w14:paraId="5962C3B5">
      <w:pPr>
        <w:jc w:val="both"/>
        <w:rPr>
          <w:rFonts w:ascii="Arial" w:hAnsi="Arial" w:cs="Arial"/>
          <w:color w:val="000000"/>
        </w:rPr>
      </w:pPr>
    </w:p>
    <w:p w14:paraId="7B2387D9">
      <w:pPr>
        <w:jc w:val="both"/>
        <w:rPr>
          <w:rFonts w:ascii="Arial" w:hAnsi="Arial" w:cs="Arial"/>
          <w:color w:val="000000"/>
        </w:rPr>
      </w:pPr>
    </w:p>
    <w:p w14:paraId="28D5695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14" w:name="_Toc62730567"/>
      <w:bookmarkStart w:id="15" w:name="_Toc416180136"/>
      <w:bookmarkStart w:id="16" w:name="_Toc508349235"/>
      <w:r>
        <w:rPr>
          <w:rFonts w:ascii="Arial" w:hAnsi="Arial"/>
          <w:b/>
          <w:szCs w:val="32"/>
        </w:rPr>
        <w:t>IZJAVA NARUČIOCA O NEPOSTOJANJU SUKOBA INTERESA</w:t>
      </w:r>
      <w:bookmarkEnd w:id="14"/>
      <w:bookmarkEnd w:id="15"/>
      <w:bookmarkEnd w:id="16"/>
    </w:p>
    <w:p w14:paraId="70934099">
      <w:pPr>
        <w:tabs>
          <w:tab w:val="left" w:pos="1701"/>
          <w:tab w:val="left" w:pos="4820"/>
        </w:tabs>
        <w:jc w:val="both"/>
        <w:rPr>
          <w:rFonts w:ascii="Arial" w:hAnsi="Arial" w:cs="Arial"/>
          <w:color w:val="000000"/>
          <w:u w:val="single"/>
        </w:rPr>
      </w:pPr>
    </w:p>
    <w:p w14:paraId="017E7C6D">
      <w:pPr>
        <w:tabs>
          <w:tab w:val="left" w:pos="1701"/>
          <w:tab w:val="left" w:pos="4820"/>
        </w:tabs>
        <w:jc w:val="both"/>
        <w:rPr>
          <w:rFonts w:ascii="Arial" w:hAnsi="Arial" w:cs="Arial"/>
          <w:color w:val="000000"/>
          <w:u w:val="single"/>
        </w:rPr>
      </w:pPr>
    </w:p>
    <w:p w14:paraId="46E8CEC3">
      <w:pPr>
        <w:tabs>
          <w:tab w:val="left" w:pos="1701"/>
          <w:tab w:val="left" w:pos="4820"/>
        </w:tabs>
        <w:jc w:val="both"/>
        <w:rPr>
          <w:rFonts w:ascii="Arial" w:hAnsi="Arial" w:cs="Arial"/>
          <w:color w:val="000000"/>
        </w:rPr>
      </w:pPr>
      <w:r>
        <w:rPr>
          <w:rFonts w:ascii="Arial" w:hAnsi="Arial" w:cs="Arial"/>
          <w:color w:val="000000"/>
          <w:u w:val="single"/>
        </w:rPr>
        <w:t>Opština Andrijevica</w:t>
      </w:r>
    </w:p>
    <w:p w14:paraId="5719CDFE">
      <w:pPr>
        <w:jc w:val="both"/>
        <w:rPr>
          <w:rFonts w:hint="default" w:ascii="Arial" w:hAnsi="Arial" w:cs="Arial"/>
          <w:color w:val="000000"/>
          <w:lang w:val="sr-Latn-RS"/>
        </w:rPr>
      </w:pPr>
      <w:r>
        <w:rPr>
          <w:rFonts w:ascii="Arial" w:hAnsi="Arial" w:cs="Arial"/>
          <w:color w:val="000000"/>
        </w:rPr>
        <w:t xml:space="preserve">Broj: </w:t>
      </w:r>
      <w:r>
        <w:rPr>
          <w:rFonts w:ascii="Arial" w:hAnsi="Arial" w:cs="Arial"/>
        </w:rPr>
        <w:t>018</w:t>
      </w:r>
      <w:r>
        <w:rPr>
          <w:rFonts w:hint="default" w:ascii="Arial" w:hAnsi="Arial" w:cs="Arial"/>
          <w:lang w:val="sr-Latn-RS"/>
        </w:rPr>
        <w:t>-1183/25-01</w:t>
      </w:r>
    </w:p>
    <w:p w14:paraId="7075F64B">
      <w:pPr>
        <w:jc w:val="both"/>
        <w:rPr>
          <w:rFonts w:ascii="Arial" w:hAnsi="Arial" w:cs="Arial"/>
          <w:color w:val="000000"/>
        </w:rPr>
      </w:pPr>
      <w:r>
        <w:rPr>
          <w:rFonts w:ascii="Arial" w:hAnsi="Arial" w:cs="Arial"/>
          <w:color w:val="000000"/>
        </w:rPr>
        <w:t xml:space="preserve">Andrijevica, </w:t>
      </w:r>
      <w:r>
        <w:rPr>
          <w:rFonts w:hint="default" w:ascii="Arial" w:hAnsi="Arial" w:cs="Arial"/>
          <w:color w:val="000000"/>
          <w:lang w:val="sr-Latn-RS"/>
        </w:rPr>
        <w:t>02</w:t>
      </w:r>
      <w:r>
        <w:rPr>
          <w:rFonts w:ascii="Arial" w:hAnsi="Arial" w:cs="Arial"/>
          <w:color w:val="000000"/>
        </w:rPr>
        <w:t>.</w:t>
      </w:r>
      <w:r>
        <w:rPr>
          <w:rFonts w:hint="default" w:ascii="Arial" w:hAnsi="Arial" w:cs="Arial"/>
          <w:color w:val="000000"/>
          <w:lang w:val="sr-Latn-RS"/>
        </w:rPr>
        <w:t>10</w:t>
      </w:r>
      <w:r>
        <w:rPr>
          <w:rFonts w:ascii="Arial" w:hAnsi="Arial" w:cs="Arial"/>
          <w:color w:val="000000"/>
        </w:rPr>
        <w:t>.202</w:t>
      </w:r>
      <w:r>
        <w:rPr>
          <w:rFonts w:hint="default" w:ascii="Arial" w:hAnsi="Arial" w:cs="Arial"/>
          <w:color w:val="000000"/>
          <w:lang w:val="sr-Latn-RS"/>
        </w:rPr>
        <w:t>5</w:t>
      </w:r>
      <w:r>
        <w:rPr>
          <w:rFonts w:ascii="Arial" w:hAnsi="Arial" w:cs="Arial"/>
          <w:color w:val="000000"/>
        </w:rPr>
        <w:t>.god</w:t>
      </w:r>
    </w:p>
    <w:p w14:paraId="3D6E2DBB">
      <w:pPr>
        <w:jc w:val="both"/>
        <w:rPr>
          <w:rFonts w:ascii="Arial" w:hAnsi="Arial" w:cs="Arial"/>
          <w:b/>
          <w:bCs/>
          <w:color w:val="000000"/>
        </w:rPr>
      </w:pPr>
    </w:p>
    <w:p w14:paraId="790E53F3">
      <w:pPr>
        <w:jc w:val="both"/>
        <w:rPr>
          <w:rFonts w:ascii="Arial" w:hAnsi="Arial" w:cs="Arial"/>
          <w:b/>
          <w:bCs/>
          <w:color w:val="000000"/>
        </w:rPr>
      </w:pPr>
    </w:p>
    <w:p w14:paraId="21E95950">
      <w:pPr>
        <w:tabs>
          <w:tab w:val="left" w:pos="3290"/>
        </w:tabs>
        <w:ind w:firstLine="708"/>
        <w:jc w:val="both"/>
        <w:rPr>
          <w:rFonts w:ascii="Arial" w:hAnsi="Arial" w:cs="Arial"/>
          <w:color w:val="000000"/>
        </w:rPr>
      </w:pPr>
      <w:r>
        <w:rPr>
          <w:rFonts w:ascii="Arial" w:hAnsi="Arial" w:cs="Arial"/>
          <w:color w:val="000000"/>
        </w:rPr>
        <w:t xml:space="preserve">U skladu sa članom 43 stav 1 Zakona o javnim nabavkama („Službeni list CG”, br.74/19 i 3/23 I 11/23), </w:t>
      </w:r>
    </w:p>
    <w:p w14:paraId="3B651F94">
      <w:pPr>
        <w:tabs>
          <w:tab w:val="left" w:pos="3290"/>
        </w:tabs>
        <w:jc w:val="both"/>
        <w:rPr>
          <w:rFonts w:ascii="Arial" w:hAnsi="Arial" w:cs="Arial"/>
          <w:color w:val="000000"/>
        </w:rPr>
      </w:pPr>
    </w:p>
    <w:p w14:paraId="403AB307">
      <w:pPr>
        <w:tabs>
          <w:tab w:val="left" w:pos="3290"/>
        </w:tabs>
        <w:jc w:val="both"/>
        <w:rPr>
          <w:rFonts w:ascii="Arial" w:hAnsi="Arial" w:cs="Arial"/>
          <w:color w:val="000000"/>
        </w:rPr>
      </w:pPr>
    </w:p>
    <w:p w14:paraId="57FAE36E">
      <w:pPr>
        <w:tabs>
          <w:tab w:val="left" w:pos="3290"/>
        </w:tabs>
        <w:jc w:val="both"/>
        <w:rPr>
          <w:rFonts w:ascii="Arial" w:hAnsi="Arial" w:cs="Arial"/>
          <w:color w:val="000000"/>
        </w:rPr>
      </w:pPr>
    </w:p>
    <w:p w14:paraId="021ED698">
      <w:pPr>
        <w:tabs>
          <w:tab w:val="left" w:pos="3290"/>
        </w:tabs>
        <w:jc w:val="both"/>
        <w:rPr>
          <w:rFonts w:ascii="Arial" w:hAnsi="Arial" w:cs="Arial"/>
          <w:color w:val="000000"/>
        </w:rPr>
      </w:pPr>
    </w:p>
    <w:p w14:paraId="5AB16602">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14:paraId="4DD016AD">
      <w:pPr>
        <w:tabs>
          <w:tab w:val="left" w:pos="3290"/>
        </w:tabs>
        <w:jc w:val="both"/>
        <w:rPr>
          <w:rFonts w:ascii="Arial" w:hAnsi="Arial" w:cs="Arial"/>
          <w:color w:val="000000"/>
        </w:rPr>
      </w:pPr>
    </w:p>
    <w:p w14:paraId="4F984EFE">
      <w:pPr>
        <w:jc w:val="both"/>
        <w:rPr>
          <w:rFonts w:ascii="Arial" w:hAnsi="Arial" w:cs="Arial"/>
          <w:color w:val="000000"/>
          <w:sz w:val="22"/>
          <w:szCs w:val="22"/>
        </w:rPr>
      </w:pPr>
      <w:r>
        <w:rPr>
          <w:rFonts w:ascii="Arial" w:hAnsi="Arial" w:cs="Arial"/>
          <w:color w:val="000000"/>
        </w:rPr>
        <w:t>da u postupku javne nabavke redni broj 1</w:t>
      </w:r>
      <w:r>
        <w:rPr>
          <w:rFonts w:hint="default" w:ascii="Arial" w:hAnsi="Arial" w:cs="Arial"/>
          <w:color w:val="000000"/>
          <w:lang w:val="sr-Latn-RS"/>
        </w:rPr>
        <w:t>7</w:t>
      </w:r>
      <w:r>
        <w:rPr>
          <w:rFonts w:ascii="Arial" w:hAnsi="Arial" w:cs="Arial"/>
          <w:color w:val="000000"/>
        </w:rPr>
        <w:t xml:space="preserve"> iz Plana javne nabavke broj </w:t>
      </w:r>
      <w:r>
        <w:rPr>
          <w:rFonts w:hint="default" w:ascii="Arial" w:hAnsi="Arial" w:cs="Arial"/>
          <w:color w:val="000000"/>
          <w:lang w:val="sr-Latn-RS"/>
        </w:rPr>
        <w:t>21677</w:t>
      </w:r>
      <w:r>
        <w:rPr>
          <w:rFonts w:ascii="Arial" w:hAnsi="Arial" w:cs="Arial"/>
          <w:color w:val="000000"/>
        </w:rPr>
        <w:t xml:space="preserve"> od 2</w:t>
      </w:r>
      <w:r>
        <w:rPr>
          <w:rFonts w:hint="default" w:ascii="Arial" w:hAnsi="Arial" w:cs="Arial"/>
          <w:color w:val="000000"/>
          <w:lang w:val="sr-Latn-RS"/>
        </w:rPr>
        <w:t>4</w:t>
      </w:r>
      <w:r>
        <w:rPr>
          <w:rFonts w:ascii="Arial" w:hAnsi="Arial" w:cs="Arial"/>
          <w:color w:val="000000"/>
        </w:rPr>
        <w:t>.01.202</w:t>
      </w:r>
      <w:r>
        <w:rPr>
          <w:rFonts w:hint="default" w:ascii="Arial" w:hAnsi="Arial" w:cs="Arial"/>
          <w:color w:val="000000"/>
          <w:lang w:val="sr-Latn-RS"/>
        </w:rPr>
        <w:t>5</w:t>
      </w:r>
      <w:r>
        <w:rPr>
          <w:rFonts w:ascii="Arial" w:hAnsi="Arial" w:cs="Arial"/>
          <w:color w:val="000000"/>
        </w:rPr>
        <w:t xml:space="preserve">.god  za nabavku </w:t>
      </w:r>
      <w:bookmarkStart w:id="18" w:name="_GoBack"/>
      <w:r>
        <w:rPr>
          <w:rFonts w:hint="default"/>
        </w:rPr>
        <w:t>Asfaltiranje putnih pravaca na teritoriji opštine Andrijevica</w:t>
      </w:r>
      <w:bookmarkEnd w:id="18"/>
      <w:r>
        <w:rPr>
          <w:rFonts w:ascii="Arial" w:hAnsi="Arial" w:cs="Arial"/>
          <w:sz w:val="22"/>
          <w:szCs w:val="22"/>
          <w:shd w:val="clear" w:color="auto" w:fill="FFFFFF"/>
        </w:rPr>
        <w:t xml:space="preserve"> </w:t>
      </w:r>
      <w:r>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14:paraId="35548F36">
      <w:pPr>
        <w:tabs>
          <w:tab w:val="left" w:pos="3290"/>
        </w:tabs>
        <w:jc w:val="both"/>
        <w:rPr>
          <w:rFonts w:ascii="Arial" w:hAnsi="Arial" w:cs="Arial"/>
          <w:color w:val="000000"/>
        </w:rPr>
      </w:pPr>
    </w:p>
    <w:p w14:paraId="134D60C9">
      <w:pPr>
        <w:tabs>
          <w:tab w:val="left" w:pos="3290"/>
        </w:tabs>
        <w:jc w:val="both"/>
        <w:rPr>
          <w:rFonts w:ascii="Arial" w:hAnsi="Arial" w:cs="Arial"/>
          <w:color w:val="000000"/>
        </w:rPr>
      </w:pPr>
    </w:p>
    <w:p w14:paraId="629D537D">
      <w:pPr>
        <w:tabs>
          <w:tab w:val="left" w:pos="3290"/>
        </w:tabs>
        <w:ind w:firstLine="1134"/>
        <w:jc w:val="right"/>
        <w:rPr>
          <w:rFonts w:ascii="Arial" w:hAnsi="Arial" w:cs="Arial"/>
          <w:color w:val="000000"/>
        </w:rPr>
      </w:pPr>
      <w:r>
        <w:rPr>
          <w:rFonts w:ascii="Arial" w:hAnsi="Arial" w:cs="Arial"/>
          <w:color w:val="000000"/>
        </w:rPr>
        <w:t>Ovlašćeno lice naručioca Ćulafić Željko</w:t>
      </w:r>
    </w:p>
    <w:p w14:paraId="5F9AE0A0">
      <w:pPr>
        <w:tabs>
          <w:tab w:val="left" w:pos="3290"/>
        </w:tabs>
        <w:ind w:left="5664" w:firstLine="708"/>
        <w:jc w:val="center"/>
        <w:rPr>
          <w:rFonts w:ascii="Arial" w:hAnsi="Arial" w:cs="Arial"/>
          <w:i/>
          <w:iCs/>
          <w:color w:val="000000"/>
        </w:rPr>
      </w:pPr>
      <w:r>
        <w:rPr>
          <w:rFonts w:ascii="Arial" w:hAnsi="Arial" w:cs="Arial"/>
          <w:i/>
          <w:iCs/>
          <w:color w:val="000000"/>
        </w:rPr>
        <w:t>s.r.</w:t>
      </w:r>
    </w:p>
    <w:p w14:paraId="3E993E1D">
      <w:pPr>
        <w:tabs>
          <w:tab w:val="left" w:pos="3290"/>
        </w:tabs>
        <w:ind w:firstLine="1134"/>
        <w:jc w:val="right"/>
        <w:rPr>
          <w:rFonts w:ascii="Arial" w:hAnsi="Arial" w:cs="Arial"/>
          <w:i/>
          <w:iCs/>
          <w:color w:val="000000"/>
        </w:rPr>
      </w:pPr>
      <w:r>
        <w:rPr>
          <w:rFonts w:ascii="Arial" w:hAnsi="Arial" w:cs="Arial"/>
          <w:color w:val="000000"/>
        </w:rPr>
        <w:t xml:space="preserve">Službenik za javne nabavke Jakov Kuč </w:t>
      </w:r>
    </w:p>
    <w:p w14:paraId="29B8F66A">
      <w:pPr>
        <w:tabs>
          <w:tab w:val="left" w:pos="3290"/>
        </w:tabs>
        <w:ind w:left="5664" w:firstLine="708"/>
        <w:jc w:val="center"/>
        <w:rPr>
          <w:rFonts w:ascii="Arial" w:hAnsi="Arial" w:cs="Arial"/>
          <w:i/>
          <w:iCs/>
          <w:color w:val="000000"/>
        </w:rPr>
      </w:pPr>
      <w:r>
        <w:rPr>
          <w:rFonts w:ascii="Arial" w:hAnsi="Arial" w:cs="Arial"/>
          <w:i/>
          <w:iCs/>
          <w:color w:val="000000"/>
        </w:rPr>
        <w:t>s.r.</w:t>
      </w:r>
    </w:p>
    <w:p w14:paraId="66B627B3">
      <w:pPr>
        <w:tabs>
          <w:tab w:val="left" w:pos="3290"/>
        </w:tabs>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Jakov Kuč</w:t>
      </w:r>
    </w:p>
    <w:p w14:paraId="55D1B324">
      <w:pPr>
        <w:ind w:left="6372"/>
        <w:jc w:val="center"/>
        <w:rPr>
          <w:rFonts w:ascii="Arial" w:hAnsi="Arial" w:cs="Arial"/>
          <w:i/>
          <w:iCs/>
          <w:color w:val="000000"/>
        </w:rPr>
      </w:pPr>
      <w:r>
        <w:rPr>
          <w:rFonts w:ascii="Arial" w:hAnsi="Arial" w:cs="Arial"/>
          <w:i/>
          <w:iCs/>
          <w:color w:val="000000"/>
        </w:rPr>
        <w:t>s.r.</w:t>
      </w:r>
    </w:p>
    <w:p w14:paraId="4EE6D0F3">
      <w:pPr>
        <w:tabs>
          <w:tab w:val="left" w:pos="3290"/>
        </w:tabs>
        <w:ind w:firstLine="1134"/>
        <w:rPr>
          <w:rFonts w:ascii="Arial" w:hAnsi="Arial" w:cs="Arial"/>
          <w:color w:val="000000"/>
        </w:rPr>
      </w:pPr>
      <w:r>
        <w:rPr>
          <w:rFonts w:ascii="Arial" w:hAnsi="Arial" w:cs="Arial"/>
          <w:iCs/>
          <w:color w:val="000000"/>
        </w:rPr>
        <w:t xml:space="preserve">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Miloš Čukić</w:t>
      </w:r>
    </w:p>
    <w:p w14:paraId="38BF43F1">
      <w:pPr>
        <w:ind w:left="6372"/>
        <w:jc w:val="center"/>
        <w:rPr>
          <w:rFonts w:ascii="Arial" w:hAnsi="Arial" w:cs="Arial"/>
          <w:i/>
          <w:iCs/>
          <w:color w:val="000000"/>
        </w:rPr>
      </w:pPr>
      <w:r>
        <w:rPr>
          <w:rFonts w:ascii="Arial" w:hAnsi="Arial" w:cs="Arial"/>
          <w:i/>
          <w:iCs/>
          <w:color w:val="000000"/>
        </w:rPr>
        <w:t>s.r.</w:t>
      </w:r>
    </w:p>
    <w:p w14:paraId="28A787FF">
      <w:pPr>
        <w:tabs>
          <w:tab w:val="left" w:pos="3290"/>
        </w:tabs>
        <w:ind w:firstLine="1134"/>
        <w:rPr>
          <w:rFonts w:hint="default" w:ascii="Arial" w:hAnsi="Arial" w:cs="Arial"/>
          <w:color w:val="000000"/>
          <w:lang w:val="sr-Latn-RS"/>
        </w:rPr>
      </w:pPr>
      <w:r>
        <w:rPr>
          <w:rFonts w:ascii="Arial" w:hAnsi="Arial" w:cs="Arial"/>
          <w:iCs/>
          <w:color w:val="000000"/>
        </w:rPr>
        <w:t xml:space="preserve">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w:t>
      </w:r>
      <w:r>
        <w:rPr>
          <w:rFonts w:hint="default" w:ascii="Arial" w:hAnsi="Arial" w:cs="Arial"/>
          <w:color w:val="000000"/>
          <w:lang w:val="sr-Latn-RS"/>
        </w:rPr>
        <w:t xml:space="preserve">Milorad Mojašević </w:t>
      </w:r>
    </w:p>
    <w:p w14:paraId="78D6EE30">
      <w:pPr>
        <w:tabs>
          <w:tab w:val="left" w:pos="3290"/>
        </w:tabs>
        <w:ind w:firstLine="1134"/>
        <w:rPr>
          <w:rFonts w:ascii="Arial" w:hAnsi="Arial" w:cs="Arial"/>
          <w:color w:val="000000"/>
        </w:rPr>
      </w:pPr>
    </w:p>
    <w:p w14:paraId="51096324">
      <w:pPr>
        <w:ind w:left="6372"/>
        <w:jc w:val="center"/>
        <w:rPr>
          <w:rFonts w:ascii="Arial" w:hAnsi="Arial" w:cs="Arial"/>
          <w:i/>
          <w:iCs/>
          <w:color w:val="000000"/>
        </w:rPr>
      </w:pPr>
      <w:r>
        <w:rPr>
          <w:rFonts w:ascii="Arial" w:hAnsi="Arial" w:cs="Arial"/>
          <w:i/>
          <w:iCs/>
          <w:color w:val="000000"/>
        </w:rPr>
        <w:t>s.r.</w:t>
      </w:r>
    </w:p>
    <w:p w14:paraId="5CE115E8">
      <w:pPr>
        <w:jc w:val="both"/>
        <w:rPr>
          <w:rFonts w:ascii="Arial" w:hAnsi="Arial" w:cs="Arial"/>
          <w:b/>
          <w:bCs/>
          <w:color w:val="000000"/>
        </w:rPr>
      </w:pPr>
      <w:r>
        <w:rPr>
          <w:rFonts w:ascii="Arial" w:hAnsi="Arial" w:cs="Arial"/>
          <w:b/>
          <w:bCs/>
          <w:color w:val="000000"/>
        </w:rPr>
        <w:t>....</w:t>
      </w:r>
    </w:p>
    <w:p w14:paraId="79E2CF81">
      <w:pPr>
        <w:jc w:val="both"/>
        <w:rPr>
          <w:rFonts w:ascii="Arial" w:hAnsi="Arial" w:cs="Arial"/>
          <w:b/>
          <w:bCs/>
          <w:color w:val="000000"/>
        </w:rPr>
      </w:pPr>
    </w:p>
    <w:p w14:paraId="183499B3">
      <w:pPr>
        <w:jc w:val="both"/>
        <w:rPr>
          <w:rFonts w:ascii="Arial" w:hAnsi="Arial" w:cs="Arial"/>
          <w:b/>
          <w:bCs/>
          <w:color w:val="000000"/>
        </w:rPr>
      </w:pPr>
    </w:p>
    <w:p w14:paraId="38949B69">
      <w:pPr>
        <w:jc w:val="both"/>
        <w:rPr>
          <w:rFonts w:ascii="Arial" w:hAnsi="Arial" w:cs="Arial"/>
          <w:b/>
          <w:bCs/>
          <w:color w:val="000000"/>
        </w:rPr>
      </w:pPr>
    </w:p>
    <w:p w14:paraId="152E6D5E">
      <w:pPr>
        <w:jc w:val="both"/>
        <w:rPr>
          <w:rFonts w:ascii="Arial" w:hAnsi="Arial" w:cs="Arial"/>
          <w:b/>
          <w:bCs/>
          <w:color w:val="000000"/>
        </w:rPr>
      </w:pPr>
    </w:p>
    <w:p w14:paraId="4E1097AB">
      <w:pPr>
        <w:jc w:val="both"/>
        <w:rPr>
          <w:rFonts w:ascii="Arial" w:hAnsi="Arial" w:cs="Arial"/>
          <w:b/>
          <w:bCs/>
          <w:color w:val="000000"/>
        </w:rPr>
      </w:pPr>
    </w:p>
    <w:p w14:paraId="7320A6C3">
      <w:pPr>
        <w:jc w:val="both"/>
        <w:rPr>
          <w:rFonts w:ascii="Arial" w:hAnsi="Arial" w:cs="Arial"/>
          <w:b/>
          <w:bCs/>
          <w:color w:val="000000"/>
        </w:rPr>
      </w:pPr>
    </w:p>
    <w:p w14:paraId="67AB1D74">
      <w:pPr>
        <w:jc w:val="both"/>
        <w:rPr>
          <w:rFonts w:ascii="Arial" w:hAnsi="Arial" w:cs="Arial"/>
          <w:b/>
          <w:bCs/>
          <w:color w:val="000000"/>
        </w:rPr>
      </w:pPr>
    </w:p>
    <w:p w14:paraId="02E42CAC">
      <w:pPr>
        <w:jc w:val="both"/>
        <w:rPr>
          <w:rFonts w:ascii="Arial" w:hAnsi="Arial" w:cs="Arial"/>
          <w:b/>
          <w:bCs/>
          <w:color w:val="000000"/>
        </w:rPr>
      </w:pPr>
    </w:p>
    <w:p w14:paraId="088F3213">
      <w:pPr>
        <w:jc w:val="both"/>
        <w:rPr>
          <w:rFonts w:ascii="Arial" w:hAnsi="Arial" w:cs="Arial"/>
          <w:b/>
          <w:bCs/>
          <w:color w:val="000000"/>
        </w:rPr>
      </w:pPr>
    </w:p>
    <w:p w14:paraId="74F11032">
      <w:pPr>
        <w:jc w:val="both"/>
        <w:rPr>
          <w:rFonts w:ascii="Arial" w:hAnsi="Arial" w:cs="Arial"/>
          <w:b/>
          <w:bCs/>
          <w:color w:val="000000"/>
        </w:rPr>
      </w:pPr>
    </w:p>
    <w:p w14:paraId="18B379EE">
      <w:pPr>
        <w:jc w:val="both"/>
        <w:rPr>
          <w:rFonts w:ascii="Arial" w:hAnsi="Arial" w:cs="Arial"/>
          <w:b/>
          <w:bCs/>
          <w:color w:val="000000"/>
        </w:rPr>
      </w:pPr>
    </w:p>
    <w:p w14:paraId="62E3315B">
      <w:pPr>
        <w:jc w:val="both"/>
        <w:rPr>
          <w:rFonts w:ascii="Arial" w:hAnsi="Arial" w:cs="Arial"/>
          <w:b/>
          <w:bCs/>
          <w:color w:val="000000"/>
        </w:rPr>
      </w:pPr>
    </w:p>
    <w:p w14:paraId="7CF7211F">
      <w:pPr>
        <w:jc w:val="both"/>
        <w:rPr>
          <w:rFonts w:ascii="Arial" w:hAnsi="Arial" w:cs="Arial"/>
          <w:b/>
          <w:bCs/>
          <w:color w:val="000000"/>
        </w:rPr>
      </w:pPr>
    </w:p>
    <w:p w14:paraId="0D7A38B7">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iCs/>
          <w:sz w:val="28"/>
          <w:szCs w:val="32"/>
        </w:rPr>
      </w:pPr>
      <w:bookmarkStart w:id="17" w:name="_Toc62730568"/>
      <w:r>
        <w:rPr>
          <w:rFonts w:ascii="Arial" w:hAnsi="Arial"/>
          <w:b/>
          <w:sz w:val="28"/>
          <w:szCs w:val="32"/>
        </w:rPr>
        <w:t>UPUTSTVO O PRAVNOM SREDSTVU</w:t>
      </w:r>
      <w:bookmarkEnd w:id="17"/>
    </w:p>
    <w:p w14:paraId="795B8EDB">
      <w:pPr>
        <w:tabs>
          <w:tab w:val="left" w:pos="5760"/>
        </w:tabs>
        <w:jc w:val="center"/>
        <w:rPr>
          <w:rFonts w:ascii="Arial" w:hAnsi="Arial" w:cs="Arial"/>
          <w:color w:val="000000"/>
        </w:rPr>
      </w:pPr>
    </w:p>
    <w:p w14:paraId="1D1AFB0E">
      <w:pPr>
        <w:tabs>
          <w:tab w:val="left" w:pos="5760"/>
        </w:tabs>
        <w:ind w:firstLine="567"/>
        <w:jc w:val="both"/>
        <w:rPr>
          <w:rFonts w:ascii="Arial" w:hAnsi="Arial" w:cs="Arial"/>
          <w:color w:val="000000"/>
        </w:rPr>
      </w:pPr>
      <w:r>
        <w:rPr>
          <w:rFonts w:ascii="Arial" w:hAnsi="Arial" w:cs="Arial"/>
          <w:color w:val="000000"/>
        </w:rPr>
        <w:t>Privredni subjekat može da izjavi žalbu protiv ove tenderske dokumentacije Komisiji za zaštitu prava:</w:t>
      </w:r>
    </w:p>
    <w:p w14:paraId="30157FBC">
      <w:pPr>
        <w:pStyle w:val="15"/>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A4C6053">
      <w:pPr>
        <w:pStyle w:val="15"/>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367799C">
      <w:pPr>
        <w:pStyle w:val="15"/>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C75CA87">
      <w:pPr>
        <w:tabs>
          <w:tab w:val="left" w:pos="5760"/>
        </w:tabs>
        <w:jc w:val="both"/>
        <w:rPr>
          <w:rFonts w:ascii="Arial" w:hAnsi="Arial" w:cs="Arial"/>
          <w:color w:val="000000"/>
        </w:rPr>
      </w:pPr>
    </w:p>
    <w:p w14:paraId="5A99FE03">
      <w:pPr>
        <w:autoSpaceDE w:val="0"/>
        <w:autoSpaceDN w:val="0"/>
        <w:adjustRightInd w:val="0"/>
        <w:ind w:firstLine="567"/>
        <w:jc w:val="both"/>
        <w:rPr>
          <w:rFonts w:ascii="Arial" w:hAnsi="Arial" w:cs="Arial"/>
          <w:color w:val="000000"/>
        </w:rPr>
      </w:pPr>
      <w:r>
        <w:rPr>
          <w:rFonts w:ascii="Arial" w:hAnsi="Arial" w:cs="Arial"/>
          <w:color w:val="000000"/>
        </w:rPr>
        <w:t>Žalba se izjavljuje preko naručioca neposredno putem ESJN-a. Žalba koja nije podnesena na naprijed predviđeni način biće odbijena kao nedozvoljena.</w:t>
      </w:r>
    </w:p>
    <w:p w14:paraId="66ED26CE">
      <w:pPr>
        <w:autoSpaceDE w:val="0"/>
        <w:autoSpaceDN w:val="0"/>
        <w:adjustRightInd w:val="0"/>
        <w:ind w:firstLine="567"/>
        <w:jc w:val="both"/>
        <w:rPr>
          <w:rFonts w:ascii="Arial" w:hAnsi="Arial" w:cs="Arial"/>
          <w:color w:val="000000"/>
        </w:rPr>
      </w:pPr>
    </w:p>
    <w:p w14:paraId="1542C30D">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1D0E776">
      <w:pPr>
        <w:tabs>
          <w:tab w:val="left" w:pos="5760"/>
        </w:tabs>
        <w:ind w:firstLine="567"/>
        <w:jc w:val="both"/>
        <w:rPr>
          <w:rFonts w:ascii="Arial" w:hAnsi="Arial" w:cs="Arial"/>
          <w:color w:val="000000"/>
        </w:rPr>
      </w:pPr>
    </w:p>
    <w:p w14:paraId="751655E1">
      <w:pPr>
        <w:tabs>
          <w:tab w:val="left" w:pos="5760"/>
        </w:tabs>
        <w:ind w:firstLine="567"/>
        <w:jc w:val="both"/>
        <w:rPr>
          <w:rFonts w:ascii="Arial" w:hAnsi="Arial" w:cs="Arial"/>
          <w:color w:val="000000"/>
        </w:rPr>
      </w:pPr>
      <w:r>
        <w:rPr>
          <w:rFonts w:ascii="Arial" w:hAnsi="Arial" w:cs="Arial"/>
          <w:color w:val="000000"/>
        </w:rPr>
        <w:t>Ukoliko je predmet nabavke podijeljen po partijama, a žalba se odnosi samo na određenu/e partiju/e, naknada se plaća u iznosu 1% od procijenjene vrijednosti javne nabavke te/tih partije/a.</w:t>
      </w:r>
    </w:p>
    <w:p w14:paraId="008C9D97">
      <w:pPr>
        <w:tabs>
          <w:tab w:val="left" w:pos="5760"/>
        </w:tabs>
        <w:ind w:firstLine="567"/>
        <w:jc w:val="both"/>
        <w:rPr>
          <w:rFonts w:ascii="Arial" w:hAnsi="Arial" w:cs="Arial"/>
          <w:color w:val="000000"/>
        </w:rPr>
      </w:pPr>
    </w:p>
    <w:p w14:paraId="40FBDA02">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9"/>
          <w:rFonts w:ascii="Arial" w:hAnsi="Arial" w:cs="Arial"/>
        </w:rPr>
        <w:t>http://www.kontrola-nabavki.me/</w:t>
      </w:r>
      <w:r>
        <w:rPr>
          <w:rStyle w:val="9"/>
          <w:rFonts w:ascii="Arial" w:hAnsi="Arial" w:cs="Arial"/>
        </w:rPr>
        <w:fldChar w:fldCharType="end"/>
      </w:r>
      <w:r>
        <w:rPr>
          <w:rFonts w:ascii="Arial" w:hAnsi="Arial" w:cs="Arial"/>
          <w:color w:val="000000"/>
        </w:rPr>
        <w:t>.“.</w:t>
      </w:r>
    </w:p>
    <w:p w14:paraId="5436E7E5"/>
    <w:sectPr>
      <w:pgSz w:w="12240" w:h="15840"/>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ans-serif">
    <w:altName w:val="Liberation Mono"/>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imesNewRoman">
    <w:altName w:val="Liberation Mono"/>
    <w:panose1 w:val="00000000000000000000"/>
    <w:charset w:val="EE"/>
    <w:family w:val="auto"/>
    <w:pitch w:val="default"/>
    <w:sig w:usb0="00000000" w:usb1="00000000" w:usb2="00000000" w:usb3="00000000" w:csb0="00000002" w:csb1="00000000"/>
  </w:font>
  <w:font w:name="Liberation Mono">
    <w:panose1 w:val="02070409020205020404"/>
    <w:charset w:val="00"/>
    <w:family w:val="auto"/>
    <w:pitch w:val="default"/>
    <w:sig w:usb0="E0000AFF" w:usb1="400078FF" w:usb2="00000001" w:usb3="00000000" w:csb0="600001BF" w:csb1="DFF7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r>
        <w:separator/>
      </w:r>
    </w:p>
  </w:footnote>
  <w:footnote w:type="continuationSeparator" w:id="25">
    <w:p>
      <w:r>
        <w:continuationSeparator/>
      </w:r>
    </w:p>
  </w:footnote>
  <w:footnote w:id="0">
    <w:p w14:paraId="19B511D5">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1. Poziv za nadmetanje naručilac neposredno UNOSI na ESJN elektronskim putem;</w:t>
      </w:r>
    </w:p>
  </w:footnote>
  <w:footnote w:id="1">
    <w:p w14:paraId="1F644E03">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14:paraId="5137086B">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2. Tehnička specifikacija predmeta javne nabavke naručilac neposredno UNOSI na ESJN elektronskim putem;</w:t>
      </w:r>
    </w:p>
  </w:footnote>
  <w:footnote w:id="3">
    <w:p w14:paraId="1D960A60">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Djelove tenderske dokumentacije iz tačke 3. - 16. naručilac sačinjava u formi word/PDF dokumenta i objavljuje unošenjem (attachment) dokumenta na ESJN;</w:t>
      </w:r>
    </w:p>
  </w:footnote>
  <w:footnote w:id="4">
    <w:p w14:paraId="3C4A8E68">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67D5A32F">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14:paraId="52082520">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1395A67B">
      <w:pPr>
        <w:autoSpaceDE w:val="0"/>
        <w:autoSpaceDN w:val="0"/>
        <w:adjustRightInd w:val="0"/>
        <w:contextualSpacing/>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14:paraId="37FBB7E3">
      <w:pPr>
        <w:pStyle w:val="8"/>
        <w:contextualSpacing/>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14:paraId="1C0E7228">
      <w:pPr>
        <w:pStyle w:val="8"/>
        <w:contextualSpacing/>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0">
    <w:p w14:paraId="49AC3602">
      <w:pPr>
        <w:pStyle w:val="8"/>
        <w:jc w:val="both"/>
        <w:rPr>
          <w:rFonts w:ascii="Arial" w:hAnsi="Arial" w:cs="Arial"/>
          <w:sz w:val="14"/>
          <w:szCs w:val="14"/>
        </w:rPr>
      </w:pPr>
      <w:r>
        <w:rPr>
          <w:rStyle w:val="7"/>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1ECDF536">
      <w:pPr>
        <w:jc w:val="both"/>
        <w:rPr>
          <w:rFonts w:ascii="Arial" w:hAnsi="Arial" w:cs="Arial"/>
          <w:color w:val="000000"/>
          <w:sz w:val="16"/>
          <w:szCs w:val="16"/>
        </w:rPr>
      </w:pPr>
      <w:r>
        <w:rPr>
          <w:rStyle w:val="7"/>
          <w:rFonts w:ascii="Arial" w:hAnsi="Arial" w:cs="Arial"/>
          <w:sz w:val="16"/>
          <w:szCs w:val="16"/>
        </w:rPr>
        <w:footnoteRef/>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4">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4"/>
    <w:footnote w:id="25"/>
  </w:foot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794F"/>
    <w:rsid w:val="0019021C"/>
    <w:rsid w:val="002759AC"/>
    <w:rsid w:val="00311A97"/>
    <w:rsid w:val="00312CF5"/>
    <w:rsid w:val="003407F5"/>
    <w:rsid w:val="00365BCA"/>
    <w:rsid w:val="004A7E29"/>
    <w:rsid w:val="0052670F"/>
    <w:rsid w:val="00577D71"/>
    <w:rsid w:val="005C60CD"/>
    <w:rsid w:val="006357C9"/>
    <w:rsid w:val="00656B88"/>
    <w:rsid w:val="006C1E93"/>
    <w:rsid w:val="0073047D"/>
    <w:rsid w:val="0076760D"/>
    <w:rsid w:val="007B5D16"/>
    <w:rsid w:val="007B6F3C"/>
    <w:rsid w:val="008B6C11"/>
    <w:rsid w:val="009572B9"/>
    <w:rsid w:val="0096567D"/>
    <w:rsid w:val="00A415AA"/>
    <w:rsid w:val="00A72D5F"/>
    <w:rsid w:val="00AA5B1A"/>
    <w:rsid w:val="00AC7FE4"/>
    <w:rsid w:val="00B519C9"/>
    <w:rsid w:val="00B74CB0"/>
    <w:rsid w:val="00CF19AD"/>
    <w:rsid w:val="00D54578"/>
    <w:rsid w:val="00E22A09"/>
    <w:rsid w:val="00E44765"/>
    <w:rsid w:val="00E54FFA"/>
    <w:rsid w:val="00EF145E"/>
    <w:rsid w:val="00F041FB"/>
    <w:rsid w:val="00F9794A"/>
    <w:rsid w:val="00FC4DEF"/>
    <w:rsid w:val="40CF5BF1"/>
    <w:rsid w:val="4F1976DF"/>
    <w:rsid w:val="7DA25E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pPr>
    <w:rPr>
      <w:rFonts w:ascii="Times New Roman" w:hAnsi="Times New Roman" w:eastAsia="Times New Roman" w:cs="Times New Roman"/>
      <w:sz w:val="24"/>
      <w:szCs w:val="24"/>
      <w:lang w:val="en-US" w:eastAsia="en-US" w:bidi="ar-SA"/>
    </w:rPr>
  </w:style>
  <w:style w:type="paragraph" w:styleId="2">
    <w:name w:val="heading 1"/>
    <w:basedOn w:val="1"/>
    <w:link w:val="10"/>
    <w:qFormat/>
    <w:uiPriority w:val="1"/>
    <w:pPr>
      <w:spacing w:before="28"/>
      <w:ind w:left="2212"/>
      <w:outlineLvl w:val="0"/>
    </w:pPr>
    <w:rPr>
      <w:rFonts w:ascii="Calibri" w:hAnsi="Calibri" w:eastAsia="Calibri"/>
      <w:b/>
      <w:bCs/>
      <w:sz w:val="28"/>
      <w:szCs w:val="28"/>
    </w:rPr>
  </w:style>
  <w:style w:type="paragraph" w:styleId="3">
    <w:name w:val="heading 2"/>
    <w:basedOn w:val="1"/>
    <w:link w:val="11"/>
    <w:qFormat/>
    <w:uiPriority w:val="1"/>
    <w:pPr>
      <w:ind w:left="116"/>
      <w:outlineLvl w:val="1"/>
    </w:pPr>
    <w:rPr>
      <w:rFonts w:ascii="Calibri" w:hAnsi="Calibri" w:eastAsia="Calibri"/>
      <w:b/>
      <w:b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2"/>
    <w:qFormat/>
    <w:uiPriority w:val="1"/>
    <w:pPr>
      <w:spacing w:before="22"/>
      <w:ind w:left="882" w:hanging="360"/>
    </w:pPr>
    <w:rPr>
      <w:rFonts w:ascii="Calibri" w:hAnsi="Calibri" w:eastAsia="Calibri"/>
    </w:rPr>
  </w:style>
  <w:style w:type="character" w:styleId="7">
    <w:name w:val="footnote reference"/>
    <w:unhideWhenUsed/>
    <w:qFormat/>
    <w:uiPriority w:val="99"/>
    <w:rPr>
      <w:vertAlign w:val="superscript"/>
    </w:rPr>
  </w:style>
  <w:style w:type="paragraph" w:styleId="8">
    <w:name w:val="footnote text"/>
    <w:basedOn w:val="1"/>
    <w:link w:val="16"/>
    <w:unhideWhenUsed/>
    <w:qFormat/>
    <w:uiPriority w:val="99"/>
    <w:rPr>
      <w:rFonts w:ascii="Calibri" w:hAnsi="Calibri" w:eastAsia="Calibri"/>
      <w:sz w:val="20"/>
      <w:szCs w:val="20"/>
    </w:rPr>
  </w:style>
  <w:style w:type="character" w:styleId="9">
    <w:name w:val="Hyperlink"/>
    <w:qFormat/>
    <w:uiPriority w:val="99"/>
    <w:rPr>
      <w:color w:val="0000FF"/>
      <w:u w:val="single"/>
    </w:rPr>
  </w:style>
  <w:style w:type="character" w:customStyle="1" w:styleId="10">
    <w:name w:val="Heading 1 Char"/>
    <w:basedOn w:val="4"/>
    <w:link w:val="2"/>
    <w:qFormat/>
    <w:uiPriority w:val="1"/>
    <w:rPr>
      <w:rFonts w:ascii="Calibri" w:hAnsi="Calibri" w:eastAsia="Calibri"/>
      <w:b/>
      <w:bCs/>
      <w:sz w:val="28"/>
      <w:szCs w:val="28"/>
    </w:rPr>
  </w:style>
  <w:style w:type="character" w:customStyle="1" w:styleId="11">
    <w:name w:val="Heading 2 Char"/>
    <w:basedOn w:val="4"/>
    <w:link w:val="3"/>
    <w:qFormat/>
    <w:uiPriority w:val="1"/>
    <w:rPr>
      <w:rFonts w:ascii="Calibri" w:hAnsi="Calibri" w:eastAsia="Calibri"/>
      <w:b/>
      <w:bCs/>
    </w:rPr>
  </w:style>
  <w:style w:type="character" w:customStyle="1" w:styleId="12">
    <w:name w:val="Body Text Char"/>
    <w:basedOn w:val="4"/>
    <w:link w:val="6"/>
    <w:qFormat/>
    <w:uiPriority w:val="1"/>
    <w:rPr>
      <w:rFonts w:ascii="Calibri" w:hAnsi="Calibri" w:eastAsia="Calibri"/>
    </w:rPr>
  </w:style>
  <w:style w:type="paragraph" w:styleId="13">
    <w:name w:val="List Paragraph"/>
    <w:basedOn w:val="1"/>
    <w:qFormat/>
    <w:uiPriority w:val="34"/>
  </w:style>
  <w:style w:type="paragraph" w:customStyle="1" w:styleId="14">
    <w:name w:val="Table Paragraph"/>
    <w:basedOn w:val="1"/>
    <w:qFormat/>
    <w:uiPriority w:val="1"/>
  </w:style>
  <w:style w:type="paragraph" w:customStyle="1" w:styleId="15">
    <w:name w:val="T30X"/>
    <w:basedOn w:val="1"/>
    <w:qFormat/>
    <w:uiPriority w:val="99"/>
    <w:pPr>
      <w:autoSpaceDE w:val="0"/>
      <w:autoSpaceDN w:val="0"/>
      <w:adjustRightInd w:val="0"/>
      <w:spacing w:before="60" w:after="60"/>
      <w:ind w:firstLine="283"/>
      <w:jc w:val="both"/>
    </w:pPr>
    <w:rPr>
      <w:color w:val="000000"/>
      <w:sz w:val="22"/>
      <w:szCs w:val="22"/>
    </w:rPr>
  </w:style>
  <w:style w:type="character" w:customStyle="1" w:styleId="16">
    <w:name w:val="Footnote Text Char"/>
    <w:basedOn w:val="4"/>
    <w:link w:val="8"/>
    <w:qFormat/>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2222</Words>
  <Characters>12668</Characters>
  <Lines>105</Lines>
  <Paragraphs>29</Paragraphs>
  <TotalTime>32</TotalTime>
  <ScaleCrop>false</ScaleCrop>
  <LinksUpToDate>false</LinksUpToDate>
  <CharactersWithSpaces>14861</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2024-04-04T11:10:00Z</dcterms:created>
  <dc:creator>vesna</dc:creator>
  <cp:lastModifiedBy>PC</cp:lastModifiedBy>
  <cp:lastPrinted>2024-04-04T11:07:00Z</cp:lastPrinted>
  <dcterms:modified xsi:type="dcterms:W3CDTF">2025-10-02T12:46:38Z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9AEE380D0078467D8CE85A43A7CB6DD5_13</vt:lpwstr>
  </property>
</Properties>
</file>