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165B53">
      <w:pPr>
        <w:tabs>
          <w:tab w:val="left" w:pos="1701"/>
          <w:tab w:val="left" w:pos="4820"/>
        </w:tabs>
        <w:jc w:val="both"/>
        <w:rPr>
          <w:color w:val="000000"/>
          <w:lang w:val="sr-Latn-ME"/>
        </w:rPr>
      </w:pPr>
      <w:r>
        <w:rPr>
          <w:color w:val="000000"/>
          <w:lang w:val="sr-Latn-ME"/>
        </w:rPr>
        <w:t>Komisija za tržište kapitala</w:t>
      </w:r>
    </w:p>
    <w:p w14:paraId="077B7252">
      <w:pPr>
        <w:jc w:val="both"/>
      </w:pPr>
      <w:r>
        <w:t>Broj iz evidencije postupaka javnih nabavki: 0</w:t>
      </w:r>
      <w:r>
        <w:rPr>
          <w:lang w:val="sr-Latn-ME"/>
        </w:rPr>
        <w:t>1/9</w:t>
      </w:r>
      <w:r>
        <w:t>-</w:t>
      </w:r>
      <w:r>
        <w:rPr>
          <w:lang w:val="sr-Latn-ME"/>
        </w:rPr>
        <w:t>1067</w:t>
      </w:r>
      <w:r>
        <w:t>/</w:t>
      </w:r>
      <w:r>
        <w:rPr>
          <w:lang w:val="sr-Latn-ME"/>
        </w:rPr>
        <w:t>3-</w:t>
      </w:r>
      <w:r>
        <w:t>25</w:t>
      </w:r>
      <w:r>
        <w:tab/>
      </w:r>
    </w:p>
    <w:p w14:paraId="2B181D2E">
      <w:pPr>
        <w:jc w:val="both"/>
        <w:rPr>
          <w:color w:val="000000"/>
          <w:lang w:val="sr-Latn-ME"/>
        </w:rPr>
      </w:pPr>
      <w:r>
        <w:rPr>
          <w:color w:val="000000"/>
        </w:rPr>
        <w:t xml:space="preserve">Redni broj iz Plana javnih nabavki: </w:t>
      </w:r>
      <w:r>
        <w:rPr>
          <w:color w:val="000000"/>
          <w:lang w:val="sr-Latn-ME"/>
        </w:rPr>
        <w:t>3</w:t>
      </w:r>
    </w:p>
    <w:p w14:paraId="0AAC6CDD">
      <w:pPr>
        <w:jc w:val="both"/>
        <w:rPr>
          <w:b/>
          <w:bCs/>
          <w:color w:val="000000"/>
        </w:rPr>
      </w:pPr>
      <w:r>
        <w:rPr>
          <w:color w:val="000000"/>
        </w:rPr>
        <w:t xml:space="preserve">Mjesto i datum: Podgorica, </w:t>
      </w:r>
      <w:r>
        <w:rPr>
          <w:color w:val="000000"/>
          <w:lang w:val="sr-Latn-ME"/>
        </w:rPr>
        <w:t>17</w:t>
      </w:r>
      <w:r>
        <w:rPr>
          <w:color w:val="000000"/>
        </w:rPr>
        <w:t>.0</w:t>
      </w:r>
      <w:r>
        <w:rPr>
          <w:color w:val="000000"/>
          <w:lang w:val="sr-Latn-ME"/>
        </w:rPr>
        <w:t>9</w:t>
      </w:r>
      <w:r>
        <w:rPr>
          <w:color w:val="000000"/>
        </w:rPr>
        <w:t>.2025.godine</w:t>
      </w:r>
    </w:p>
    <w:p w14:paraId="74E878F4">
      <w:pPr>
        <w:keepNext/>
        <w:jc w:val="both"/>
        <w:outlineLvl w:val="0"/>
        <w:rPr>
          <w:b/>
          <w:bCs/>
          <w:i/>
          <w:iCs/>
          <w:color w:val="000000"/>
        </w:rPr>
      </w:pPr>
    </w:p>
    <w:p w14:paraId="0A48C978">
      <w:pPr>
        <w:keepNext/>
        <w:jc w:val="both"/>
        <w:outlineLvl w:val="0"/>
        <w:rPr>
          <w:b/>
          <w:bCs/>
          <w:i/>
          <w:iCs/>
          <w:color w:val="000000"/>
        </w:rPr>
      </w:pPr>
    </w:p>
    <w:p w14:paraId="7B4C796C"/>
    <w:p w14:paraId="30E96794">
      <w:pPr>
        <w:tabs>
          <w:tab w:val="left" w:pos="1276"/>
          <w:tab w:val="left" w:pos="3261"/>
        </w:tabs>
        <w:jc w:val="both"/>
      </w:pPr>
    </w:p>
    <w:p w14:paraId="527BFA15">
      <w:pPr>
        <w:tabs>
          <w:tab w:val="left" w:pos="1276"/>
          <w:tab w:val="left" w:pos="3261"/>
        </w:tabs>
        <w:jc w:val="both"/>
      </w:pPr>
      <w:r>
        <w:t xml:space="preserve">Na osnovu člana 53 stav 3 Zakona o javnim nabavkama („Službeni list CG“, br. 074/19, 3/2023 i 11/2023 ) </w:t>
      </w:r>
      <w:r>
        <w:rPr>
          <w:lang w:val="sr-Latn-ME"/>
        </w:rPr>
        <w:t>Komisija za tržište kapitala</w:t>
      </w:r>
      <w:r>
        <w:rPr>
          <w:color w:val="000000"/>
        </w:rPr>
        <w:t>,</w:t>
      </w:r>
      <w:r>
        <w:rPr>
          <w:color w:val="000000"/>
          <w:lang w:val="sr-Latn-ME"/>
        </w:rPr>
        <w:t xml:space="preserve"> o</w:t>
      </w:r>
      <w:r>
        <w:t>bjavljuje</w:t>
      </w:r>
    </w:p>
    <w:p w14:paraId="03BC0EC7">
      <w:pPr>
        <w:jc w:val="both"/>
      </w:pPr>
    </w:p>
    <w:p w14:paraId="301D47B2">
      <w:pPr>
        <w:keepNext/>
        <w:jc w:val="both"/>
        <w:outlineLvl w:val="0"/>
        <w:rPr>
          <w:i/>
          <w:iCs/>
          <w:color w:val="000000"/>
        </w:rPr>
      </w:pPr>
    </w:p>
    <w:p w14:paraId="2B593689">
      <w:pPr>
        <w:rPr>
          <w:color w:val="000000"/>
        </w:rPr>
      </w:pPr>
    </w:p>
    <w:p w14:paraId="2F87C4DA">
      <w:pPr>
        <w:rPr>
          <w:color w:val="000000"/>
        </w:rPr>
      </w:pPr>
    </w:p>
    <w:p w14:paraId="5090AF0E">
      <w:pPr>
        <w:rPr>
          <w:color w:val="000000"/>
        </w:rPr>
      </w:pPr>
    </w:p>
    <w:p w14:paraId="67732E85">
      <w:pPr>
        <w:rPr>
          <w:color w:val="000000"/>
        </w:rPr>
      </w:pPr>
    </w:p>
    <w:p w14:paraId="26DB31A8">
      <w:pPr>
        <w:keepNext/>
        <w:jc w:val="center"/>
        <w:outlineLvl w:val="0"/>
        <w:rPr>
          <w:b/>
          <w:bCs/>
          <w:color w:val="000000"/>
        </w:rPr>
      </w:pPr>
    </w:p>
    <w:p w14:paraId="49421D4D">
      <w:pPr>
        <w:jc w:val="center"/>
        <w:rPr>
          <w:b/>
          <w:bCs/>
          <w:color w:val="000000"/>
        </w:rPr>
      </w:pPr>
      <w:r>
        <w:rPr>
          <w:b/>
          <w:bCs/>
          <w:color w:val="000000"/>
        </w:rPr>
        <w:t>TENDERSKU DOKUMENTACIJU</w:t>
      </w:r>
    </w:p>
    <w:p w14:paraId="3CDDC396">
      <w:pPr>
        <w:jc w:val="center"/>
        <w:rPr>
          <w:b/>
          <w:bCs/>
          <w:color w:val="000000"/>
        </w:rPr>
      </w:pPr>
      <w:r>
        <w:rPr>
          <w:b/>
          <w:bCs/>
          <w:color w:val="000000"/>
        </w:rPr>
        <w:t>ZA OTVORENI POSTUPAK JAVNE NABAVKE</w:t>
      </w:r>
    </w:p>
    <w:p w14:paraId="1946DE4C">
      <w:pPr>
        <w:tabs>
          <w:tab w:val="left" w:pos="1701"/>
          <w:tab w:val="left" w:pos="4820"/>
        </w:tabs>
        <w:rPr>
          <w:b/>
          <w:bCs/>
          <w:color w:val="000000"/>
        </w:rPr>
      </w:pPr>
    </w:p>
    <w:p w14:paraId="076BE548">
      <w:pPr>
        <w:tabs>
          <w:tab w:val="left" w:pos="1701"/>
          <w:tab w:val="left" w:pos="4820"/>
        </w:tabs>
        <w:jc w:val="center"/>
        <w:rPr>
          <w:color w:val="000000"/>
          <w:lang w:val="sr-Latn-ME"/>
        </w:rPr>
      </w:pPr>
      <w:r>
        <w:rPr>
          <w:color w:val="000000"/>
        </w:rPr>
        <w:t xml:space="preserve">Robe – </w:t>
      </w:r>
      <w:r>
        <w:rPr>
          <w:color w:val="000000"/>
          <w:lang w:val="sr-Latn-ME"/>
        </w:rPr>
        <w:t>Nabavka putničkog vozila</w:t>
      </w:r>
    </w:p>
    <w:p w14:paraId="1D5C4243">
      <w:pPr>
        <w:jc w:val="center"/>
        <w:rPr>
          <w:color w:val="000000"/>
        </w:rPr>
      </w:pPr>
    </w:p>
    <w:p w14:paraId="5765B0E9">
      <w:pPr>
        <w:jc w:val="both"/>
        <w:rPr>
          <w:rFonts w:ascii="Cambria" w:hAnsi="Cambria" w:eastAsia="Calibri" w:cs="Calibri"/>
          <w:b/>
          <w:lang w:val="it-IT"/>
        </w:rPr>
      </w:pPr>
    </w:p>
    <w:p w14:paraId="720E469A">
      <w:pPr>
        <w:jc w:val="both"/>
        <w:rPr>
          <w:rFonts w:ascii="Cambria" w:hAnsi="Cambria" w:eastAsia="Calibri" w:cs="Calibri"/>
          <w:b/>
          <w:lang w:val="it-IT"/>
        </w:rPr>
      </w:pPr>
    </w:p>
    <w:p w14:paraId="70708B38">
      <w:pPr>
        <w:jc w:val="both"/>
        <w:rPr>
          <w:rFonts w:ascii="Cambria" w:hAnsi="Cambria" w:eastAsia="Calibri" w:cs="Calibri"/>
          <w:b/>
          <w:lang w:val="it-IT"/>
        </w:rPr>
      </w:pPr>
    </w:p>
    <w:p w14:paraId="6AE4B7AB">
      <w:pPr>
        <w:jc w:val="both"/>
        <w:rPr>
          <w:rFonts w:ascii="Cambria" w:hAnsi="Cambria" w:eastAsia="Calibri" w:cs="Calibri"/>
          <w:b/>
          <w:lang w:val="it-IT"/>
        </w:rPr>
      </w:pPr>
    </w:p>
    <w:p w14:paraId="34C1955F">
      <w:pPr>
        <w:jc w:val="both"/>
        <w:rPr>
          <w:rFonts w:ascii="Cambria" w:hAnsi="Cambria" w:eastAsia="Calibri" w:cs="Calibri"/>
          <w:b/>
          <w:lang w:val="it-IT"/>
        </w:rPr>
      </w:pPr>
    </w:p>
    <w:p w14:paraId="2D177BF6">
      <w:pPr>
        <w:jc w:val="both"/>
        <w:rPr>
          <w:rFonts w:ascii="Cambria" w:hAnsi="Cambria" w:eastAsia="Calibri" w:cs="Calibri"/>
          <w:b/>
          <w:lang w:val="it-IT"/>
        </w:rPr>
      </w:pPr>
    </w:p>
    <w:p w14:paraId="083B0BDA">
      <w:pPr>
        <w:jc w:val="both"/>
        <w:rPr>
          <w:color w:val="000000"/>
        </w:rPr>
      </w:pPr>
      <w:r>
        <w:rPr>
          <w:color w:val="000000"/>
        </w:rPr>
        <w:t>Predmet nabavke se nabavlja:</w:t>
      </w:r>
    </w:p>
    <w:p w14:paraId="37DBDF38">
      <w:pPr>
        <w:jc w:val="both"/>
        <w:rPr>
          <w:color w:val="000000"/>
        </w:rPr>
      </w:pPr>
    </w:p>
    <w:p w14:paraId="43B6A22F">
      <w:pPr>
        <w:jc w:val="both"/>
        <w:rPr>
          <w:color w:val="000000"/>
        </w:rPr>
      </w:pPr>
      <w:r>
        <w:rPr>
          <w:color w:val="000000"/>
        </w:rPr>
        <w:sym w:font="Wingdings" w:char="F0A8"/>
      </w:r>
      <w:r>
        <w:rPr>
          <w:color w:val="000000"/>
        </w:rPr>
        <w:t xml:space="preserve"> kao cjelina </w:t>
      </w:r>
    </w:p>
    <w:p w14:paraId="2D51DE2E">
      <w:pPr>
        <w:jc w:val="both"/>
        <w:rPr>
          <w:rFonts w:ascii="Cambria" w:hAnsi="Cambria" w:eastAsia="Calibri" w:cs="Calibri"/>
          <w:b/>
          <w:lang w:val="it-IT"/>
        </w:rPr>
      </w:pPr>
    </w:p>
    <w:p w14:paraId="3948222A">
      <w:pPr>
        <w:jc w:val="both"/>
        <w:rPr>
          <w:rFonts w:ascii="Cambria" w:hAnsi="Cambria" w:eastAsia="Calibri" w:cs="Calibri"/>
          <w:b/>
          <w:lang w:val="it-IT"/>
        </w:rPr>
      </w:pPr>
    </w:p>
    <w:p w14:paraId="21336084">
      <w:pPr>
        <w:jc w:val="both"/>
        <w:rPr>
          <w:rFonts w:ascii="Cambria" w:hAnsi="Cambria"/>
          <w:color w:val="000000"/>
        </w:rPr>
      </w:pPr>
    </w:p>
    <w:p w14:paraId="2A238380">
      <w:pPr>
        <w:tabs>
          <w:tab w:val="left" w:pos="1276"/>
          <w:tab w:val="left" w:pos="3261"/>
        </w:tabs>
        <w:jc w:val="both"/>
        <w:rPr>
          <w:rFonts w:ascii="Cambria" w:hAnsi="Cambria" w:cs="Arial"/>
        </w:rPr>
      </w:pPr>
    </w:p>
    <w:p w14:paraId="522E79EF">
      <w:pPr>
        <w:jc w:val="center"/>
        <w:rPr>
          <w:rFonts w:ascii="Cambria" w:hAnsi="Cambria" w:eastAsia="Calibri" w:cs="Calibri"/>
          <w:b/>
          <w:lang w:val="it-IT"/>
        </w:rPr>
      </w:pPr>
    </w:p>
    <w:p w14:paraId="4F4CA5F9">
      <w:pPr>
        <w:jc w:val="center"/>
        <w:rPr>
          <w:color w:val="000000"/>
        </w:rPr>
      </w:pPr>
    </w:p>
    <w:p w14:paraId="78A0E1EC">
      <w:pPr>
        <w:rPr>
          <w:bCs/>
          <w:color w:val="000000"/>
          <w:shd w:val="clear" w:color="auto" w:fill="FFFFFF"/>
        </w:rPr>
      </w:pPr>
    </w:p>
    <w:p w14:paraId="2E7FBC32">
      <w:pPr>
        <w:rPr>
          <w:bCs/>
          <w:color w:val="000000"/>
          <w:shd w:val="clear" w:color="auto" w:fill="FFFFFF"/>
        </w:rPr>
      </w:pPr>
    </w:p>
    <w:p w14:paraId="52E24845">
      <w:pPr>
        <w:rPr>
          <w:bCs/>
          <w:color w:val="000000"/>
          <w:shd w:val="clear" w:color="auto" w:fill="FFFFFF"/>
        </w:rPr>
      </w:pPr>
    </w:p>
    <w:p w14:paraId="7423E9FE">
      <w:pPr>
        <w:rPr>
          <w:bCs/>
          <w:color w:val="000000"/>
          <w:shd w:val="clear" w:color="auto" w:fill="FFFFFF"/>
        </w:rPr>
      </w:pPr>
    </w:p>
    <w:p w14:paraId="7809AA5D">
      <w:pPr>
        <w:rPr>
          <w:bCs/>
          <w:color w:val="000000"/>
          <w:shd w:val="clear" w:color="auto" w:fill="FFFFFF"/>
        </w:rPr>
      </w:pPr>
    </w:p>
    <w:p w14:paraId="1C72E30A">
      <w:pPr>
        <w:rPr>
          <w:bCs/>
          <w:color w:val="000000"/>
          <w:shd w:val="clear" w:color="auto" w:fill="FFFFFF"/>
        </w:rPr>
      </w:pPr>
    </w:p>
    <w:p w14:paraId="3193CF1E">
      <w:pPr>
        <w:rPr>
          <w:bCs/>
          <w:color w:val="000000"/>
          <w:shd w:val="clear" w:color="auto" w:fill="FFFFFF"/>
        </w:rPr>
      </w:pPr>
    </w:p>
    <w:p w14:paraId="531EF93D">
      <w:pPr>
        <w:rPr>
          <w:bCs/>
          <w:color w:val="000000"/>
          <w:shd w:val="clear" w:color="auto" w:fill="FFFFFF"/>
        </w:rPr>
      </w:pPr>
    </w:p>
    <w:p w14:paraId="10852370">
      <w:pPr>
        <w:rPr>
          <w:bCs/>
          <w:color w:val="000000"/>
          <w:shd w:val="clear" w:color="auto" w:fill="FFFFFF"/>
        </w:rPr>
      </w:pPr>
    </w:p>
    <w:p w14:paraId="6C7F5C28">
      <w:pPr>
        <w:rPr>
          <w:bCs/>
          <w:color w:val="000000"/>
          <w:shd w:val="clear" w:color="auto" w:fill="FFFFFF"/>
        </w:rPr>
      </w:pPr>
    </w:p>
    <w:p w14:paraId="0F17667A">
      <w:pPr>
        <w:jc w:val="both"/>
        <w:rPr>
          <w:rFonts w:ascii="Arial" w:hAnsi="Arial" w:cs="Arial"/>
        </w:rPr>
      </w:pPr>
    </w:p>
    <w:p w14:paraId="3883D668">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eastAsiaTheme="minorHAnsi" w:cstheme="minorBidi"/>
          <w:b/>
          <w:color w:val="000000"/>
          <w:sz w:val="22"/>
          <w:szCs w:val="32"/>
          <w:lang w:val="sr-Latn-ME"/>
        </w:rPr>
      </w:pPr>
      <w:r>
        <w:rPr>
          <w:rFonts w:ascii="Arial" w:hAnsi="Arial" w:eastAsiaTheme="minorHAnsi" w:cstheme="minorBidi"/>
          <w:b/>
          <w:color w:val="000000"/>
          <w:sz w:val="22"/>
          <w:szCs w:val="32"/>
          <w:lang w:val="sr-Latn-ME"/>
        </w:rPr>
        <w:t>POZIV ZA NADMETANJE</w:t>
      </w:r>
      <w:r>
        <w:rPr>
          <w:rFonts w:ascii="Arial" w:hAnsi="Arial" w:eastAsiaTheme="minorHAnsi" w:cstheme="minorBidi"/>
          <w:b/>
          <w:color w:val="000000"/>
          <w:sz w:val="22"/>
          <w:szCs w:val="32"/>
          <w:vertAlign w:val="superscript"/>
          <w:lang w:val="sr-Latn-ME"/>
        </w:rPr>
        <w:footnoteReference w:id="0"/>
      </w:r>
      <w:r>
        <w:rPr>
          <w:rFonts w:ascii="Arial" w:hAnsi="Arial" w:eastAsiaTheme="minorHAnsi" w:cstheme="minorBidi"/>
          <w:b/>
          <w:color w:val="000000"/>
          <w:sz w:val="22"/>
          <w:szCs w:val="32"/>
          <w:lang w:val="sr-Latn-ME"/>
        </w:rPr>
        <w:t xml:space="preserve"> </w:t>
      </w:r>
    </w:p>
    <w:p w14:paraId="0680078A">
      <w:pPr>
        <w:spacing w:after="160" w:line="259" w:lineRule="auto"/>
        <w:rPr>
          <w:rFonts w:ascii="Arial" w:hAnsi="Arial" w:cs="Arial" w:eastAsiaTheme="minorHAnsi"/>
          <w:b/>
          <w:bCs/>
          <w:color w:val="000000"/>
          <w:sz w:val="22"/>
          <w:szCs w:val="22"/>
          <w:lang w:val="sr-Latn-ME"/>
        </w:rPr>
      </w:pPr>
      <w:r>
        <w:rPr>
          <w:rFonts w:ascii="Arial" w:hAnsi="Arial" w:cs="Arial" w:eastAsiaTheme="minorHAnsi"/>
          <w:b/>
          <w:bCs/>
          <w:color w:val="000000"/>
          <w:sz w:val="22"/>
          <w:szCs w:val="22"/>
          <w:lang w:val="sr-Latn-ME"/>
        </w:rPr>
        <w:tab/>
      </w:r>
    </w:p>
    <w:p w14:paraId="66225AD6">
      <w:pPr>
        <w:numPr>
          <w:ilvl w:val="0"/>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Podaci o naručiocu;</w:t>
      </w:r>
    </w:p>
    <w:p w14:paraId="53A0CD90">
      <w:pPr>
        <w:numPr>
          <w:ilvl w:val="0"/>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 xml:space="preserve">Podaci o postupku i predmetu javne nabavke: </w:t>
      </w:r>
    </w:p>
    <w:p w14:paraId="0AF7517D">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Vrsta postupka,</w:t>
      </w:r>
    </w:p>
    <w:p w14:paraId="1B8615B0">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Predmet javne nabavke (vrsta predmeta, naziv i opis predmeta),</w:t>
      </w:r>
    </w:p>
    <w:p w14:paraId="2C4012FC">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Procijenjena vrijednost predmeta nabavke</w:t>
      </w:r>
      <w:r>
        <w:rPr>
          <w:rFonts w:ascii="Arial" w:hAnsi="Arial" w:eastAsia="Calibri" w:cs="Arial"/>
          <w:color w:val="000000"/>
          <w:sz w:val="22"/>
          <w:szCs w:val="22"/>
          <w:vertAlign w:val="superscript"/>
          <w:lang w:val="sr-Latn-ME"/>
        </w:rPr>
        <w:footnoteReference w:id="1"/>
      </w:r>
      <w:r>
        <w:rPr>
          <w:rFonts w:ascii="Arial" w:hAnsi="Arial" w:eastAsia="Calibri" w:cs="Arial"/>
          <w:color w:val="000000"/>
          <w:sz w:val="22"/>
          <w:szCs w:val="22"/>
          <w:lang w:val="sr-Latn-ME"/>
        </w:rPr>
        <w:t>,</w:t>
      </w:r>
    </w:p>
    <w:p w14:paraId="402F1754">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 xml:space="preserve">Način nabavke: </w:t>
      </w:r>
    </w:p>
    <w:p w14:paraId="54649A53">
      <w:pPr>
        <w:numPr>
          <w:ilvl w:val="0"/>
          <w:numId w:val="3"/>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Cjelina, po partijama,</w:t>
      </w:r>
    </w:p>
    <w:p w14:paraId="29320015">
      <w:pPr>
        <w:numPr>
          <w:ilvl w:val="0"/>
          <w:numId w:val="3"/>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Zajednička nabavka,</w:t>
      </w:r>
    </w:p>
    <w:p w14:paraId="585F7DBD">
      <w:pPr>
        <w:numPr>
          <w:ilvl w:val="0"/>
          <w:numId w:val="3"/>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Centralizovana nabavka,</w:t>
      </w:r>
    </w:p>
    <w:p w14:paraId="0FE14AB3">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Posebni oblik nabavke:</w:t>
      </w:r>
    </w:p>
    <w:p w14:paraId="07C64E68">
      <w:pPr>
        <w:numPr>
          <w:ilvl w:val="0"/>
          <w:numId w:val="4"/>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Okvirni sporazum,</w:t>
      </w:r>
    </w:p>
    <w:p w14:paraId="118AAAA7">
      <w:pPr>
        <w:numPr>
          <w:ilvl w:val="0"/>
          <w:numId w:val="4"/>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Dinamički sistem nabavki,</w:t>
      </w:r>
    </w:p>
    <w:p w14:paraId="4BF03626">
      <w:pPr>
        <w:numPr>
          <w:ilvl w:val="0"/>
          <w:numId w:val="4"/>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Elektronska aukcija,</w:t>
      </w:r>
    </w:p>
    <w:p w14:paraId="333E17D5">
      <w:pPr>
        <w:numPr>
          <w:ilvl w:val="0"/>
          <w:numId w:val="4"/>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Elektronski katalog,</w:t>
      </w:r>
    </w:p>
    <w:p w14:paraId="6D2C4561">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Uslovi za učešće u postupku javne nabavke i posebni osnovi za isključenje,</w:t>
      </w:r>
    </w:p>
    <w:p w14:paraId="5C36EA1F">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Kriterijum za izbor najpovoljnije ponude,</w:t>
      </w:r>
    </w:p>
    <w:p w14:paraId="18856080">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Način, mjesto i vrijeme podnošenja ponuda i otvaranja ponuda,</w:t>
      </w:r>
    </w:p>
    <w:p w14:paraId="57DBB171">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Rok za donošenje odluke o izboru,</w:t>
      </w:r>
    </w:p>
    <w:p w14:paraId="35A899B0">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Rok važenja ponude,</w:t>
      </w:r>
    </w:p>
    <w:p w14:paraId="10F000EA">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Garancija ponude</w:t>
      </w:r>
    </w:p>
    <w:p w14:paraId="05373DEB">
      <w:pPr>
        <w:spacing w:after="160" w:line="259" w:lineRule="auto"/>
        <w:rPr>
          <w:rFonts w:ascii="Calibri" w:hAnsi="Calibri" w:eastAsia="Calibri" w:cstheme="minorBidi"/>
          <w:color w:val="000000"/>
          <w:sz w:val="22"/>
          <w:szCs w:val="22"/>
          <w:lang w:val="sr-Latn-ME"/>
        </w:rPr>
      </w:pPr>
    </w:p>
    <w:p w14:paraId="5EA58729">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eastAsiaTheme="minorHAnsi" w:cstheme="minorBidi"/>
          <w:b/>
          <w:color w:val="000000"/>
          <w:sz w:val="22"/>
          <w:szCs w:val="32"/>
          <w:lang w:val="sr-Latn-ME"/>
        </w:rPr>
      </w:pPr>
      <w:r>
        <w:rPr>
          <w:rFonts w:ascii="Arial" w:hAnsi="Arial" w:eastAsiaTheme="minorHAnsi" w:cstheme="minorBidi"/>
          <w:b/>
          <w:color w:val="000000"/>
          <w:sz w:val="22"/>
          <w:szCs w:val="32"/>
          <w:lang w:val="sr-Latn-ME"/>
        </w:rPr>
        <w:t>TEHNIČKA SPECIFIKACIJA PREDMETA JAVNE NABAVKE</w:t>
      </w:r>
      <w:r>
        <w:rPr>
          <w:rFonts w:ascii="Arial" w:hAnsi="Arial" w:eastAsiaTheme="minorHAnsi" w:cstheme="minorBidi"/>
          <w:b/>
          <w:color w:val="000000"/>
          <w:sz w:val="22"/>
          <w:szCs w:val="32"/>
          <w:vertAlign w:val="superscript"/>
          <w:lang w:val="sr-Latn-ME"/>
        </w:rPr>
        <w:footnoteReference w:id="2"/>
      </w:r>
    </w:p>
    <w:p w14:paraId="7D6ED9DF">
      <w:pPr>
        <w:spacing w:after="160" w:line="259" w:lineRule="auto"/>
        <w:rPr>
          <w:rFonts w:ascii="Calibri" w:hAnsi="Calibri" w:eastAsia="Calibri" w:cstheme="minorBidi"/>
          <w:color w:val="000000"/>
          <w:sz w:val="22"/>
          <w:szCs w:val="22"/>
          <w:lang w:val="sr-Latn-ME"/>
        </w:rPr>
      </w:pPr>
    </w:p>
    <w:p w14:paraId="5CED2DF3">
      <w:pPr>
        <w:numPr>
          <w:ilvl w:val="0"/>
          <w:numId w:val="5"/>
        </w:numPr>
        <w:spacing w:after="160" w:line="259" w:lineRule="auto"/>
        <w:ind w:left="1080"/>
        <w:contextualSpacing/>
        <w:jc w:val="both"/>
        <w:rPr>
          <w:rFonts w:ascii="Arial" w:hAnsi="Arial" w:eastAsia="Calibri" w:cs="Arial"/>
          <w:color w:val="000000"/>
          <w:sz w:val="22"/>
          <w:szCs w:val="22"/>
          <w:lang w:val="sr-Latn-ME"/>
        </w:rPr>
      </w:pPr>
      <w:r>
        <w:rPr>
          <w:rFonts w:ascii="Arial" w:hAnsi="Arial" w:eastAsia="Calibri" w:cs="Arial"/>
          <w:color w:val="000000"/>
          <w:sz w:val="22"/>
          <w:szCs w:val="22"/>
          <w:lang w:val="sr-Latn-ME"/>
        </w:rPr>
        <w:t>Naziv i opis predmeta nabavke u cjelini, po partijama i stavkama sa bitnim karakteristikama</w:t>
      </w:r>
    </w:p>
    <w:p w14:paraId="3C7194EB">
      <w:pPr>
        <w:numPr>
          <w:ilvl w:val="0"/>
          <w:numId w:val="5"/>
        </w:numPr>
        <w:spacing w:after="160" w:line="259" w:lineRule="auto"/>
        <w:ind w:left="1080"/>
        <w:contextualSpacing/>
        <w:jc w:val="both"/>
        <w:rPr>
          <w:rFonts w:ascii="Arial" w:hAnsi="Arial" w:eastAsia="Calibri" w:cs="Arial"/>
          <w:color w:val="000000"/>
          <w:sz w:val="22"/>
          <w:szCs w:val="22"/>
          <w:lang w:val="sr-Latn-ME"/>
        </w:rPr>
      </w:pPr>
      <w:r>
        <w:rPr>
          <w:rFonts w:ascii="Arial" w:hAnsi="Arial" w:eastAsia="Calibri" w:cs="Arial"/>
          <w:color w:val="000000"/>
          <w:sz w:val="22"/>
          <w:szCs w:val="22"/>
          <w:lang w:val="sr-Latn-ME"/>
        </w:rPr>
        <w:t>Zahtjevi u pogledu načina izvršavanja predmeta nabavke koji su od značaja za sačinjavanje ponude i izvršenje ugovora</w:t>
      </w:r>
    </w:p>
    <w:p w14:paraId="4F11619A">
      <w:pPr>
        <w:rPr>
          <w:bCs/>
          <w:color w:val="000000"/>
          <w:shd w:val="clear" w:color="auto" w:fill="FFFFFF"/>
        </w:rPr>
      </w:pPr>
    </w:p>
    <w:p w14:paraId="3DF03B00">
      <w:pPr>
        <w:rPr>
          <w:bCs/>
          <w:color w:val="000000"/>
          <w:shd w:val="clear" w:color="auto" w:fill="FFFFFF"/>
        </w:rPr>
      </w:pPr>
    </w:p>
    <w:p w14:paraId="1416BBA2">
      <w:pPr>
        <w:rPr>
          <w:bCs/>
          <w:color w:val="000000"/>
          <w:shd w:val="clear" w:color="auto" w:fill="FFFFFF"/>
        </w:rPr>
      </w:pPr>
    </w:p>
    <w:p w14:paraId="08068E1E">
      <w:pPr>
        <w:rPr>
          <w:bCs/>
          <w:color w:val="000000"/>
          <w:shd w:val="clear" w:color="auto" w:fill="FFFFFF"/>
        </w:rPr>
      </w:pPr>
    </w:p>
    <w:p w14:paraId="62628859">
      <w:pPr>
        <w:rPr>
          <w:bCs/>
          <w:color w:val="000000"/>
          <w:shd w:val="clear" w:color="auto" w:fill="FFFFFF"/>
        </w:rPr>
      </w:pPr>
    </w:p>
    <w:p w14:paraId="6B787D45">
      <w:pPr>
        <w:rPr>
          <w:bCs/>
          <w:color w:val="000000"/>
          <w:shd w:val="clear" w:color="auto" w:fill="FFFFFF"/>
        </w:rPr>
      </w:pPr>
    </w:p>
    <w:p w14:paraId="0B967868">
      <w:pPr>
        <w:rPr>
          <w:bCs/>
          <w:color w:val="000000"/>
          <w:shd w:val="clear" w:color="auto" w:fill="FFFFFF"/>
        </w:rPr>
      </w:pPr>
    </w:p>
    <w:p w14:paraId="6F37DE79">
      <w:pPr>
        <w:rPr>
          <w:bCs/>
          <w:color w:val="000000"/>
          <w:shd w:val="clear" w:color="auto" w:fill="FFFFFF"/>
        </w:rPr>
      </w:pPr>
    </w:p>
    <w:p w14:paraId="743C4420">
      <w:pPr>
        <w:rPr>
          <w:bCs/>
          <w:color w:val="000000"/>
          <w:shd w:val="clear" w:color="auto" w:fill="FFFFFF"/>
        </w:rPr>
      </w:pPr>
    </w:p>
    <w:p w14:paraId="42620566">
      <w:pPr>
        <w:rPr>
          <w:bCs/>
          <w:color w:val="000000"/>
          <w:shd w:val="clear" w:color="auto" w:fill="FFFFFF"/>
        </w:rPr>
      </w:pPr>
    </w:p>
    <w:p w14:paraId="0D7B3C5C">
      <w:pPr>
        <w:rPr>
          <w:bCs/>
          <w:color w:val="000000"/>
          <w:shd w:val="clear" w:color="auto" w:fill="FFFFFF"/>
        </w:rPr>
      </w:pPr>
    </w:p>
    <w:p w14:paraId="22CABE12">
      <w:pPr>
        <w:rPr>
          <w:bCs/>
          <w:color w:val="000000"/>
          <w:shd w:val="clear" w:color="auto" w:fill="FFFFFF"/>
        </w:rPr>
      </w:pPr>
    </w:p>
    <w:p w14:paraId="709DF97F">
      <w:pPr>
        <w:rPr>
          <w:bCs/>
          <w:color w:val="000000"/>
          <w:shd w:val="clear" w:color="auto" w:fill="FFFFFF"/>
        </w:rPr>
      </w:pPr>
    </w:p>
    <w:p w14:paraId="0F619772">
      <w:pPr>
        <w:keepNext/>
        <w:keepLines/>
        <w:pBdr>
          <w:top w:val="single" w:color="auto" w:sz="4" w:space="1"/>
          <w:left w:val="single" w:color="auto" w:sz="4" w:space="4"/>
          <w:bottom w:val="single" w:color="auto" w:sz="4" w:space="1"/>
          <w:right w:val="single" w:color="auto" w:sz="4" w:space="4"/>
        </w:pBdr>
        <w:shd w:val="clear" w:color="auto" w:fill="D9D9D9"/>
        <w:spacing w:before="240"/>
        <w:jc w:val="center"/>
        <w:outlineLvl w:val="0"/>
        <w:rPr>
          <w:rFonts w:ascii="Cambria" w:hAnsi="Cambria"/>
          <w:b/>
          <w:color w:val="000000"/>
          <w:szCs w:val="32"/>
          <w:lang w:val="sr-Latn-ME"/>
        </w:rPr>
      </w:pPr>
      <w:r>
        <w:rPr>
          <w:rFonts w:ascii="Cambria" w:hAnsi="Cambria"/>
          <w:b/>
          <w:color w:val="000000"/>
          <w:szCs w:val="32"/>
          <w:lang w:val="sr-Latn-ME"/>
        </w:rPr>
        <w:t>DODATNE INFORMACIJE O PREDMETU I POSTUPKU NABAVKE</w:t>
      </w:r>
    </w:p>
    <w:p w14:paraId="7359B86B">
      <w:pPr>
        <w:rPr>
          <w:bCs/>
          <w:color w:val="000000"/>
          <w:shd w:val="clear" w:color="auto" w:fill="FFFFFF"/>
        </w:rPr>
      </w:pPr>
    </w:p>
    <w:p w14:paraId="60A79122">
      <w:pPr>
        <w:rPr>
          <w:bCs/>
          <w:color w:val="000000"/>
          <w:shd w:val="clear" w:color="auto" w:fill="FFFFFF"/>
        </w:rPr>
      </w:pPr>
    </w:p>
    <w:p w14:paraId="3C28A647">
      <w:pPr>
        <w:rPr>
          <w:bCs/>
          <w:color w:val="000000"/>
          <w:shd w:val="clear" w:color="auto" w:fill="FFFFFF"/>
        </w:rPr>
      </w:pPr>
    </w:p>
    <w:p w14:paraId="10DB044D">
      <w:pPr>
        <w:spacing w:after="160" w:line="259" w:lineRule="auto"/>
        <w:rPr>
          <w:rFonts w:eastAsiaTheme="majorEastAsia"/>
          <w:b/>
          <w:spacing w:val="5"/>
          <w:kern w:val="28"/>
          <w:sz w:val="28"/>
          <w:szCs w:val="28"/>
          <w:lang w:val="sr-Latn-RS"/>
        </w:rPr>
      </w:pPr>
    </w:p>
    <w:p w14:paraId="3008D3EE">
      <w:pPr>
        <w:pBdr>
          <w:top w:val="single" w:color="auto" w:sz="4" w:space="1"/>
          <w:left w:val="single" w:color="auto" w:sz="4" w:space="4"/>
          <w:bottom w:val="single" w:color="auto" w:sz="4" w:space="1"/>
          <w:right w:val="single" w:color="auto" w:sz="4" w:space="4"/>
        </w:pBdr>
        <w:shd w:val="clear" w:color="auto" w:fill="D9D9D9"/>
        <w:rPr>
          <w:rFonts w:ascii="Cambria" w:hAnsi="Cambria" w:cs="Arial"/>
          <w:b/>
          <w:bCs/>
          <w:color w:val="000000"/>
        </w:rPr>
      </w:pPr>
      <w:r>
        <w:rPr>
          <w:rFonts w:ascii="Cambria" w:hAnsi="Cambria" w:cs="Arial"/>
          <w:b/>
          <w:bCs/>
          <w:color w:val="000000"/>
        </w:rPr>
        <w:t>Procijenjena vrijednost predmenta nabavke:</w:t>
      </w:r>
    </w:p>
    <w:p w14:paraId="1B7E69B4">
      <w:pPr>
        <w:jc w:val="both"/>
        <w:rPr>
          <w:rFonts w:ascii="Cambria" w:hAnsi="Cambria" w:cs="Arial"/>
          <w:color w:val="000000"/>
        </w:rPr>
      </w:pPr>
    </w:p>
    <w:p w14:paraId="2DD483E6">
      <w:pPr>
        <w:jc w:val="both"/>
        <w:rPr>
          <w:rFonts w:ascii="Cambria" w:hAnsi="Cambria"/>
          <w:b/>
          <w:bCs/>
          <w:color w:val="000000"/>
        </w:rPr>
      </w:pPr>
      <w:r>
        <w:rPr>
          <w:rFonts w:ascii="Cambria" w:hAnsi="Cambria"/>
          <w:color w:val="000000"/>
        </w:rPr>
        <w:sym w:font="Wingdings" w:char="F0A8"/>
      </w:r>
      <w:r>
        <w:rPr>
          <w:rFonts w:ascii="Cambria" w:hAnsi="Cambria"/>
          <w:color w:val="000000"/>
        </w:rPr>
        <w:t xml:space="preserve"> </w:t>
      </w:r>
      <w:r>
        <w:rPr>
          <w:rFonts w:ascii="Cambria" w:hAnsi="Cambria"/>
          <w:b/>
          <w:bCs/>
          <w:color w:val="000000"/>
        </w:rPr>
        <w:t>Procijenjena vrijednost predmeta nabavke</w:t>
      </w:r>
      <w:r>
        <w:rPr>
          <w:rFonts w:ascii="Cambria" w:hAnsi="Cambria"/>
          <w:color w:val="000000"/>
        </w:rPr>
        <w:t>:</w:t>
      </w:r>
    </w:p>
    <w:p w14:paraId="3DFCB397">
      <w:pPr>
        <w:jc w:val="both"/>
        <w:rPr>
          <w:rFonts w:ascii="Cambria" w:hAnsi="Cambria"/>
          <w:color w:val="000000"/>
        </w:rPr>
      </w:pPr>
    </w:p>
    <w:p w14:paraId="615B2E51">
      <w:pPr>
        <w:jc w:val="both"/>
        <w:rPr>
          <w:color w:val="000000"/>
        </w:rPr>
      </w:pPr>
      <w:r>
        <w:rPr>
          <w:color w:val="000000"/>
        </w:rPr>
        <w:sym w:font="Wingdings" w:char="F0A8"/>
      </w:r>
      <w:r>
        <w:rPr>
          <w:color w:val="000000"/>
        </w:rPr>
        <w:t xml:space="preserve"> kao cjeline je 40.</w:t>
      </w:r>
      <w:r>
        <w:rPr>
          <w:color w:val="000000"/>
          <w:lang w:val="sr-Latn-ME"/>
        </w:rPr>
        <w:t>000</w:t>
      </w:r>
      <w:r>
        <w:rPr>
          <w:color w:val="000000"/>
        </w:rPr>
        <w:t>,</w:t>
      </w:r>
      <w:r>
        <w:rPr>
          <w:color w:val="000000"/>
          <w:lang w:val="sr-Latn-ME"/>
        </w:rPr>
        <w:t>00</w:t>
      </w:r>
      <w:r>
        <w:rPr>
          <w:color w:val="000000"/>
        </w:rPr>
        <w:t xml:space="preserve"> € </w:t>
      </w:r>
    </w:p>
    <w:p w14:paraId="0DA6B491">
      <w:pPr>
        <w:jc w:val="both"/>
        <w:rPr>
          <w:rFonts w:ascii="Cambria" w:hAnsi="Cambria"/>
          <w:color w:val="000000"/>
        </w:rPr>
      </w:pPr>
    </w:p>
    <w:p w14:paraId="5AE233DE">
      <w:pPr>
        <w:pBdr>
          <w:top w:val="single" w:color="auto" w:sz="4" w:space="1"/>
          <w:left w:val="single" w:color="auto" w:sz="4" w:space="4"/>
          <w:bottom w:val="single" w:color="auto" w:sz="4" w:space="1"/>
          <w:right w:val="single" w:color="auto" w:sz="4" w:space="4"/>
        </w:pBdr>
        <w:shd w:val="clear" w:color="auto" w:fill="D9D9D9"/>
        <w:rPr>
          <w:rFonts w:ascii="Cambria" w:hAnsi="Cambria" w:cs="Arial"/>
          <w:b/>
          <w:bCs/>
          <w:color w:val="000000"/>
        </w:rPr>
      </w:pPr>
      <w:r>
        <w:rPr>
          <w:rFonts w:ascii="Cambria" w:hAnsi="Cambria" w:cs="Arial"/>
          <w:b/>
          <w:bCs/>
          <w:color w:val="000000"/>
        </w:rPr>
        <w:t>Obrazloženje razloga zašto predmet nabavke nije podijeljen na partije:</w:t>
      </w:r>
    </w:p>
    <w:p w14:paraId="6294D142">
      <w:pPr>
        <w:tabs>
          <w:tab w:val="center" w:leader="underscore" w:pos="5387"/>
          <w:tab w:val="left" w:pos="5954"/>
          <w:tab w:val="right" w:pos="9639"/>
        </w:tabs>
        <w:rPr>
          <w:rFonts w:ascii="Arial" w:hAnsi="Arial" w:eastAsia="PMingLiU" w:cs="Arial"/>
          <w:b/>
          <w:lang w:val="pl-PL" w:eastAsia="zh-TW"/>
        </w:rPr>
      </w:pPr>
    </w:p>
    <w:p w14:paraId="2BF8A7FC">
      <w:pPr>
        <w:tabs>
          <w:tab w:val="center" w:leader="underscore" w:pos="5387"/>
          <w:tab w:val="left" w:pos="5954"/>
          <w:tab w:val="right" w:pos="9639"/>
        </w:tabs>
        <w:jc w:val="both"/>
        <w:rPr>
          <w:bCs/>
          <w:color w:val="000000"/>
          <w:shd w:val="clear" w:color="auto" w:fill="FFFFFF"/>
        </w:rPr>
      </w:pPr>
      <w:r>
        <w:rPr>
          <w:bCs/>
          <w:color w:val="000000"/>
          <w:shd w:val="clear" w:color="auto" w:fill="FFFFFF"/>
        </w:rPr>
        <w:t>U konkretnom slučaju radi se o nabavci koja predstavlja jedinstveni cijelinu.</w:t>
      </w:r>
    </w:p>
    <w:p w14:paraId="32B7269E">
      <w:pPr>
        <w:jc w:val="both"/>
        <w:rPr>
          <w:rFonts w:ascii="Cambria" w:hAnsi="Cambria"/>
          <w:color w:val="000000"/>
        </w:rPr>
      </w:pPr>
    </w:p>
    <w:p w14:paraId="228C063F">
      <w:pPr>
        <w:jc w:val="both"/>
        <w:rPr>
          <w:rFonts w:ascii="Cambria" w:hAnsi="Cambria" w:cs="Arial"/>
        </w:rPr>
      </w:pPr>
    </w:p>
    <w:p w14:paraId="28AA8904">
      <w:pPr>
        <w:pBdr>
          <w:top w:val="single" w:color="auto" w:sz="4" w:space="1"/>
          <w:left w:val="single" w:color="auto" w:sz="4" w:space="4"/>
          <w:bottom w:val="single" w:color="auto" w:sz="4" w:space="1"/>
          <w:right w:val="single" w:color="auto" w:sz="4" w:space="4"/>
        </w:pBdr>
        <w:shd w:val="clear" w:color="auto" w:fill="D9D9D9"/>
        <w:rPr>
          <w:rFonts w:ascii="Cambria" w:hAnsi="Cambria" w:cs="Arial"/>
          <w:b/>
          <w:color w:val="000000"/>
          <w:lang w:val="sr-Latn-ME"/>
        </w:rPr>
      </w:pPr>
      <w:r>
        <w:rPr>
          <w:rFonts w:ascii="Cambria" w:hAnsi="Cambria" w:cs="Arial"/>
          <w:b/>
          <w:color w:val="000000"/>
          <w:lang w:val="sr-Latn-ME"/>
        </w:rPr>
        <w:t>ZAKLJUČIVANJE OKVIRNOG SPORAZUMA</w:t>
      </w:r>
    </w:p>
    <w:p w14:paraId="4812934D">
      <w:pPr>
        <w:jc w:val="both"/>
        <w:rPr>
          <w:rFonts w:ascii="Cambria" w:hAnsi="Cambria" w:cs="Arial"/>
          <w:color w:val="000000"/>
          <w:lang w:val="sr-Latn-ME"/>
        </w:rPr>
      </w:pPr>
    </w:p>
    <w:p w14:paraId="6F7A32A1">
      <w:pPr>
        <w:jc w:val="both"/>
        <w:rPr>
          <w:rFonts w:ascii="Cambria" w:hAnsi="Cambria"/>
          <w:color w:val="000000"/>
        </w:rPr>
      </w:pPr>
      <w:r>
        <w:rPr>
          <w:rFonts w:ascii="Cambria" w:hAnsi="Cambria"/>
          <w:color w:val="000000"/>
        </w:rPr>
        <w:t>Zaključiće se okvirni sporazum:</w:t>
      </w:r>
    </w:p>
    <w:p w14:paraId="09D7E280">
      <w:pPr>
        <w:jc w:val="both"/>
        <w:rPr>
          <w:rFonts w:ascii="Cambria" w:hAnsi="Cambria"/>
          <w:color w:val="000000"/>
        </w:rPr>
      </w:pPr>
    </w:p>
    <w:p w14:paraId="4DAF5D87">
      <w:pPr>
        <w:jc w:val="both"/>
        <w:rPr>
          <w:rFonts w:ascii="Cambria" w:hAnsi="Cambria"/>
          <w:color w:val="000000"/>
        </w:rPr>
      </w:pPr>
      <w:r>
        <w:rPr>
          <w:rFonts w:ascii="Cambria" w:hAnsi="Cambria"/>
          <w:color w:val="000000"/>
        </w:rPr>
        <w:sym w:font="Wingdings" w:char="F0A8"/>
      </w:r>
      <w:r>
        <w:rPr>
          <w:rFonts w:ascii="Cambria" w:hAnsi="Cambria"/>
          <w:color w:val="000000"/>
        </w:rPr>
        <w:t xml:space="preserve"> ne </w:t>
      </w:r>
    </w:p>
    <w:p w14:paraId="2F861DEA">
      <w:pPr>
        <w:jc w:val="both"/>
        <w:rPr>
          <w:rFonts w:ascii="Cambria" w:hAnsi="Cambria" w:cs="Arial"/>
          <w:color w:val="000000"/>
        </w:rPr>
      </w:pPr>
    </w:p>
    <w:p w14:paraId="088F1C69">
      <w:pPr>
        <w:pBdr>
          <w:top w:val="single" w:color="auto" w:sz="4" w:space="1"/>
          <w:left w:val="single" w:color="auto" w:sz="4" w:space="4"/>
          <w:bottom w:val="single" w:color="auto" w:sz="4" w:space="1"/>
          <w:right w:val="single" w:color="auto" w:sz="4" w:space="4"/>
        </w:pBdr>
        <w:shd w:val="clear" w:color="auto" w:fill="D9D9D9"/>
        <w:rPr>
          <w:rFonts w:ascii="Cambria" w:hAnsi="Cambria" w:cs="Arial"/>
          <w:b/>
          <w:lang w:val="sr-Latn-ME"/>
        </w:rPr>
      </w:pPr>
      <w:r>
        <w:rPr>
          <w:rFonts w:ascii="Cambria" w:hAnsi="Cambria" w:cs="Arial"/>
          <w:b/>
          <w:lang w:val="sr-Latn-ME"/>
        </w:rPr>
        <w:t>PONUDA SA VARIJANTAMA</w:t>
      </w:r>
    </w:p>
    <w:p w14:paraId="1363EB6B">
      <w:pPr>
        <w:jc w:val="both"/>
        <w:rPr>
          <w:rFonts w:ascii="Cambria" w:hAnsi="Cambria"/>
          <w:color w:val="000000"/>
        </w:rPr>
      </w:pPr>
    </w:p>
    <w:p w14:paraId="3937B451">
      <w:pPr>
        <w:jc w:val="both"/>
        <w:rPr>
          <w:rFonts w:ascii="Cambria" w:hAnsi="Cambria"/>
          <w:color w:val="000000"/>
        </w:rPr>
      </w:pPr>
      <w:r>
        <w:rPr>
          <w:rFonts w:ascii="Cambria" w:hAnsi="Cambria"/>
          <w:color w:val="000000"/>
        </w:rPr>
        <w:t>Mogućnost podnošenja ponude sa varijantama</w:t>
      </w:r>
    </w:p>
    <w:p w14:paraId="25D96244">
      <w:pPr>
        <w:jc w:val="both"/>
        <w:rPr>
          <w:rFonts w:ascii="Cambria" w:hAnsi="Cambria"/>
          <w:color w:val="000000"/>
        </w:rPr>
      </w:pPr>
    </w:p>
    <w:p w14:paraId="14D34BEA">
      <w:pPr>
        <w:jc w:val="both"/>
        <w:rPr>
          <w:rFonts w:ascii="Cambria" w:hAnsi="Cambria"/>
          <w:color w:val="000000"/>
        </w:rPr>
      </w:pPr>
      <w:r>
        <w:rPr>
          <w:rFonts w:ascii="Cambria" w:hAnsi="Cambria"/>
          <w:color w:val="000000"/>
        </w:rPr>
        <w:sym w:font="Wingdings" w:char="F0A8"/>
      </w:r>
      <w:r>
        <w:rPr>
          <w:rFonts w:ascii="Cambria" w:hAnsi="Cambria"/>
          <w:color w:val="000000"/>
        </w:rPr>
        <w:t xml:space="preserve"> Varijante ponude nijesu dozvoljene i neće biti razmatrane.</w:t>
      </w:r>
    </w:p>
    <w:p w14:paraId="4834AAF1">
      <w:pPr>
        <w:jc w:val="both"/>
        <w:rPr>
          <w:rFonts w:ascii="Cambria" w:hAnsi="Cambria" w:cs="Arial"/>
          <w:color w:val="000000"/>
          <w:lang w:val="sr-Latn-ME"/>
        </w:rPr>
      </w:pPr>
    </w:p>
    <w:p w14:paraId="2BC57AEB">
      <w:pPr>
        <w:jc w:val="both"/>
        <w:rPr>
          <w:rFonts w:ascii="Cambria" w:hAnsi="Cambria" w:cs="Arial"/>
          <w:lang w:val="sr-Latn-ME"/>
        </w:rPr>
      </w:pPr>
    </w:p>
    <w:p w14:paraId="6F387530">
      <w:pPr>
        <w:pBdr>
          <w:top w:val="single" w:color="auto" w:sz="4" w:space="1"/>
          <w:left w:val="single" w:color="auto" w:sz="4" w:space="4"/>
          <w:bottom w:val="single" w:color="auto" w:sz="4" w:space="1"/>
          <w:right w:val="single" w:color="auto" w:sz="4" w:space="4"/>
        </w:pBdr>
        <w:shd w:val="clear" w:color="auto" w:fill="D9D9D9"/>
        <w:jc w:val="both"/>
        <w:rPr>
          <w:rFonts w:ascii="Cambria" w:hAnsi="Cambria" w:cs="Arial"/>
          <w:b/>
          <w:bCs/>
          <w:color w:val="FF0000"/>
          <w:lang w:val="sr-Latn-ME"/>
        </w:rPr>
      </w:pPr>
      <w:r>
        <w:rPr>
          <w:rFonts w:ascii="Cambria" w:hAnsi="Cambria" w:cs="Arial"/>
          <w:b/>
          <w:lang w:val="sr-Latn-ME"/>
        </w:rPr>
        <w:t>REZERVISANA NABAVKA</w:t>
      </w:r>
    </w:p>
    <w:p w14:paraId="7751E9A5">
      <w:pPr>
        <w:jc w:val="both"/>
        <w:rPr>
          <w:rFonts w:ascii="Cambria" w:hAnsi="Cambria" w:cs="Arial"/>
          <w:lang w:val="sr-Latn-ME"/>
        </w:rPr>
      </w:pPr>
    </w:p>
    <w:p w14:paraId="17EC8963">
      <w:pPr>
        <w:jc w:val="both"/>
        <w:rPr>
          <w:rFonts w:ascii="Cambria" w:hAnsi="Cambria"/>
          <w:color w:val="000000"/>
        </w:rPr>
      </w:pPr>
      <w:r>
        <w:rPr>
          <w:rFonts w:ascii="Cambria" w:hAnsi="Cambria"/>
          <w:color w:val="000000"/>
        </w:rPr>
        <w:sym w:font="Wingdings" w:char="F0A8"/>
      </w:r>
      <w:r>
        <w:rPr>
          <w:rFonts w:ascii="Cambria" w:hAnsi="Cambria"/>
          <w:color w:val="000000"/>
        </w:rPr>
        <w:t xml:space="preserve"> Ne</w:t>
      </w:r>
    </w:p>
    <w:p w14:paraId="14CF4104">
      <w:pPr>
        <w:jc w:val="both"/>
        <w:rPr>
          <w:rFonts w:ascii="Cambria" w:hAnsi="Cambria"/>
          <w:color w:val="000000"/>
        </w:rPr>
      </w:pPr>
    </w:p>
    <w:p w14:paraId="112FF54B">
      <w:pPr>
        <w:jc w:val="both"/>
        <w:rPr>
          <w:rFonts w:ascii="Cambria" w:hAnsi="Cambria"/>
          <w:color w:val="000000"/>
        </w:rPr>
      </w:pPr>
    </w:p>
    <w:p w14:paraId="52CCF9FD">
      <w:pPr>
        <w:pBdr>
          <w:top w:val="single" w:color="auto" w:sz="4" w:space="1"/>
          <w:left w:val="single" w:color="auto" w:sz="4" w:space="4"/>
          <w:bottom w:val="single" w:color="auto" w:sz="4" w:space="1"/>
          <w:right w:val="single" w:color="auto" w:sz="4" w:space="4"/>
        </w:pBdr>
        <w:shd w:val="clear" w:color="auto" w:fill="BFBFBF"/>
        <w:jc w:val="both"/>
        <w:rPr>
          <w:rFonts w:ascii="Cambria" w:hAnsi="Cambria"/>
          <w:b/>
        </w:rPr>
      </w:pPr>
      <w:r>
        <w:rPr>
          <w:rFonts w:ascii="Cambria" w:hAnsi="Cambria"/>
          <w:b/>
        </w:rPr>
        <w:t>Osnovi za obavezno isključenje iz postupka javne nabavke</w:t>
      </w:r>
    </w:p>
    <w:p w14:paraId="52F22265">
      <w:pPr>
        <w:jc w:val="both"/>
        <w:rPr>
          <w:rFonts w:ascii="Cambria" w:hAnsi="Cambria"/>
        </w:rPr>
      </w:pPr>
    </w:p>
    <w:p w14:paraId="136DF383">
      <w:pPr>
        <w:jc w:val="both"/>
        <w:rPr>
          <w:rFonts w:ascii="Cambria" w:hAnsi="Cambria"/>
        </w:rPr>
      </w:pPr>
      <w:r>
        <w:rPr>
          <w:rFonts w:ascii="Cambria" w:hAnsi="Cambria"/>
        </w:rPr>
        <w:t xml:space="preserve">Privredni subjekat će se isključiti iz postupka javne nabavke, ako: </w:t>
      </w:r>
    </w:p>
    <w:p w14:paraId="6C4EDD36">
      <w:pPr>
        <w:jc w:val="both"/>
        <w:rPr>
          <w:rFonts w:ascii="Cambria" w:hAnsi="Cambria"/>
        </w:rPr>
      </w:pPr>
      <w:r>
        <w:rPr>
          <w:rFonts w:ascii="Cambria" w:hAnsi="Cambria"/>
        </w:rPr>
        <w:t xml:space="preserve">1) </w:t>
      </w:r>
      <w:r>
        <w:rPr>
          <w:rFonts w:ascii="Cambria" w:hAnsi="Cambria" w:cs="TimesNewRoman" w:eastAsiaTheme="minorHAnsi"/>
        </w:rPr>
        <w:t xml:space="preserve">je vršio neprimjeren uticaj u smislu člana 38 stav 2 tačka 1 </w:t>
      </w:r>
      <w:r>
        <w:rPr>
          <w:rFonts w:ascii="Cambria" w:hAnsi="Cambria"/>
        </w:rPr>
        <w:t>Zakona o javnim nabavkama</w:t>
      </w:r>
      <w:r>
        <w:rPr>
          <w:rFonts w:ascii="Cambria" w:hAnsi="Cambria" w:cs="TimesNewRoman" w:eastAsiaTheme="minorHAnsi"/>
        </w:rPr>
        <w:t>;</w:t>
      </w:r>
    </w:p>
    <w:p w14:paraId="4FEFCCC5">
      <w:pPr>
        <w:jc w:val="both"/>
        <w:rPr>
          <w:rFonts w:ascii="Cambria" w:hAnsi="Cambria"/>
        </w:rPr>
      </w:pPr>
      <w:r>
        <w:rPr>
          <w:rFonts w:ascii="Cambria" w:hAnsi="Cambria"/>
        </w:rPr>
        <w:t xml:space="preserve">2) postoji sukob interesa iz člana 41 stav 1 tačka 2 ili člana 42 </w:t>
      </w:r>
      <w:r>
        <w:rPr>
          <w:rFonts w:ascii="Cambria" w:hAnsi="Cambria" w:cs="TimesNewRoman" w:eastAsiaTheme="minorHAnsi"/>
        </w:rPr>
        <w:t>ovog zakona</w:t>
      </w:r>
      <w:r>
        <w:rPr>
          <w:rFonts w:ascii="Cambria" w:hAnsi="Cambria"/>
        </w:rPr>
        <w:t>;</w:t>
      </w:r>
    </w:p>
    <w:p w14:paraId="48B6E9AA">
      <w:pPr>
        <w:jc w:val="both"/>
        <w:rPr>
          <w:rFonts w:ascii="Cambria" w:hAnsi="Cambria"/>
        </w:rPr>
      </w:pPr>
      <w:r>
        <w:rPr>
          <w:rFonts w:ascii="Cambria" w:hAnsi="Cambria"/>
        </w:rPr>
        <w:t xml:space="preserve">3) ne ispunjava </w:t>
      </w:r>
      <w:r>
        <w:rPr>
          <w:rFonts w:ascii="Cambria" w:hAnsi="Cambria"/>
          <w:iCs/>
        </w:rPr>
        <w:t>obavezne uslove</w:t>
      </w:r>
      <w:r>
        <w:rPr>
          <w:rFonts w:ascii="Cambria" w:hAnsi="Cambria"/>
        </w:rPr>
        <w:t xml:space="preserve"> i </w:t>
      </w:r>
      <w:r>
        <w:rPr>
          <w:rFonts w:ascii="Cambria" w:hAnsi="Cambria"/>
          <w:iCs/>
        </w:rPr>
        <w:t>uslove sposobnosti privrednog subjekta</w:t>
      </w:r>
      <w:r>
        <w:rPr>
          <w:rFonts w:ascii="Cambria" w:hAnsi="Cambria"/>
        </w:rPr>
        <w:t xml:space="preserve"> predviđene tenderskom dokumentacijom;</w:t>
      </w:r>
    </w:p>
    <w:p w14:paraId="662A1CD2">
      <w:pPr>
        <w:autoSpaceDE w:val="0"/>
        <w:autoSpaceDN w:val="0"/>
        <w:adjustRightInd w:val="0"/>
        <w:jc w:val="both"/>
        <w:rPr>
          <w:rFonts w:ascii="Cambria" w:hAnsi="Cambria" w:cs="TimesNewRoman" w:eastAsiaTheme="minorHAnsi"/>
        </w:rPr>
      </w:pPr>
      <w:r>
        <w:rPr>
          <w:rFonts w:ascii="Cambria" w:hAnsi="Cambria"/>
        </w:rPr>
        <w:t xml:space="preserve">4) </w:t>
      </w:r>
      <w:r>
        <w:rPr>
          <w:rFonts w:ascii="Cambria" w:hAnsi="Cambria" w:cs="TimesNewRoman" w:eastAsiaTheme="minorHAnsi"/>
        </w:rPr>
        <w:t>nije dostavio izjavu privrednog subjekta ili dostavljena izjava ne sadrži informacije i podatke tražene tenderskom dokumentacijom ili je nepravilno sačinjena;</w:t>
      </w:r>
    </w:p>
    <w:p w14:paraId="75F5A909">
      <w:pPr>
        <w:autoSpaceDE w:val="0"/>
        <w:autoSpaceDN w:val="0"/>
        <w:adjustRightInd w:val="0"/>
        <w:rPr>
          <w:rFonts w:ascii="Cambria" w:hAnsi="Cambria" w:cs="TimesNewRoman" w:eastAsiaTheme="minorHAnsi"/>
        </w:rPr>
      </w:pPr>
      <w:r>
        <w:rPr>
          <w:rFonts w:ascii="Cambria" w:hAnsi="Cambria" w:cs="TimesNewRoman" w:eastAsiaTheme="minorHAnsi"/>
        </w:rPr>
        <w:t>5) postoji razlog na osnovu kojeg se smatra da je odustao od prijave, odnosno ponude, a koji je propisan članom 120 stav 15 ovog zakona;</w:t>
      </w:r>
    </w:p>
    <w:p w14:paraId="74A3FF03">
      <w:pPr>
        <w:autoSpaceDE w:val="0"/>
        <w:autoSpaceDN w:val="0"/>
        <w:adjustRightInd w:val="0"/>
        <w:jc w:val="both"/>
        <w:rPr>
          <w:rFonts w:ascii="Cambria" w:hAnsi="Cambria" w:cs="TimesNewRoman" w:eastAsiaTheme="minorHAnsi"/>
        </w:rPr>
      </w:pPr>
      <w:r>
        <w:rPr>
          <w:rFonts w:ascii="Cambria" w:hAnsi="Cambria" w:cs="TimesNewRoman" w:eastAsiaTheme="minorHAnsi"/>
        </w:rPr>
        <w:t>6)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41AF38F">
      <w:pPr>
        <w:jc w:val="both"/>
        <w:rPr>
          <w:rFonts w:ascii="Cambria" w:hAnsi="Cambria" w:cs="Arial"/>
        </w:rPr>
      </w:pPr>
      <w:r>
        <w:rPr>
          <w:rFonts w:ascii="Cambria" w:hAnsi="Cambria"/>
        </w:rPr>
        <w:t>7) postoji drugi razlog propisan ovim zakonom</w:t>
      </w:r>
      <w:r>
        <w:rPr>
          <w:rFonts w:ascii="Cambria" w:hAnsi="Cambria" w:cs="Arial"/>
        </w:rPr>
        <w:t>.</w:t>
      </w:r>
    </w:p>
    <w:p w14:paraId="513617DF">
      <w:pPr>
        <w:jc w:val="both"/>
        <w:rPr>
          <w:rFonts w:ascii="Cambria" w:hAnsi="Cambria" w:cs="Arial"/>
          <w:color w:val="000000"/>
          <w:lang w:val="sr-Latn-ME"/>
        </w:rPr>
      </w:pPr>
    </w:p>
    <w:p w14:paraId="3E4FC1B5">
      <w:pPr>
        <w:jc w:val="both"/>
        <w:rPr>
          <w:rFonts w:ascii="Cambria" w:hAnsi="Cambria" w:cs="Arial"/>
          <w:color w:val="000000"/>
        </w:rPr>
      </w:pPr>
    </w:p>
    <w:p w14:paraId="4C97D6D4">
      <w:pPr>
        <w:pBdr>
          <w:top w:val="single" w:color="auto" w:sz="4" w:space="1"/>
          <w:left w:val="single" w:color="auto" w:sz="4" w:space="4"/>
          <w:bottom w:val="single" w:color="auto" w:sz="4" w:space="1"/>
          <w:right w:val="single" w:color="auto" w:sz="4" w:space="4"/>
        </w:pBdr>
        <w:shd w:val="clear" w:color="auto" w:fill="D9D9D9"/>
        <w:jc w:val="both"/>
        <w:rPr>
          <w:rFonts w:ascii="Cambria" w:hAnsi="Cambria" w:cs="Arial"/>
          <w:b/>
          <w:bCs/>
          <w:color w:val="000000"/>
        </w:rPr>
      </w:pPr>
      <w:r>
        <w:rPr>
          <w:rFonts w:ascii="Cambria" w:hAnsi="Cambria" w:cs="Arial"/>
          <w:b/>
          <w:bCs/>
          <w:color w:val="000000"/>
        </w:rPr>
        <w:t>SREDSTVA FINANSIJSKOG OBEZBJEĐENJA UGOVORA O JAVNOJ NABAVCI</w:t>
      </w:r>
    </w:p>
    <w:p w14:paraId="0AFD2D36">
      <w:pPr>
        <w:jc w:val="both"/>
        <w:rPr>
          <w:rFonts w:ascii="Cambria" w:hAnsi="Cambria" w:cs="Arial"/>
          <w:color w:val="000000"/>
        </w:rPr>
      </w:pPr>
    </w:p>
    <w:p w14:paraId="4A14E79B">
      <w:pPr>
        <w:jc w:val="both"/>
        <w:rPr>
          <w:rFonts w:ascii="Cambria" w:hAnsi="Cambria"/>
          <w:color w:val="000000"/>
        </w:rPr>
      </w:pPr>
    </w:p>
    <w:p w14:paraId="6A528376">
      <w:pPr>
        <w:rPr>
          <w:rFonts w:ascii="Cambria" w:hAnsi="Cambria"/>
          <w:color w:val="000000"/>
        </w:rPr>
      </w:pPr>
      <w:r>
        <w:rPr>
          <w:rFonts w:ascii="Cambria" w:hAnsi="Cambria"/>
          <w:color w:val="000000"/>
        </w:rPr>
        <w:t>Ponuđač čija ponuda bude izabrana kao najpovoljnija je dužan da uz potpisan ugovor o javnoj nabavci dostavi naručiocu:</w:t>
      </w:r>
    </w:p>
    <w:p w14:paraId="7DEA9DDA">
      <w:pPr>
        <w:rPr>
          <w:rFonts w:ascii="Cambria" w:hAnsi="Cambria"/>
          <w:color w:val="000000"/>
        </w:rPr>
      </w:pPr>
    </w:p>
    <w:p w14:paraId="6813FC04">
      <w:pPr>
        <w:jc w:val="both"/>
        <w:rPr>
          <w:rFonts w:ascii="Cambria" w:hAnsi="Cambria"/>
          <w:color w:val="000000"/>
        </w:rPr>
      </w:pPr>
      <w:r>
        <w:rPr>
          <w:rFonts w:ascii="Cambria" w:hAnsi="Cambria" w:eastAsiaTheme="minorHAnsi"/>
          <w:color w:val="000000"/>
          <w:lang w:val="en-GB"/>
        </w:rPr>
        <w:sym w:font="Wingdings" w:char="F078"/>
      </w:r>
      <w:r>
        <w:rPr>
          <w:rFonts w:ascii="Cambria" w:hAnsi="Cambria"/>
          <w:color w:val="000000"/>
        </w:rPr>
        <w:t xml:space="preserve">garanciju, neopozivu i bezuslovno plativu na prvi poziv za dobro izvršenje ugovora, za slučaj povrede ugovorenih obaveza u iznosu od 10 % od vrijednosti ugovora. Garancija za dobro izvršenje ugovora treba da važi sedam dana duže od ponuđenog roka izvršenja ugovora. </w:t>
      </w:r>
    </w:p>
    <w:p w14:paraId="7790B096">
      <w:pPr>
        <w:jc w:val="both"/>
        <w:rPr>
          <w:rFonts w:ascii="Cambria" w:hAnsi="Cambria"/>
          <w:color w:val="000000"/>
        </w:rPr>
      </w:pPr>
      <w:r>
        <w:rPr>
          <w:rFonts w:ascii="Cambria" w:hAnsi="Cambria"/>
          <w:color w:val="000000"/>
        </w:rPr>
        <w:t>U slučaju prekoračenja roka iz prethodnog stava, Dobavljač je dužan da, na zahtjev naručioca, prije isteka roka važenja, produži garanciju za dobro izvršenje ugovora.</w:t>
      </w:r>
    </w:p>
    <w:p w14:paraId="15DEC8C1">
      <w:pPr>
        <w:keepNext/>
        <w:keepLines/>
        <w:pBdr>
          <w:top w:val="single" w:color="auto" w:sz="4" w:space="1"/>
          <w:left w:val="single" w:color="auto" w:sz="4" w:space="4"/>
          <w:bottom w:val="single" w:color="auto" w:sz="4" w:space="1"/>
          <w:right w:val="single" w:color="auto" w:sz="4" w:space="4"/>
        </w:pBdr>
        <w:shd w:val="clear" w:color="auto" w:fill="D9D9D9"/>
        <w:spacing w:before="240"/>
        <w:outlineLvl w:val="0"/>
        <w:rPr>
          <w:rFonts w:ascii="Cambria" w:hAnsi="Cambria"/>
          <w:b/>
          <w:color w:val="000000"/>
          <w:szCs w:val="32"/>
          <w:lang w:val="sr-Latn-ME"/>
        </w:rPr>
      </w:pPr>
      <w:r>
        <w:rPr>
          <w:rFonts w:ascii="Cambria" w:hAnsi="Cambria"/>
          <w:b/>
          <w:szCs w:val="32"/>
          <w:lang w:val="sr-Latn-ME"/>
        </w:rPr>
        <w:t>METODOLOGIJA VREDNOVANJA PONUDA</w:t>
      </w:r>
    </w:p>
    <w:p w14:paraId="2127DB49">
      <w:pPr>
        <w:jc w:val="both"/>
        <w:rPr>
          <w:rFonts w:ascii="Cambria" w:hAnsi="Cambria" w:cs="Arial"/>
          <w:color w:val="000000"/>
        </w:rPr>
      </w:pPr>
    </w:p>
    <w:p w14:paraId="2C065218">
      <w:pPr>
        <w:rPr>
          <w:rFonts w:ascii="Cambria" w:hAnsi="Cambria"/>
          <w:b/>
        </w:rPr>
      </w:pPr>
    </w:p>
    <w:p w14:paraId="3E415AEB">
      <w:pPr>
        <w:jc w:val="both"/>
      </w:pPr>
      <w:r>
        <w:t xml:space="preserve">Naručilac će u postupku javne nabavki izabrati ekonomski najpovoljniju ponudu, po osnovu kriterijuma: </w:t>
      </w:r>
    </w:p>
    <w:p w14:paraId="1AD407D1">
      <w:pPr>
        <w:jc w:val="both"/>
      </w:pPr>
    </w:p>
    <w:p w14:paraId="4CB47773">
      <w:pPr>
        <w:numPr>
          <w:ilvl w:val="0"/>
          <w:numId w:val="6"/>
        </w:numPr>
        <w:rPr>
          <w:b/>
        </w:rPr>
      </w:pPr>
      <w:r>
        <w:rPr>
          <w:b/>
        </w:rPr>
        <w:t>Odnos cijene i kvaliteta</w:t>
      </w:r>
    </w:p>
    <w:p w14:paraId="4C8C4A75">
      <w:pPr>
        <w:numPr>
          <w:ilvl w:val="0"/>
          <w:numId w:val="7"/>
        </w:numPr>
        <w:rPr>
          <w:b/>
        </w:rPr>
      </w:pPr>
      <w:r>
        <w:rPr>
          <w:b/>
        </w:rPr>
        <w:t>Parametar cijena ………………………………</w:t>
      </w:r>
      <w:r>
        <w:rPr>
          <w:rFonts w:hint="default"/>
          <w:b/>
          <w:lang w:val="sr-Latn-ME"/>
        </w:rPr>
        <w:t>8</w:t>
      </w:r>
      <w:r>
        <w:rPr>
          <w:b/>
        </w:rPr>
        <w:t>0 bodova</w:t>
      </w:r>
    </w:p>
    <w:p w14:paraId="7FD5A6F7">
      <w:pPr>
        <w:numPr>
          <w:ilvl w:val="0"/>
          <w:numId w:val="7"/>
        </w:numPr>
        <w:rPr>
          <w:b/>
        </w:rPr>
      </w:pPr>
      <w:r>
        <w:rPr>
          <w:b/>
        </w:rPr>
        <w:t>Parametar kvalitet – rok isporuke…………….</w:t>
      </w:r>
      <w:r>
        <w:rPr>
          <w:rFonts w:hint="default"/>
          <w:b/>
          <w:lang w:val="sr-Latn-ME"/>
        </w:rPr>
        <w:t>2</w:t>
      </w:r>
      <w:r>
        <w:rPr>
          <w:b/>
        </w:rPr>
        <w:t>0 bodova</w:t>
      </w:r>
    </w:p>
    <w:p w14:paraId="43BDB93A"/>
    <w:p w14:paraId="7E518906">
      <w:pPr>
        <w:pBdr>
          <w:top w:val="single" w:color="auto" w:sz="4" w:space="1"/>
          <w:left w:val="single" w:color="auto" w:sz="4" w:space="4"/>
          <w:bottom w:val="single" w:color="auto" w:sz="4" w:space="1"/>
          <w:right w:val="single" w:color="auto" w:sz="4" w:space="4"/>
        </w:pBdr>
        <w:jc w:val="both"/>
        <w:rPr>
          <w:i/>
          <w:color w:val="000000"/>
        </w:rPr>
      </w:pPr>
    </w:p>
    <w:p w14:paraId="6B4FF6CB">
      <w:pPr>
        <w:pBdr>
          <w:top w:val="single" w:color="auto" w:sz="4" w:space="1"/>
          <w:left w:val="single" w:color="auto" w:sz="4" w:space="4"/>
          <w:bottom w:val="single" w:color="auto" w:sz="4" w:space="1"/>
          <w:right w:val="single" w:color="auto" w:sz="4" w:space="4"/>
        </w:pBdr>
        <w:jc w:val="both"/>
        <w:rPr>
          <w:i/>
          <w:color w:val="000000"/>
        </w:rPr>
      </w:pPr>
      <w:r>
        <w:rPr>
          <w:i/>
          <w:color w:val="000000"/>
        </w:rPr>
        <w:t>Broj bodova po osnovu vrednovanja cijene:</w:t>
      </w:r>
    </w:p>
    <w:p w14:paraId="44789CCA">
      <w:pPr>
        <w:pBdr>
          <w:top w:val="single" w:color="auto" w:sz="4" w:space="1"/>
          <w:left w:val="single" w:color="auto" w:sz="4" w:space="4"/>
          <w:bottom w:val="single" w:color="auto" w:sz="4" w:space="1"/>
          <w:right w:val="single" w:color="auto" w:sz="4" w:space="4"/>
        </w:pBdr>
        <w:jc w:val="both"/>
        <w:rPr>
          <w:i/>
          <w:color w:val="000000"/>
        </w:rPr>
      </w:pPr>
      <w:r>
        <w:rPr>
          <w:i/>
          <w:color w:val="000000"/>
        </w:rPr>
        <w:t xml:space="preserve">Najniža ponuđena cijena = </w:t>
      </w:r>
      <w:r>
        <w:rPr>
          <w:i/>
          <w:color w:val="000000"/>
          <w:lang w:val="sr-Latn-ME"/>
        </w:rPr>
        <w:t>8</w:t>
      </w:r>
      <w:r>
        <w:rPr>
          <w:i/>
          <w:color w:val="000000"/>
        </w:rPr>
        <w:t>0 bodova</w:t>
      </w:r>
    </w:p>
    <w:p w14:paraId="58D70A51">
      <w:pPr>
        <w:pBdr>
          <w:top w:val="single" w:color="auto" w:sz="4" w:space="1"/>
          <w:left w:val="single" w:color="auto" w:sz="4" w:space="4"/>
          <w:bottom w:val="single" w:color="auto" w:sz="4" w:space="1"/>
          <w:right w:val="single" w:color="auto" w:sz="4" w:space="4"/>
        </w:pBdr>
        <w:jc w:val="both"/>
        <w:rPr>
          <w:i/>
          <w:color w:val="000000"/>
        </w:rPr>
      </w:pPr>
      <w:r>
        <w:rPr>
          <w:i/>
          <w:color w:val="000000"/>
        </w:rPr>
        <w:t xml:space="preserve">Broj bodova za ponuđenu cijenu konkretnog ponuđača = najniža ponuđena cijena / ponuđena cijena konkretnog ponuđača x </w:t>
      </w:r>
      <w:r>
        <w:rPr>
          <w:i/>
          <w:color w:val="000000"/>
          <w:lang w:val="sr-Latn-ME"/>
        </w:rPr>
        <w:t>8</w:t>
      </w:r>
      <w:r>
        <w:rPr>
          <w:i/>
          <w:color w:val="000000"/>
        </w:rPr>
        <w:t>0</w:t>
      </w:r>
    </w:p>
    <w:p w14:paraId="3ED64EE9">
      <w:pPr>
        <w:pBdr>
          <w:top w:val="single" w:color="auto" w:sz="4" w:space="1"/>
          <w:left w:val="single" w:color="auto" w:sz="4" w:space="4"/>
          <w:bottom w:val="single" w:color="auto" w:sz="4" w:space="1"/>
          <w:right w:val="single" w:color="auto" w:sz="4" w:space="4"/>
        </w:pBdr>
        <w:jc w:val="both"/>
        <w:rPr>
          <w:i/>
          <w:color w:val="000000"/>
        </w:rPr>
      </w:pPr>
      <w:r>
        <w:rPr>
          <w:i/>
          <w:color w:val="000000"/>
        </w:rPr>
        <w:t xml:space="preserve">Broj bodova po osnovu vrednovanja roka kao mjerila kvaliteta: </w:t>
      </w:r>
    </w:p>
    <w:p w14:paraId="37B58B42">
      <w:pPr>
        <w:pBdr>
          <w:top w:val="single" w:color="auto" w:sz="4" w:space="1"/>
          <w:left w:val="single" w:color="auto" w:sz="4" w:space="4"/>
          <w:bottom w:val="single" w:color="auto" w:sz="4" w:space="1"/>
          <w:right w:val="single" w:color="auto" w:sz="4" w:space="4"/>
        </w:pBdr>
        <w:jc w:val="both"/>
        <w:rPr>
          <w:i/>
          <w:color w:val="000000"/>
        </w:rPr>
      </w:pPr>
    </w:p>
    <w:p w14:paraId="1104DE2D">
      <w:pPr>
        <w:pBdr>
          <w:top w:val="single" w:color="auto" w:sz="4" w:space="1"/>
          <w:left w:val="single" w:color="auto" w:sz="4" w:space="4"/>
          <w:bottom w:val="single" w:color="auto" w:sz="4" w:space="1"/>
          <w:right w:val="single" w:color="auto" w:sz="4" w:space="4"/>
        </w:pBdr>
        <w:jc w:val="both"/>
        <w:rPr>
          <w:i/>
          <w:color w:val="000000"/>
        </w:rPr>
      </w:pPr>
      <w:r>
        <w:rPr>
          <w:i/>
          <w:color w:val="000000"/>
        </w:rPr>
        <w:t>Parametar kvalitet (K) vrednovaće se na sljedeći način: 20 bodova za izbor najpovoljnije ponude primjenom parametra kvalitet, kao osnova za vrednovanje uzima se ponuđeni rok isporuke predmetne robe, što se dokazuje izjavom ponuđača sa navedenim rokom isporuke (u danima). Ponuđač sa najkraćim ponuđenim rokom isporuke predmetne robe dobija maksimalni broj bodova u skladu sa ovim parametrom, a drugi ponuđači dobijaju proporcionalno manji broj bodova po formuli: Broj bodova(K)= (najkraći ponuđeni rok isporuke/ponuđeni rok isporuke x20 Napomena: Rok izvršenja Ugovora je maksimum 60 dana od dana zaključivanja Ugovora. Ponuđač je dužan dostaviti izjavu sa tačno navedenim rokom isporuke predmetne robe (u danima), koji ne može biti duži od 60 dana od dana zaključivanja Ugovora.</w:t>
      </w:r>
    </w:p>
    <w:p w14:paraId="34F1F26A">
      <w:pPr>
        <w:pBdr>
          <w:top w:val="single" w:color="auto" w:sz="4" w:space="1"/>
          <w:left w:val="single" w:color="auto" w:sz="4" w:space="4"/>
          <w:bottom w:val="single" w:color="auto" w:sz="4" w:space="1"/>
          <w:right w:val="single" w:color="auto" w:sz="4" w:space="4"/>
        </w:pBdr>
        <w:jc w:val="both"/>
        <w:rPr>
          <w:i/>
          <w:color w:val="000000"/>
        </w:rPr>
      </w:pPr>
    </w:p>
    <w:p w14:paraId="74AD8490">
      <w:pPr>
        <w:pBdr>
          <w:top w:val="single" w:color="auto" w:sz="4" w:space="1"/>
          <w:left w:val="single" w:color="auto" w:sz="4" w:space="4"/>
          <w:bottom w:val="single" w:color="auto" w:sz="4" w:space="1"/>
          <w:right w:val="single" w:color="auto" w:sz="4" w:space="4"/>
        </w:pBdr>
        <w:jc w:val="both"/>
        <w:rPr>
          <w:rFonts w:ascii="sans-serif" w:hAnsi="sans-serif" w:eastAsia="sans-serif" w:cs="sans-serif"/>
          <w:color w:val="666666"/>
          <w:sz w:val="14"/>
          <w:szCs w:val="14"/>
          <w:shd w:val="clear" w:color="auto" w:fill="E8E8E8"/>
        </w:rPr>
      </w:pPr>
    </w:p>
    <w:p w14:paraId="2792ADD6">
      <w:pPr>
        <w:pBdr>
          <w:top w:val="single" w:color="auto" w:sz="4" w:space="1"/>
          <w:left w:val="single" w:color="auto" w:sz="4" w:space="4"/>
          <w:bottom w:val="single" w:color="auto" w:sz="4" w:space="1"/>
          <w:right w:val="single" w:color="auto" w:sz="4" w:space="4"/>
        </w:pBdr>
        <w:jc w:val="both"/>
        <w:rPr>
          <w:b/>
          <w:i/>
          <w:color w:val="000000"/>
        </w:rPr>
      </w:pPr>
      <w:r>
        <w:rPr>
          <w:b/>
          <w:i/>
          <w:color w:val="000000"/>
        </w:rPr>
        <w:t>Odnos cijene i kvaliteta = Cijena + Kvalitet</w:t>
      </w:r>
    </w:p>
    <w:p w14:paraId="143B376F">
      <w:pPr>
        <w:rPr>
          <w:rFonts w:ascii="Cambria" w:hAnsi="Cambria"/>
          <w:color w:val="000000" w:themeColor="text1"/>
          <w14:textFill>
            <w14:solidFill>
              <w14:schemeClr w14:val="tx1"/>
            </w14:solidFill>
          </w14:textFill>
        </w:rPr>
      </w:pPr>
    </w:p>
    <w:p w14:paraId="4FF9A1A8">
      <w:pPr>
        <w:jc w:val="both"/>
        <w:rPr>
          <w:rFonts w:ascii="Cambria" w:hAnsi="Cambria" w:cs="Arial"/>
          <w:color w:val="000000"/>
        </w:rPr>
      </w:pPr>
    </w:p>
    <w:p w14:paraId="1ADA6890">
      <w:pPr>
        <w:jc w:val="both"/>
        <w:rPr>
          <w:rFonts w:ascii="Cambria" w:hAnsi="Cambria" w:cs="Arial"/>
          <w:color w:val="000000"/>
        </w:rPr>
      </w:pPr>
    </w:p>
    <w:p w14:paraId="1E9D22B5">
      <w:pPr>
        <w:jc w:val="both"/>
        <w:rPr>
          <w:rFonts w:ascii="Cambria" w:hAnsi="Cambria" w:cs="Arial"/>
          <w:color w:val="000000"/>
        </w:rPr>
      </w:pPr>
    </w:p>
    <w:p w14:paraId="19256CB8">
      <w:pPr>
        <w:pBdr>
          <w:top w:val="single" w:color="auto" w:sz="4" w:space="1"/>
          <w:left w:val="single" w:color="auto" w:sz="4" w:space="4"/>
          <w:bottom w:val="single" w:color="auto" w:sz="4" w:space="1"/>
          <w:right w:val="single" w:color="auto" w:sz="4" w:space="4"/>
        </w:pBdr>
        <w:shd w:val="clear" w:color="auto" w:fill="D9D9D9"/>
        <w:rPr>
          <w:rFonts w:ascii="Cambria" w:hAnsi="Cambria" w:cs="Arial"/>
          <w:b/>
        </w:rPr>
      </w:pPr>
      <w:r>
        <w:rPr>
          <w:rFonts w:ascii="Cambria" w:hAnsi="Cambria" w:cs="Arial"/>
          <w:b/>
        </w:rPr>
        <w:t>JEZIK PONUDE</w:t>
      </w:r>
    </w:p>
    <w:p w14:paraId="2E7CBD8D">
      <w:pPr>
        <w:jc w:val="both"/>
        <w:rPr>
          <w:rFonts w:ascii="Cambria" w:hAnsi="Cambria" w:cs="Arial"/>
          <w:b/>
          <w:bCs/>
          <w:color w:val="000000"/>
        </w:rPr>
      </w:pPr>
    </w:p>
    <w:p w14:paraId="38E1AA28">
      <w:pPr>
        <w:jc w:val="both"/>
        <w:rPr>
          <w:rFonts w:ascii="Cambria" w:hAnsi="Cambria"/>
          <w:color w:val="000000"/>
        </w:rPr>
      </w:pPr>
      <w:r>
        <w:rPr>
          <w:rFonts w:ascii="Cambria" w:hAnsi="Cambria"/>
          <w:color w:val="000000"/>
        </w:rPr>
        <w:t>Ponuda se sačinjava na:</w:t>
      </w:r>
    </w:p>
    <w:p w14:paraId="00F81417">
      <w:pPr>
        <w:jc w:val="both"/>
        <w:rPr>
          <w:rFonts w:ascii="Cambria" w:hAnsi="Cambria"/>
          <w:color w:val="000000"/>
        </w:rPr>
      </w:pPr>
    </w:p>
    <w:p w14:paraId="7FB27EB3">
      <w:pPr>
        <w:jc w:val="both"/>
        <w:rPr>
          <w:rFonts w:hint="default" w:ascii="Cambria" w:hAnsi="Cambria"/>
          <w:color w:val="000000"/>
          <w:lang w:val="sr-Latn-ME"/>
        </w:rPr>
      </w:pPr>
      <w:r>
        <w:rPr>
          <w:rFonts w:ascii="Cambria" w:hAnsi="Cambria"/>
          <w:color w:val="000000"/>
        </w:rPr>
        <w:t>• crnogorski jezik i drugi jezik koji je u službenoj upotrebi u Crnoj Gori, u skladu sa Ustavom</w:t>
      </w:r>
      <w:r>
        <w:rPr>
          <w:rFonts w:hint="default" w:ascii="Cambria" w:hAnsi="Cambria"/>
          <w:color w:val="000000"/>
          <w:lang w:val="sr-Latn-ME"/>
        </w:rPr>
        <w:t>.</w:t>
      </w:r>
    </w:p>
    <w:p w14:paraId="4E8F45F7">
      <w:pPr>
        <w:jc w:val="both"/>
        <w:rPr>
          <w:rFonts w:hint="default" w:ascii="Cambria" w:hAnsi="Cambria"/>
          <w:color w:val="000000"/>
          <w:lang w:val="sr-Latn-ME"/>
        </w:rPr>
      </w:pPr>
    </w:p>
    <w:p w14:paraId="1E2B3C36">
      <w:pPr>
        <w:jc w:val="both"/>
        <w:rPr>
          <w:rFonts w:hint="default" w:ascii="Cambria" w:hAnsi="Cambria"/>
          <w:color w:val="000000"/>
          <w:lang w:val="sr-Latn-ME"/>
        </w:rPr>
      </w:pPr>
      <w:bookmarkStart w:id="0" w:name="_GoBack"/>
      <w:bookmarkEnd w:id="0"/>
      <w:r>
        <w:rPr>
          <w:rFonts w:hint="default" w:ascii="Cambria" w:hAnsi="Cambria"/>
          <w:color w:val="000000"/>
          <w:lang w:val="sr-Latn-ME"/>
        </w:rPr>
        <w:t>Engleski jezik za djelove tehničke specifikacije koji su navedeni na engleskom jeziku.</w:t>
      </w:r>
    </w:p>
    <w:p w14:paraId="56CF9C02">
      <w:pPr>
        <w:jc w:val="both"/>
        <w:rPr>
          <w:rFonts w:ascii="Cambria" w:hAnsi="Cambria" w:cs="Arial"/>
          <w:b/>
          <w:bCs/>
          <w:color w:val="000000"/>
        </w:rPr>
      </w:pPr>
    </w:p>
    <w:p w14:paraId="5BE18D1A">
      <w:pPr>
        <w:keepNext/>
        <w:keepLines/>
        <w:pBdr>
          <w:top w:val="single" w:color="auto" w:sz="4" w:space="1"/>
          <w:left w:val="single" w:color="auto" w:sz="4" w:space="4"/>
          <w:bottom w:val="single" w:color="auto" w:sz="4" w:space="1"/>
          <w:right w:val="single" w:color="auto" w:sz="4" w:space="4"/>
        </w:pBdr>
        <w:shd w:val="clear" w:color="auto" w:fill="D9D9D9"/>
        <w:spacing w:before="240"/>
        <w:outlineLvl w:val="0"/>
        <w:rPr>
          <w:rFonts w:ascii="Cambria" w:hAnsi="Cambria"/>
          <w:b/>
          <w:szCs w:val="32"/>
          <w:lang w:val="sr-Latn-ME"/>
        </w:rPr>
      </w:pPr>
      <w:r>
        <w:rPr>
          <w:rFonts w:ascii="Cambria" w:hAnsi="Cambria"/>
          <w:b/>
          <w:szCs w:val="32"/>
          <w:lang w:val="sr-Latn-ME"/>
        </w:rPr>
        <w:t>NAČIN, MJESTO I VRIJEME PODNOŠENJA PONUDA I OTVARANJA PONUDA</w:t>
      </w:r>
    </w:p>
    <w:p w14:paraId="44DE8C65">
      <w:pPr>
        <w:jc w:val="both"/>
        <w:rPr>
          <w:rFonts w:ascii="Cambria" w:hAnsi="Cambria" w:cs="Arial"/>
          <w:color w:val="000000"/>
          <w:lang w:val="sr-Latn-ME"/>
        </w:rPr>
      </w:pPr>
    </w:p>
    <w:p w14:paraId="241F4B1E">
      <w:pPr>
        <w:jc w:val="both"/>
        <w:rPr>
          <w:color w:val="FF0000"/>
          <w:lang w:val="sr-Latn-ME"/>
        </w:rPr>
      </w:pPr>
      <w:r>
        <w:rPr>
          <w:color w:val="000000"/>
          <w:lang w:val="sr-Latn-ME"/>
        </w:rPr>
        <w:t xml:space="preserve">Ponude se podnose preko ESJN-a zaključno sa </w:t>
      </w:r>
      <w:r>
        <w:rPr>
          <w:lang w:val="sr-Latn-ME"/>
        </w:rPr>
        <w:t>danom  02.10.2025. godine do 09 sati.</w:t>
      </w:r>
    </w:p>
    <w:p w14:paraId="1107BFAA">
      <w:pPr>
        <w:jc w:val="both"/>
        <w:rPr>
          <w:color w:val="FF0000"/>
          <w:lang w:val="sr-Latn-ME"/>
        </w:rPr>
      </w:pPr>
    </w:p>
    <w:p w14:paraId="3B862A33">
      <w:pPr>
        <w:jc w:val="both"/>
        <w:rPr>
          <w:color w:val="000000"/>
          <w:lang w:val="sr-Latn-ME"/>
        </w:rPr>
      </w:pPr>
      <w:r>
        <w:rPr>
          <w:color w:val="000000"/>
          <w:lang w:val="sr-Latn-ME"/>
        </w:rPr>
        <w:t>Izjva privrednog subjekta i garancija banke podnose se u elektronskom obliku putem ESJN .</w:t>
      </w:r>
    </w:p>
    <w:p w14:paraId="7D4ED3BA">
      <w:pPr>
        <w:jc w:val="both"/>
        <w:rPr>
          <w:color w:val="000000"/>
          <w:lang w:val="sr-Latn-ME"/>
        </w:rPr>
      </w:pPr>
    </w:p>
    <w:p w14:paraId="130B67D2">
      <w:pPr>
        <w:jc w:val="both"/>
        <w:rPr>
          <w:color w:val="000000"/>
          <w:lang w:val="sr-Latn-ME"/>
        </w:rPr>
      </w:pPr>
      <w:r>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11CD24BD">
      <w:pPr>
        <w:jc w:val="both"/>
        <w:rPr>
          <w:color w:val="000000"/>
          <w:lang w:val="sr-Latn-ME"/>
        </w:rPr>
      </w:pPr>
    </w:p>
    <w:p w14:paraId="0389F461">
      <w:pPr>
        <w:jc w:val="both"/>
        <w:rPr>
          <w:color w:val="000000"/>
          <w:lang w:val="sr-Latn-ME"/>
        </w:rPr>
      </w:pPr>
      <w:r>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32CEF3D7">
      <w:pPr>
        <w:jc w:val="both"/>
        <w:rPr>
          <w:color w:val="000000"/>
          <w:lang w:val="sr-Latn-ME"/>
        </w:rPr>
      </w:pPr>
    </w:p>
    <w:p w14:paraId="2264306B">
      <w:pPr>
        <w:jc w:val="both"/>
        <w:rPr>
          <w:color w:val="000000"/>
          <w:lang w:val="sr-Latn-ME"/>
        </w:rPr>
      </w:pPr>
      <w:r>
        <w:rPr>
          <w:color w:val="000000"/>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14:paraId="0CE04ECC">
      <w:pPr>
        <w:jc w:val="both"/>
        <w:rPr>
          <w:color w:val="000000"/>
          <w:lang w:val="sr-Latn-ME"/>
        </w:rPr>
      </w:pPr>
      <w:r>
        <w:rPr>
          <w:color w:val="000000"/>
          <w:lang w:val="sr-Latn-ME"/>
        </w:rPr>
        <w:t>ESJN ć izvršiti automatsko otvaranje ponuda istovremeno sa istekom roka za dostavljanje ponuda iz prethodnog stava, generisati zapisnik o otvaranju ponuda i izvršiti njegovu automatsku dostavu svim ponuđačima koji su podnijeli ponude.</w:t>
      </w:r>
    </w:p>
    <w:p w14:paraId="55EC3E66">
      <w:pPr>
        <w:jc w:val="both"/>
        <w:rPr>
          <w:color w:val="000000"/>
          <w:lang w:val="sr-Latn-ME"/>
        </w:rPr>
      </w:pPr>
    </w:p>
    <w:p w14:paraId="784C8C05">
      <w:pPr>
        <w:jc w:val="both"/>
        <w:rPr>
          <w:color w:val="000000"/>
          <w:lang w:val="sr-Latn-ME"/>
        </w:rPr>
      </w:pPr>
      <w:r>
        <w:rPr>
          <w:color w:val="000000"/>
          <w:lang w:val="sr-Latn-ME"/>
        </w:rPr>
        <w:t>O dostavljanju garancije ponude, naručilac će sačiniti potvrdu i uz zapisnik o otvaranju o otvaranju ponuda priložiti kao skeniranu kopiju u ESJN, istog dana kada je izvršeno otvaranje ponuda.</w:t>
      </w:r>
    </w:p>
    <w:p w14:paraId="49C664C1">
      <w:pPr>
        <w:jc w:val="both"/>
        <w:rPr>
          <w:color w:val="000000"/>
          <w:lang w:val="sr-Latn-ME"/>
        </w:rPr>
      </w:pPr>
    </w:p>
    <w:p w14:paraId="5E976CCC">
      <w:pPr>
        <w:jc w:val="both"/>
        <w:rPr>
          <w:color w:val="000000"/>
          <w:lang w:val="sr-Latn-ME"/>
        </w:rPr>
      </w:pPr>
      <w:r>
        <w:rPr>
          <w:color w:val="000000"/>
          <w:lang w:val="sr-Latn-ME"/>
        </w:rPr>
        <w:sym w:font="Wingdings" w:char="F0A8"/>
      </w:r>
      <w:r>
        <w:rPr>
          <w:color w:val="000000"/>
          <w:lang w:val="sr-Latn-ME"/>
        </w:rPr>
        <w:t xml:space="preserve"> Original garancije ponude u pisanom obliku dostavlja se: </w:t>
      </w:r>
    </w:p>
    <w:p w14:paraId="5202C9C6">
      <w:pPr>
        <w:jc w:val="both"/>
        <w:rPr>
          <w:color w:val="000000"/>
          <w:lang w:val="sr-Latn-ME"/>
        </w:rPr>
      </w:pPr>
    </w:p>
    <w:p w14:paraId="59D47AA1">
      <w:pPr>
        <w:jc w:val="both"/>
        <w:rPr>
          <w:rFonts w:ascii="Cambria" w:hAnsi="Cambria"/>
          <w:color w:val="000000"/>
        </w:rPr>
      </w:pPr>
      <w:r>
        <w:rPr>
          <w:rFonts w:ascii="Cambria" w:hAnsi="Cambria"/>
          <w:color w:val="000000"/>
        </w:rPr>
        <w:t xml:space="preserve">• neposrednom predajom na arhivi naručioca na adresi Naručioca, </w:t>
      </w:r>
      <w:r>
        <w:rPr>
          <w:rFonts w:ascii="Cambria" w:hAnsi="Cambria"/>
          <w:color w:val="000000"/>
          <w:lang w:val="sr-Latn-ME"/>
        </w:rPr>
        <w:t>Komisija za tržište kapitala,Kralja Nikole 27A/III , 8100 Podgorica.</w:t>
      </w:r>
    </w:p>
    <w:p w14:paraId="3FC5B5B4">
      <w:pPr>
        <w:jc w:val="both"/>
        <w:rPr>
          <w:rFonts w:ascii="Cambria" w:hAnsi="Cambria"/>
          <w:color w:val="000000"/>
        </w:rPr>
      </w:pPr>
      <w:r>
        <w:rPr>
          <w:rFonts w:ascii="Cambria" w:hAnsi="Cambria"/>
          <w:color w:val="000000"/>
        </w:rPr>
        <w:t xml:space="preserve"> </w:t>
      </w:r>
    </w:p>
    <w:p w14:paraId="66E69CC8">
      <w:pPr>
        <w:jc w:val="both"/>
        <w:rPr>
          <w:color w:val="000000"/>
          <w:lang w:val="sr-Latn-ME"/>
        </w:rPr>
      </w:pPr>
      <w:r>
        <w:rPr>
          <w:rFonts w:ascii="Cambria" w:hAnsi="Cambria"/>
          <w:color w:val="000000"/>
        </w:rPr>
        <w:t xml:space="preserve">• preporučenom pošiljkom sa povratnicom na adresi </w:t>
      </w:r>
      <w:r>
        <w:rPr>
          <w:rFonts w:ascii="Cambria" w:hAnsi="Cambria"/>
          <w:color w:val="000000"/>
          <w:lang w:val="sr-Latn-ME"/>
        </w:rPr>
        <w:t>Komisija za tržište kapitala,Kralja Nikole 27A/III , 8100 Podgorica.</w:t>
      </w:r>
    </w:p>
    <w:p w14:paraId="07B95D1C">
      <w:pPr>
        <w:spacing w:before="96"/>
        <w:ind w:left="720"/>
        <w:jc w:val="both"/>
        <w:rPr>
          <w:b/>
          <w:color w:val="000000"/>
        </w:rPr>
      </w:pPr>
    </w:p>
    <w:p w14:paraId="192AA09E">
      <w:pPr>
        <w:spacing w:before="96"/>
        <w:ind w:left="720"/>
        <w:jc w:val="both"/>
        <w:rPr>
          <w:b/>
          <w:color w:val="000000"/>
        </w:rPr>
      </w:pPr>
    </w:p>
    <w:p w14:paraId="5E363ED7">
      <w:pPr>
        <w:jc w:val="both"/>
        <w:rPr>
          <w:lang w:val="sr-Latn-ME"/>
        </w:rPr>
      </w:pPr>
      <w:r>
        <w:rPr>
          <w:lang w:val="sr-Latn-ME"/>
        </w:rPr>
        <w:t>radnim danima od 09.00 do 14.00 sati, zaključno sa danom 02.10.2025. godine do 09 sati.</w:t>
      </w:r>
    </w:p>
    <w:p w14:paraId="629CDFA7">
      <w:pPr>
        <w:jc w:val="both"/>
        <w:rPr>
          <w:color w:val="FF0000"/>
          <w:lang w:val="sr-Latn-ME"/>
        </w:rPr>
      </w:pPr>
    </w:p>
    <w:p w14:paraId="1DA98ADF">
      <w:pPr>
        <w:jc w:val="both"/>
        <w:rPr>
          <w:lang w:val="sr-Latn-ME"/>
        </w:rPr>
      </w:pPr>
      <w:r>
        <w:rPr>
          <w:lang w:val="sr-Latn-ME"/>
        </w:rPr>
        <w:t>Otvaranje ponuda održaće se dana 02.10.2025. godine u 09:30 sati.</w:t>
      </w:r>
    </w:p>
    <w:p w14:paraId="6FA77434">
      <w:pPr>
        <w:jc w:val="both"/>
        <w:rPr>
          <w:rFonts w:ascii="Cambria" w:hAnsi="Cambria" w:cs="Arial"/>
          <w:b/>
          <w:color w:val="000000"/>
          <w:lang w:val="sr-Latn-ME"/>
        </w:rPr>
      </w:pPr>
    </w:p>
    <w:p w14:paraId="27650B98">
      <w:pPr>
        <w:keepNext/>
        <w:keepLines/>
        <w:pBdr>
          <w:top w:val="single" w:color="auto" w:sz="4" w:space="1"/>
          <w:left w:val="single" w:color="auto" w:sz="4" w:space="4"/>
          <w:bottom w:val="single" w:color="auto" w:sz="4" w:space="1"/>
          <w:right w:val="single" w:color="auto" w:sz="4" w:space="4"/>
        </w:pBdr>
        <w:shd w:val="clear" w:color="auto" w:fill="D9D9D9"/>
        <w:spacing w:before="240"/>
        <w:outlineLvl w:val="0"/>
        <w:rPr>
          <w:rFonts w:ascii="Cambria" w:hAnsi="Cambria"/>
          <w:b/>
          <w:szCs w:val="32"/>
          <w:lang w:val="sr-Latn-ME"/>
        </w:rPr>
      </w:pPr>
      <w:r>
        <w:rPr>
          <w:rFonts w:ascii="Cambria" w:hAnsi="Cambria"/>
          <w:b/>
          <w:szCs w:val="32"/>
          <w:lang w:val="sr-Latn-ME"/>
        </w:rPr>
        <w:t>TAJNOST PODATAKA</w:t>
      </w:r>
    </w:p>
    <w:p w14:paraId="0F2F3572">
      <w:pPr>
        <w:jc w:val="both"/>
        <w:rPr>
          <w:rFonts w:ascii="Cambria" w:hAnsi="Cambria" w:cs="Arial"/>
          <w:color w:val="000000"/>
          <w:lang w:val="sr-Latn-ME"/>
        </w:rPr>
      </w:pPr>
      <w:r>
        <w:rPr>
          <w:rFonts w:ascii="Cambria" w:hAnsi="Cambria" w:cs="Arial"/>
          <w:color w:val="000000"/>
          <w:lang w:val="sr-Latn-ME"/>
        </w:rPr>
        <w:t xml:space="preserve"> </w:t>
      </w:r>
    </w:p>
    <w:p w14:paraId="2AE465AC">
      <w:pPr>
        <w:jc w:val="both"/>
        <w:rPr>
          <w:rFonts w:ascii="Cambria" w:hAnsi="Cambria"/>
        </w:rPr>
      </w:pPr>
      <w:r>
        <w:rPr>
          <w:rFonts w:ascii="Cambria" w:hAnsi="Cambria"/>
        </w:rPr>
        <w:t>Tenderska dokumentacija sadrži tajne podatke</w:t>
      </w:r>
    </w:p>
    <w:p w14:paraId="35C4F2BC">
      <w:pPr>
        <w:jc w:val="both"/>
        <w:rPr>
          <w:rFonts w:ascii="Cambria" w:hAnsi="Cambria"/>
        </w:rPr>
      </w:pPr>
    </w:p>
    <w:p w14:paraId="78FC3C75">
      <w:pPr>
        <w:jc w:val="both"/>
        <w:rPr>
          <w:rFonts w:ascii="Cambria" w:hAnsi="Cambria"/>
        </w:rPr>
      </w:pPr>
      <w:r>
        <w:rPr>
          <w:rFonts w:ascii="Cambria" w:hAnsi="Cambria"/>
        </w:rPr>
        <w:sym w:font="Wingdings" w:char="F0A8"/>
      </w:r>
      <w:r>
        <w:rPr>
          <w:rFonts w:ascii="Cambria" w:hAnsi="Cambria"/>
        </w:rPr>
        <w:t xml:space="preserve"> ne</w:t>
      </w:r>
    </w:p>
    <w:p w14:paraId="630AF518">
      <w:pPr>
        <w:jc w:val="both"/>
        <w:rPr>
          <w:rFonts w:ascii="Cambria" w:hAnsi="Cambria" w:cs="Arial"/>
          <w:color w:val="000000"/>
          <w:lang w:val="sr-Latn-ME"/>
        </w:rPr>
      </w:pPr>
    </w:p>
    <w:p w14:paraId="473D7FEE">
      <w:pPr>
        <w:keepNext/>
        <w:keepLines/>
        <w:pBdr>
          <w:top w:val="single" w:color="auto" w:sz="4" w:space="1"/>
          <w:left w:val="single" w:color="auto" w:sz="4" w:space="4"/>
          <w:bottom w:val="single" w:color="auto" w:sz="4" w:space="1"/>
          <w:right w:val="single" w:color="auto" w:sz="4" w:space="4"/>
        </w:pBdr>
        <w:shd w:val="clear" w:color="auto" w:fill="D9D9D9"/>
        <w:spacing w:before="240"/>
        <w:outlineLvl w:val="0"/>
        <w:rPr>
          <w:rFonts w:ascii="Cambria" w:hAnsi="Cambria"/>
          <w:b/>
          <w:szCs w:val="32"/>
          <w:lang w:val="sr-Latn-ME"/>
        </w:rPr>
      </w:pPr>
      <w:r>
        <w:rPr>
          <w:rFonts w:ascii="Cambria" w:hAnsi="Cambria"/>
          <w:b/>
          <w:szCs w:val="32"/>
          <w:lang w:val="sr-Latn-ME"/>
        </w:rPr>
        <w:t>UPUTSTVO ZA SAČINJAVANJE PONUDE</w:t>
      </w:r>
    </w:p>
    <w:p w14:paraId="79D62127">
      <w:pPr>
        <w:rPr>
          <w:rFonts w:ascii="Cambria" w:hAnsi="Cambria" w:cs="Arial"/>
          <w:lang w:val="sr-Latn-ME"/>
        </w:rPr>
      </w:pPr>
    </w:p>
    <w:p w14:paraId="63C6C075">
      <w:pPr>
        <w:jc w:val="both"/>
        <w:rPr>
          <w:rFonts w:ascii="Cambria" w:hAnsi="Cambria"/>
        </w:rPr>
      </w:pPr>
      <w:r>
        <w:rPr>
          <w:rFonts w:ascii="Cambria" w:hAnsi="Cambria"/>
        </w:rPr>
        <w:t xml:space="preserve">Ponude se sačinjava u ESJN u skladu sa tenderskom dokumentacijom i važećim Pravilnikom o sadržaju ponude i uputstvu za sačinjavanje i podnošenje ponude. </w:t>
      </w:r>
    </w:p>
    <w:p w14:paraId="7EF0D14C">
      <w:pPr>
        <w:jc w:val="both"/>
        <w:rPr>
          <w:rFonts w:ascii="Cambria" w:hAnsi="Cambria"/>
        </w:rPr>
      </w:pPr>
      <w:r>
        <w:rPr>
          <w:rFonts w:ascii="Cambria" w:hAnsi="Cambria"/>
        </w:rPr>
        <w:t>Ispunjenost uslova za učešće u postupku javne nabavke dokazuje se izjavom privrednog subjekta, koja se sačinjava na obrascu datom u Pravilniku o obrascu izjave privrednog subjekta.</w:t>
      </w:r>
    </w:p>
    <w:p w14:paraId="276D9CCA">
      <w:pPr>
        <w:jc w:val="both"/>
        <w:rPr>
          <w:rFonts w:ascii="Cambria" w:hAnsi="Cambria"/>
        </w:rPr>
      </w:pPr>
      <w:r>
        <w:rPr>
          <w:rFonts w:ascii="Cambria" w:hAnsi="Cambria"/>
        </w:rPr>
        <w:t>Ponuđač je dužan da tačno i nedvosmisleno popuni Izjavu privrednog subjekta u skladu sa zahtjevima iz tenderske dokumentacije.</w:t>
      </w:r>
    </w:p>
    <w:p w14:paraId="15F439E4">
      <w:pPr>
        <w:jc w:val="both"/>
        <w:rPr>
          <w:rFonts w:ascii="Cambria" w:hAnsi="Cambria"/>
        </w:rPr>
      </w:pPr>
    </w:p>
    <w:p w14:paraId="02A5CF11">
      <w:pPr>
        <w:jc w:val="both"/>
        <w:rPr>
          <w:rFonts w:ascii="Cambria" w:hAnsi="Cambria"/>
        </w:rPr>
      </w:pPr>
    </w:p>
    <w:p w14:paraId="64E53230">
      <w:pPr>
        <w:jc w:val="both"/>
        <w:rPr>
          <w:rFonts w:ascii="Cambria" w:hAnsi="Cambria" w:cs="Arial"/>
          <w:i/>
          <w:iCs/>
          <w:color w:val="000000"/>
        </w:rPr>
      </w:pPr>
    </w:p>
    <w:p w14:paraId="13F11310">
      <w:pPr>
        <w:keepNext/>
        <w:pBdr>
          <w:top w:val="single" w:color="auto" w:sz="4" w:space="1"/>
          <w:left w:val="single" w:color="auto" w:sz="4" w:space="4"/>
          <w:bottom w:val="single" w:color="auto" w:sz="4" w:space="1"/>
          <w:right w:val="single" w:color="auto" w:sz="4" w:space="4"/>
        </w:pBdr>
        <w:shd w:val="clear" w:color="auto" w:fill="D9D9D9"/>
        <w:outlineLvl w:val="0"/>
        <w:rPr>
          <w:rFonts w:ascii="Cambria" w:hAnsi="Cambria" w:cs="Arial"/>
          <w:b/>
          <w:bCs/>
        </w:rPr>
      </w:pPr>
      <w:r>
        <w:rPr>
          <w:rFonts w:ascii="Cambria" w:hAnsi="Cambria" w:cs="Arial"/>
          <w:b/>
          <w:bCs/>
        </w:rPr>
        <w:t>NAČIN ZAKLJUČIVANJA I IZMJENE UGOVORA O JAVNOJ NABACI</w:t>
      </w:r>
    </w:p>
    <w:p w14:paraId="2521F585">
      <w:pPr>
        <w:jc w:val="both"/>
        <w:rPr>
          <w:rFonts w:ascii="Cambria" w:hAnsi="Cambria" w:cs="Arial"/>
          <w:i/>
        </w:rPr>
      </w:pPr>
    </w:p>
    <w:p w14:paraId="6C6443F2">
      <w:pPr>
        <w:jc w:val="both"/>
      </w:pPr>
      <w:r>
        <w:t xml:space="preserve">Naručilac zaključuje ugovor o javnoj nabavci u pisanom ili elektronskom obliku sa ponuđačem čija je ponuda izabrana kao najpovoljnija, nakon izvršnosti odluke o izboru najpovoljnije ponude. </w:t>
      </w:r>
    </w:p>
    <w:p w14:paraId="4927A5FE">
      <w:pPr>
        <w:jc w:val="both"/>
      </w:pPr>
    </w:p>
    <w:p w14:paraId="4B37AFA3">
      <w:pPr>
        <w:jc w:val="both"/>
      </w:pPr>
      <w:r>
        <w:t>Ugovor o javnoj nabavci mora da bude u skladu sa uslovima utvrđenim tenderskom dokumentacijom, izabranom ponudom i odlukom o izboru najpovoljnije ponude, osim u pogledu iskazivanja PDV-a.</w:t>
      </w:r>
    </w:p>
    <w:p w14:paraId="445CA109">
      <w:pPr>
        <w:jc w:val="both"/>
      </w:pPr>
    </w:p>
    <w:p w14:paraId="38D37AAC">
      <w:pPr>
        <w:jc w:val="both"/>
        <w:rPr>
          <w:color w:val="000000"/>
        </w:rPr>
      </w:pPr>
      <w:r>
        <w:rPr>
          <w:color w:val="000000"/>
        </w:rPr>
        <w:t>Ugovor između naručioca i ponuđača čija je ponuda izabrana kao najpovoljnija, pored uslova koji su propisani ovom tenderskom dokumentacijom, će sadržati i sljedeće:</w:t>
      </w:r>
    </w:p>
    <w:p w14:paraId="7AB8BBE9">
      <w:pPr>
        <w:jc w:val="both"/>
        <w:rPr>
          <w:rFonts w:ascii="Cambria" w:hAnsi="Cambria"/>
          <w:lang w:val="pl-PL" w:eastAsia="zh-TW"/>
        </w:rPr>
      </w:pPr>
    </w:p>
    <w:p w14:paraId="4136A3A0">
      <w:pPr>
        <w:widowControl w:val="0"/>
        <w:kinsoku w:val="0"/>
        <w:overflowPunct w:val="0"/>
        <w:jc w:val="both"/>
        <w:textAlignment w:val="baseline"/>
        <w:rPr>
          <w:lang w:val="sr-Latn-ME" w:eastAsia="sr-Latn-CS"/>
        </w:rPr>
      </w:pPr>
      <w:r>
        <w:rPr>
          <w:lang w:val="sr-Latn-ME" w:eastAsia="sr-Latn-CS"/>
        </w:rPr>
        <w:t>Ugovorne strane su saglasne da do raskida ovog Ugovora može doći ako Dobavljač ne bude izvršavao svoje obaveze u rokovima i na način predviđen Ugovorom.</w:t>
      </w:r>
    </w:p>
    <w:p w14:paraId="2AF94E20">
      <w:pPr>
        <w:widowControl w:val="0"/>
        <w:kinsoku w:val="0"/>
        <w:overflowPunct w:val="0"/>
        <w:jc w:val="both"/>
        <w:textAlignment w:val="baseline"/>
        <w:rPr>
          <w:lang w:val="sr-Latn-ME" w:eastAsia="sr-Latn-CS"/>
        </w:rPr>
      </w:pPr>
      <w:r>
        <w:rPr>
          <w:lang w:val="sr-Latn-ME" w:eastAsia="sr-Latn-CS"/>
        </w:rPr>
        <w:t xml:space="preserve">Naručilac je obavezan da u slučaju uočavanja propusta u obavljanju posla pisanim putem pozove Dobavljača i da putem Zapisnika zajednički konstatuju uzrok i obim uočenih propusta. </w:t>
      </w:r>
    </w:p>
    <w:p w14:paraId="4702A428">
      <w:pPr>
        <w:widowControl w:val="0"/>
        <w:kinsoku w:val="0"/>
        <w:overflowPunct w:val="0"/>
        <w:jc w:val="both"/>
        <w:textAlignment w:val="baseline"/>
        <w:rPr>
          <w:lang w:val="sr-Latn-ME" w:eastAsia="sr-Latn-CS"/>
        </w:rPr>
      </w:pPr>
    </w:p>
    <w:p w14:paraId="195C78BC">
      <w:pPr>
        <w:jc w:val="both"/>
        <w:rPr>
          <w:lang w:val="sr-Latn-ME" w:eastAsia="sr-Latn-CS"/>
        </w:rPr>
      </w:pPr>
    </w:p>
    <w:p w14:paraId="5856E119">
      <w:pPr>
        <w:jc w:val="both"/>
        <w:rPr>
          <w:rFonts w:ascii="Cambria" w:hAnsi="Cambria" w:cs="Arial"/>
          <w:b/>
          <w:bCs/>
          <w:color w:val="FF0000"/>
        </w:rPr>
      </w:pPr>
    </w:p>
    <w:p w14:paraId="49C6579C">
      <w:pPr>
        <w:jc w:val="both"/>
        <w:rPr>
          <w:rFonts w:ascii="Cambria" w:hAnsi="Cambria" w:cs="Arial"/>
          <w:b/>
          <w:bCs/>
          <w:color w:val="FF0000"/>
        </w:rPr>
      </w:pPr>
    </w:p>
    <w:p w14:paraId="1F33FD6B">
      <w:pPr>
        <w:keepNext/>
        <w:numPr>
          <w:ilvl w:val="0"/>
          <w:numId w:val="8"/>
        </w:numPr>
        <w:pBdr>
          <w:top w:val="single" w:color="auto" w:sz="4" w:space="1"/>
          <w:left w:val="single" w:color="auto" w:sz="4" w:space="4"/>
          <w:bottom w:val="single" w:color="auto" w:sz="4" w:space="1"/>
          <w:right w:val="single" w:color="auto" w:sz="4" w:space="4"/>
        </w:pBdr>
        <w:shd w:val="clear" w:color="auto" w:fill="D9D9D9"/>
        <w:spacing w:after="160" w:line="259" w:lineRule="auto"/>
        <w:outlineLvl w:val="0"/>
        <w:rPr>
          <w:rFonts w:ascii="Cambria" w:hAnsi="Cambria" w:cs="Arial"/>
          <w:b/>
          <w:bCs/>
        </w:rPr>
      </w:pPr>
      <w:r>
        <w:rPr>
          <w:rFonts w:ascii="Cambria" w:hAnsi="Cambria" w:cs="Arial"/>
          <w:b/>
          <w:bCs/>
        </w:rPr>
        <w:t>ZAHTJEV ZA POJAŠNJENJE ILI IZMJENU I DOPUNU TENDERSKE DOKUMENTACIJE</w:t>
      </w:r>
    </w:p>
    <w:p w14:paraId="3479CCED">
      <w:pPr>
        <w:jc w:val="both"/>
        <w:rPr>
          <w:rFonts w:ascii="Cambria" w:hAnsi="Cambria" w:cs="Arial"/>
        </w:rPr>
      </w:pPr>
    </w:p>
    <w:p w14:paraId="6FB8C462">
      <w:pPr>
        <w:widowControl w:val="0"/>
        <w:kinsoku w:val="0"/>
        <w:overflowPunct w:val="0"/>
        <w:jc w:val="both"/>
        <w:textAlignment w:val="baseline"/>
        <w:rPr>
          <w:rFonts w:ascii="Cambria" w:hAnsi="Cambria"/>
          <w:lang w:val="sr-Latn-ME" w:eastAsia="sr-Latn-CS"/>
        </w:rPr>
      </w:pPr>
      <w:r>
        <w:rPr>
          <w:rFonts w:ascii="Cambria" w:hAnsi="Cambria"/>
          <w:lang w:val="sr-Latn-ME" w:eastAsia="sr-Latn-CS"/>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28C20B8">
      <w:pPr>
        <w:widowControl w:val="0"/>
        <w:kinsoku w:val="0"/>
        <w:overflowPunct w:val="0"/>
        <w:jc w:val="both"/>
        <w:textAlignment w:val="baseline"/>
        <w:rPr>
          <w:rFonts w:ascii="Cambria" w:hAnsi="Cambria"/>
          <w:lang w:val="sr-Latn-ME" w:eastAsia="sr-Latn-CS"/>
        </w:rPr>
      </w:pPr>
    </w:p>
    <w:p w14:paraId="72B1DE43">
      <w:pPr>
        <w:widowControl w:val="0"/>
        <w:kinsoku w:val="0"/>
        <w:overflowPunct w:val="0"/>
        <w:jc w:val="both"/>
        <w:textAlignment w:val="baseline"/>
        <w:rPr>
          <w:rFonts w:ascii="Cambria" w:hAnsi="Cambria"/>
          <w:lang w:val="sr-Latn-ME" w:eastAsia="sr-Latn-CS"/>
        </w:rPr>
      </w:pPr>
      <w:r>
        <w:rPr>
          <w:rFonts w:ascii="Cambria" w:hAnsi="Cambria"/>
          <w:lang w:val="sr-Latn-ME" w:eastAsia="sr-Latn-CS"/>
        </w:rPr>
        <w:t>Privredni subjekat ima pravo da pisanim zahtjevom traži od naručioca pojašnjenje tenderske dokumentacije najkasnije deset dana prije isteka roka određenog za dostavljanje ponuda.</w:t>
      </w:r>
    </w:p>
    <w:p w14:paraId="0A9E7F46">
      <w:pPr>
        <w:widowControl w:val="0"/>
        <w:kinsoku w:val="0"/>
        <w:overflowPunct w:val="0"/>
        <w:jc w:val="both"/>
        <w:textAlignment w:val="baseline"/>
        <w:rPr>
          <w:rFonts w:ascii="Cambria" w:hAnsi="Cambria"/>
          <w:lang w:val="sr-Latn-ME" w:eastAsia="sr-Latn-CS"/>
        </w:rPr>
      </w:pPr>
    </w:p>
    <w:p w14:paraId="1A697C78">
      <w:pPr>
        <w:widowControl w:val="0"/>
        <w:kinsoku w:val="0"/>
        <w:overflowPunct w:val="0"/>
        <w:jc w:val="both"/>
        <w:textAlignment w:val="baseline"/>
        <w:rPr>
          <w:rFonts w:ascii="Cambria" w:hAnsi="Cambria"/>
          <w:lang w:val="sr-Latn-ME" w:eastAsia="sr-Latn-CS"/>
        </w:rPr>
      </w:pPr>
      <w:r>
        <w:rPr>
          <w:rFonts w:ascii="Cambria" w:hAnsi="Cambria"/>
          <w:lang w:val="sr-Latn-ME" w:eastAsia="sr-Latn-CS"/>
        </w:rPr>
        <w:t>Zahtjev se podnosi isključivo putem ESJN-a.</w:t>
      </w:r>
    </w:p>
    <w:p w14:paraId="26CB3EAB">
      <w:pPr>
        <w:widowControl w:val="0"/>
        <w:kinsoku w:val="0"/>
        <w:overflowPunct w:val="0"/>
        <w:jc w:val="both"/>
        <w:textAlignment w:val="baseline"/>
        <w:rPr>
          <w:rFonts w:ascii="Cambria" w:hAnsi="Cambria"/>
          <w:lang w:val="sr-Latn-ME" w:eastAsia="sr-Latn-CS"/>
        </w:rPr>
      </w:pPr>
    </w:p>
    <w:p w14:paraId="10AA1F8E">
      <w:pPr>
        <w:widowControl w:val="0"/>
        <w:kinsoku w:val="0"/>
        <w:overflowPunct w:val="0"/>
        <w:jc w:val="both"/>
        <w:textAlignment w:val="baseline"/>
        <w:rPr>
          <w:rFonts w:ascii="Cambria" w:hAnsi="Cambria"/>
          <w:lang w:val="sr-Latn-ME" w:eastAsia="sr-Latn-CS"/>
        </w:rPr>
      </w:pPr>
    </w:p>
    <w:p w14:paraId="444FDAB5">
      <w:pPr>
        <w:widowControl w:val="0"/>
        <w:kinsoku w:val="0"/>
        <w:overflowPunct w:val="0"/>
        <w:jc w:val="both"/>
        <w:textAlignment w:val="baseline"/>
        <w:rPr>
          <w:rFonts w:ascii="Cambria" w:hAnsi="Cambria"/>
          <w:lang w:val="sr-Latn-ME" w:eastAsia="sr-Latn-CS"/>
        </w:rPr>
      </w:pPr>
    </w:p>
    <w:p w14:paraId="4E3BBEDE">
      <w:pPr>
        <w:widowControl w:val="0"/>
        <w:kinsoku w:val="0"/>
        <w:overflowPunct w:val="0"/>
        <w:jc w:val="both"/>
        <w:textAlignment w:val="baseline"/>
        <w:rPr>
          <w:rFonts w:ascii="Cambria" w:hAnsi="Cambria"/>
          <w:lang w:val="sr-Latn-ME" w:eastAsia="sr-Latn-CS"/>
        </w:rPr>
      </w:pPr>
    </w:p>
    <w:p w14:paraId="270DE39F">
      <w:pPr>
        <w:widowControl w:val="0"/>
        <w:kinsoku w:val="0"/>
        <w:overflowPunct w:val="0"/>
        <w:jc w:val="both"/>
        <w:textAlignment w:val="baseline"/>
        <w:rPr>
          <w:rFonts w:ascii="Cambria" w:hAnsi="Cambria"/>
          <w:lang w:val="sr-Latn-ME" w:eastAsia="sr-Latn-CS"/>
        </w:rPr>
      </w:pPr>
    </w:p>
    <w:p w14:paraId="7CAFEE80">
      <w:pPr>
        <w:widowControl w:val="0"/>
        <w:kinsoku w:val="0"/>
        <w:overflowPunct w:val="0"/>
        <w:jc w:val="both"/>
        <w:textAlignment w:val="baseline"/>
        <w:rPr>
          <w:rFonts w:ascii="Cambria" w:hAnsi="Cambria"/>
          <w:lang w:val="sr-Latn-ME" w:eastAsia="sr-Latn-CS"/>
        </w:rPr>
      </w:pPr>
    </w:p>
    <w:p w14:paraId="1FDF1D61">
      <w:pPr>
        <w:widowControl w:val="0"/>
        <w:kinsoku w:val="0"/>
        <w:overflowPunct w:val="0"/>
        <w:jc w:val="both"/>
        <w:textAlignment w:val="baseline"/>
        <w:rPr>
          <w:rFonts w:ascii="Cambria" w:hAnsi="Cambria"/>
          <w:lang w:val="sr-Latn-ME" w:eastAsia="sr-Latn-CS"/>
        </w:rPr>
      </w:pPr>
    </w:p>
    <w:p w14:paraId="2B3950C2">
      <w:pPr>
        <w:widowControl w:val="0"/>
        <w:kinsoku w:val="0"/>
        <w:overflowPunct w:val="0"/>
        <w:jc w:val="both"/>
        <w:textAlignment w:val="baseline"/>
        <w:rPr>
          <w:rFonts w:ascii="Cambria" w:hAnsi="Cambria"/>
          <w:lang w:val="sr-Latn-ME" w:eastAsia="sr-Latn-CS"/>
        </w:rPr>
      </w:pPr>
    </w:p>
    <w:p w14:paraId="797B25C5">
      <w:pPr>
        <w:widowControl w:val="0"/>
        <w:kinsoku w:val="0"/>
        <w:overflowPunct w:val="0"/>
        <w:jc w:val="both"/>
        <w:textAlignment w:val="baseline"/>
        <w:rPr>
          <w:rFonts w:ascii="Cambria" w:hAnsi="Cambria"/>
          <w:lang w:val="sr-Latn-ME" w:eastAsia="sr-Latn-CS"/>
        </w:rPr>
      </w:pPr>
    </w:p>
    <w:p w14:paraId="516202DD">
      <w:pPr>
        <w:widowControl w:val="0"/>
        <w:kinsoku w:val="0"/>
        <w:overflowPunct w:val="0"/>
        <w:jc w:val="both"/>
        <w:textAlignment w:val="baseline"/>
        <w:rPr>
          <w:rFonts w:ascii="Cambria" w:hAnsi="Cambria"/>
          <w:lang w:val="sr-Latn-ME" w:eastAsia="sr-Latn-CS"/>
        </w:rPr>
      </w:pPr>
    </w:p>
    <w:p w14:paraId="3FDA9126">
      <w:pPr>
        <w:widowControl w:val="0"/>
        <w:kinsoku w:val="0"/>
        <w:overflowPunct w:val="0"/>
        <w:jc w:val="both"/>
        <w:textAlignment w:val="baseline"/>
        <w:rPr>
          <w:rFonts w:ascii="Cambria" w:hAnsi="Cambria"/>
          <w:lang w:val="sr-Latn-ME" w:eastAsia="sr-Latn-CS"/>
        </w:rPr>
      </w:pPr>
    </w:p>
    <w:p w14:paraId="302C3579">
      <w:pPr>
        <w:widowControl w:val="0"/>
        <w:kinsoku w:val="0"/>
        <w:overflowPunct w:val="0"/>
        <w:jc w:val="both"/>
        <w:textAlignment w:val="baseline"/>
        <w:rPr>
          <w:rFonts w:ascii="Cambria" w:hAnsi="Cambria"/>
          <w:lang w:val="sr-Latn-ME" w:eastAsia="sr-Latn-CS"/>
        </w:rPr>
      </w:pPr>
    </w:p>
    <w:p w14:paraId="111FE4C6">
      <w:pPr>
        <w:widowControl w:val="0"/>
        <w:kinsoku w:val="0"/>
        <w:overflowPunct w:val="0"/>
        <w:jc w:val="both"/>
        <w:textAlignment w:val="baseline"/>
        <w:rPr>
          <w:rFonts w:ascii="Cambria" w:hAnsi="Cambria"/>
          <w:lang w:val="sr-Latn-ME" w:eastAsia="sr-Latn-CS"/>
        </w:rPr>
      </w:pPr>
    </w:p>
    <w:p w14:paraId="256F4396">
      <w:pPr>
        <w:widowControl w:val="0"/>
        <w:kinsoku w:val="0"/>
        <w:overflowPunct w:val="0"/>
        <w:jc w:val="both"/>
        <w:textAlignment w:val="baseline"/>
        <w:rPr>
          <w:rFonts w:ascii="Cambria" w:hAnsi="Cambria"/>
          <w:lang w:val="sr-Latn-ME" w:eastAsia="sr-Latn-CS"/>
        </w:rPr>
      </w:pPr>
    </w:p>
    <w:p w14:paraId="5B3566FB">
      <w:pPr>
        <w:widowControl w:val="0"/>
        <w:kinsoku w:val="0"/>
        <w:overflowPunct w:val="0"/>
        <w:jc w:val="both"/>
        <w:textAlignment w:val="baseline"/>
        <w:rPr>
          <w:rFonts w:ascii="Cambria" w:hAnsi="Cambria"/>
          <w:lang w:val="sr-Latn-ME" w:eastAsia="sr-Latn-CS"/>
        </w:rPr>
      </w:pPr>
    </w:p>
    <w:p w14:paraId="093B6720">
      <w:pPr>
        <w:widowControl w:val="0"/>
        <w:kinsoku w:val="0"/>
        <w:overflowPunct w:val="0"/>
        <w:jc w:val="both"/>
        <w:textAlignment w:val="baseline"/>
        <w:rPr>
          <w:rFonts w:ascii="Cambria" w:hAnsi="Cambria"/>
          <w:lang w:val="sr-Latn-ME" w:eastAsia="sr-Latn-CS"/>
        </w:rPr>
      </w:pPr>
    </w:p>
    <w:p w14:paraId="3F218197">
      <w:pPr>
        <w:widowControl w:val="0"/>
        <w:kinsoku w:val="0"/>
        <w:overflowPunct w:val="0"/>
        <w:jc w:val="both"/>
        <w:textAlignment w:val="baseline"/>
        <w:rPr>
          <w:rFonts w:ascii="Cambria" w:hAnsi="Cambria"/>
          <w:lang w:val="sr-Latn-ME" w:eastAsia="sr-Latn-CS"/>
        </w:rPr>
      </w:pPr>
    </w:p>
    <w:p w14:paraId="7F791765">
      <w:pPr>
        <w:widowControl w:val="0"/>
        <w:kinsoku w:val="0"/>
        <w:overflowPunct w:val="0"/>
        <w:jc w:val="both"/>
        <w:textAlignment w:val="baseline"/>
        <w:rPr>
          <w:rFonts w:ascii="Cambria" w:hAnsi="Cambria"/>
          <w:lang w:val="sr-Latn-ME" w:eastAsia="sr-Latn-CS"/>
        </w:rPr>
      </w:pPr>
    </w:p>
    <w:p w14:paraId="0767D491">
      <w:pPr>
        <w:widowControl w:val="0"/>
        <w:kinsoku w:val="0"/>
        <w:overflowPunct w:val="0"/>
        <w:jc w:val="both"/>
        <w:textAlignment w:val="baseline"/>
        <w:rPr>
          <w:rFonts w:ascii="Cambria" w:hAnsi="Cambria"/>
          <w:lang w:val="sr-Latn-ME" w:eastAsia="sr-Latn-CS"/>
        </w:rPr>
      </w:pPr>
    </w:p>
    <w:p w14:paraId="7FCA3E50">
      <w:pPr>
        <w:widowControl w:val="0"/>
        <w:kinsoku w:val="0"/>
        <w:overflowPunct w:val="0"/>
        <w:jc w:val="both"/>
        <w:textAlignment w:val="baseline"/>
        <w:rPr>
          <w:rFonts w:ascii="Cambria" w:hAnsi="Cambria"/>
          <w:lang w:val="sr-Latn-ME" w:eastAsia="sr-Latn-CS"/>
        </w:rPr>
      </w:pPr>
    </w:p>
    <w:p w14:paraId="46846087">
      <w:pPr>
        <w:widowControl w:val="0"/>
        <w:kinsoku w:val="0"/>
        <w:overflowPunct w:val="0"/>
        <w:jc w:val="both"/>
        <w:textAlignment w:val="baseline"/>
        <w:rPr>
          <w:rFonts w:ascii="Cambria" w:hAnsi="Cambria"/>
          <w:lang w:val="sr-Latn-ME" w:eastAsia="sr-Latn-CS"/>
        </w:rPr>
      </w:pPr>
    </w:p>
    <w:p w14:paraId="41DB12E7">
      <w:pPr>
        <w:widowControl w:val="0"/>
        <w:kinsoku w:val="0"/>
        <w:overflowPunct w:val="0"/>
        <w:jc w:val="both"/>
        <w:textAlignment w:val="baseline"/>
        <w:rPr>
          <w:rFonts w:ascii="Cambria" w:hAnsi="Cambria"/>
          <w:lang w:val="sr-Latn-ME" w:eastAsia="sr-Latn-CS"/>
        </w:rPr>
      </w:pPr>
    </w:p>
    <w:p w14:paraId="4509092C">
      <w:pPr>
        <w:widowControl w:val="0"/>
        <w:kinsoku w:val="0"/>
        <w:overflowPunct w:val="0"/>
        <w:jc w:val="both"/>
        <w:textAlignment w:val="baseline"/>
        <w:rPr>
          <w:rFonts w:ascii="Cambria" w:hAnsi="Cambria"/>
          <w:lang w:val="sr-Latn-ME" w:eastAsia="sr-Latn-CS"/>
        </w:rPr>
      </w:pPr>
    </w:p>
    <w:p w14:paraId="0465D8FE">
      <w:pPr>
        <w:widowControl w:val="0"/>
        <w:kinsoku w:val="0"/>
        <w:overflowPunct w:val="0"/>
        <w:jc w:val="both"/>
        <w:textAlignment w:val="baseline"/>
        <w:rPr>
          <w:rFonts w:ascii="Cambria" w:hAnsi="Cambria"/>
          <w:lang w:val="sr-Latn-ME" w:eastAsia="sr-Latn-CS"/>
        </w:rPr>
      </w:pPr>
    </w:p>
    <w:p w14:paraId="5A167780">
      <w:pPr>
        <w:widowControl w:val="0"/>
        <w:kinsoku w:val="0"/>
        <w:overflowPunct w:val="0"/>
        <w:jc w:val="both"/>
        <w:textAlignment w:val="baseline"/>
        <w:rPr>
          <w:rFonts w:ascii="Cambria" w:hAnsi="Cambria"/>
          <w:lang w:val="sr-Latn-ME" w:eastAsia="sr-Latn-CS"/>
        </w:rPr>
      </w:pPr>
    </w:p>
    <w:p w14:paraId="6A9CACBC">
      <w:pPr>
        <w:widowControl w:val="0"/>
        <w:kinsoku w:val="0"/>
        <w:overflowPunct w:val="0"/>
        <w:jc w:val="both"/>
        <w:textAlignment w:val="baseline"/>
        <w:rPr>
          <w:rFonts w:ascii="Cambria" w:hAnsi="Cambria"/>
          <w:lang w:val="sr-Latn-ME" w:eastAsia="sr-Latn-CS"/>
        </w:rPr>
      </w:pPr>
    </w:p>
    <w:p w14:paraId="4B56DB0E">
      <w:pPr>
        <w:widowControl w:val="0"/>
        <w:kinsoku w:val="0"/>
        <w:overflowPunct w:val="0"/>
        <w:jc w:val="both"/>
        <w:textAlignment w:val="baseline"/>
        <w:rPr>
          <w:rFonts w:ascii="Cambria" w:hAnsi="Cambria"/>
          <w:lang w:val="sr-Latn-ME" w:eastAsia="sr-Latn-CS"/>
        </w:rPr>
      </w:pPr>
    </w:p>
    <w:p w14:paraId="1B0E2547">
      <w:pPr>
        <w:widowControl w:val="0"/>
        <w:kinsoku w:val="0"/>
        <w:overflowPunct w:val="0"/>
        <w:jc w:val="both"/>
        <w:textAlignment w:val="baseline"/>
        <w:rPr>
          <w:rFonts w:ascii="Cambria" w:hAnsi="Cambria"/>
          <w:lang w:val="sr-Latn-ME" w:eastAsia="sr-Latn-CS"/>
        </w:rPr>
      </w:pPr>
    </w:p>
    <w:p w14:paraId="3C797352">
      <w:pPr>
        <w:widowControl w:val="0"/>
        <w:kinsoku w:val="0"/>
        <w:overflowPunct w:val="0"/>
        <w:jc w:val="both"/>
        <w:textAlignment w:val="baseline"/>
        <w:rPr>
          <w:rFonts w:ascii="Cambria" w:hAnsi="Cambria"/>
          <w:lang w:val="sr-Latn-ME" w:eastAsia="sr-Latn-CS"/>
        </w:rPr>
      </w:pPr>
    </w:p>
    <w:p w14:paraId="400CF13E">
      <w:pPr>
        <w:widowControl w:val="0"/>
        <w:kinsoku w:val="0"/>
        <w:overflowPunct w:val="0"/>
        <w:jc w:val="both"/>
        <w:textAlignment w:val="baseline"/>
        <w:rPr>
          <w:rFonts w:ascii="Cambria" w:hAnsi="Cambria"/>
          <w:lang w:val="sr-Latn-ME" w:eastAsia="sr-Latn-CS"/>
        </w:rPr>
      </w:pPr>
    </w:p>
    <w:p w14:paraId="6C120ADC">
      <w:pPr>
        <w:widowControl w:val="0"/>
        <w:kinsoku w:val="0"/>
        <w:overflowPunct w:val="0"/>
        <w:jc w:val="both"/>
        <w:textAlignment w:val="baseline"/>
        <w:rPr>
          <w:rFonts w:ascii="Cambria" w:hAnsi="Cambria"/>
          <w:lang w:val="sr-Latn-ME" w:eastAsia="sr-Latn-CS"/>
        </w:rPr>
      </w:pPr>
    </w:p>
    <w:p w14:paraId="2B7887F1">
      <w:pPr>
        <w:widowControl w:val="0"/>
        <w:kinsoku w:val="0"/>
        <w:overflowPunct w:val="0"/>
        <w:jc w:val="both"/>
        <w:textAlignment w:val="baseline"/>
        <w:rPr>
          <w:rFonts w:ascii="Cambria" w:hAnsi="Cambria"/>
          <w:lang w:val="sr-Latn-ME" w:eastAsia="sr-Latn-CS"/>
        </w:rPr>
      </w:pPr>
    </w:p>
    <w:p w14:paraId="5BAA4F98">
      <w:pPr>
        <w:widowControl w:val="0"/>
        <w:kinsoku w:val="0"/>
        <w:overflowPunct w:val="0"/>
        <w:jc w:val="both"/>
        <w:textAlignment w:val="baseline"/>
        <w:rPr>
          <w:rFonts w:ascii="Cambria" w:hAnsi="Cambria"/>
          <w:lang w:val="sr-Latn-ME" w:eastAsia="sr-Latn-CS"/>
        </w:rPr>
      </w:pPr>
    </w:p>
    <w:p w14:paraId="7EFD0D33">
      <w:pPr>
        <w:widowControl w:val="0"/>
        <w:kinsoku w:val="0"/>
        <w:overflowPunct w:val="0"/>
        <w:jc w:val="both"/>
        <w:textAlignment w:val="baseline"/>
        <w:rPr>
          <w:rFonts w:ascii="Cambria" w:hAnsi="Cambria"/>
          <w:lang w:val="sr-Latn-ME" w:eastAsia="sr-Latn-CS"/>
        </w:rPr>
      </w:pPr>
    </w:p>
    <w:p w14:paraId="01B431FB">
      <w:pPr>
        <w:spacing w:after="160" w:line="259" w:lineRule="auto"/>
        <w:rPr>
          <w:rFonts w:ascii="Cambria" w:hAnsi="Cambria" w:eastAsiaTheme="minorHAnsi" w:cstheme="minorBidi"/>
          <w:sz w:val="22"/>
          <w:szCs w:val="22"/>
        </w:rPr>
      </w:pPr>
    </w:p>
    <w:p w14:paraId="05BF39E4">
      <w:pPr>
        <w:keepNext/>
        <w:numPr>
          <w:ilvl w:val="0"/>
          <w:numId w:val="8"/>
        </w:numPr>
        <w:pBdr>
          <w:top w:val="single" w:color="auto" w:sz="4" w:space="1"/>
          <w:left w:val="single" w:color="auto" w:sz="4" w:space="4"/>
          <w:bottom w:val="single" w:color="auto" w:sz="4" w:space="1"/>
          <w:right w:val="single" w:color="auto" w:sz="4" w:space="4"/>
        </w:pBdr>
        <w:shd w:val="clear" w:color="auto" w:fill="BEBEBE" w:themeFill="background1" w:themeFillShade="BF"/>
        <w:spacing w:after="160" w:line="259" w:lineRule="auto"/>
        <w:ind w:left="0" w:firstLine="0"/>
        <w:outlineLvl w:val="0"/>
        <w:rPr>
          <w:rFonts w:ascii="Cambria" w:hAnsi="Cambria"/>
          <w:b/>
          <w:bCs/>
          <w:color w:val="000000"/>
        </w:rPr>
      </w:pPr>
      <w:r>
        <w:rPr>
          <w:rFonts w:ascii="Cambria" w:hAnsi="Cambria"/>
          <w:b/>
          <w:bCs/>
        </w:rPr>
        <w:t>IZJAVA NARUČIOCA O NEPOSTOJANJU SUKOBA INTERESA</w:t>
      </w:r>
    </w:p>
    <w:p w14:paraId="19502B5A">
      <w:pPr>
        <w:widowControl w:val="0"/>
        <w:kinsoku w:val="0"/>
        <w:overflowPunct w:val="0"/>
        <w:jc w:val="center"/>
        <w:textAlignment w:val="baseline"/>
        <w:rPr>
          <w:rFonts w:ascii="Arial" w:hAnsi="Arial" w:cs="Arial"/>
          <w:b/>
          <w:sz w:val="22"/>
          <w:lang w:val="sr-Latn-ME" w:eastAsia="sr-Latn-CS"/>
        </w:rPr>
      </w:pPr>
      <w:r>
        <w:rPr>
          <w:rFonts w:ascii="Arial" w:hAnsi="Arial" w:cs="Arial"/>
          <w:b/>
          <w:sz w:val="22"/>
          <w:lang w:val="sr-Latn-ME" w:eastAsia="sr-Latn-CS"/>
        </w:rPr>
        <w:t>KOMISIJA ZA TRŽIŽTE KAPITALA</w:t>
      </w:r>
    </w:p>
    <w:p w14:paraId="2C5E42BC">
      <w:pPr>
        <w:widowControl w:val="0"/>
        <w:kinsoku w:val="0"/>
        <w:overflowPunct w:val="0"/>
        <w:jc w:val="center"/>
        <w:textAlignment w:val="baseline"/>
        <w:rPr>
          <w:rFonts w:ascii="Arial" w:hAnsi="Arial" w:cs="Arial"/>
          <w:b/>
          <w:sz w:val="22"/>
          <w:lang w:val="sr-Latn-ME" w:eastAsia="sr-Latn-CS"/>
        </w:rPr>
      </w:pPr>
    </w:p>
    <w:p w14:paraId="171635F6">
      <w:pPr>
        <w:widowControl w:val="0"/>
        <w:kinsoku w:val="0"/>
        <w:overflowPunct w:val="0"/>
        <w:textAlignment w:val="baseline"/>
        <w:rPr>
          <w:rFonts w:ascii="Arial" w:hAnsi="Arial" w:cs="Arial"/>
          <w:sz w:val="22"/>
          <w:lang w:val="sr-Latn-ME" w:eastAsia="sr-Latn-CS"/>
        </w:rPr>
      </w:pPr>
      <w:r>
        <w:rPr>
          <w:rFonts w:ascii="Arial" w:hAnsi="Arial" w:cs="Arial"/>
          <w:sz w:val="22"/>
          <w:lang w:val="sr-Latn-ME" w:eastAsia="sr-Latn-CS"/>
        </w:rPr>
        <w:t>Br. 01/9-1067/2-25</w:t>
      </w:r>
      <w:r>
        <w:rPr>
          <w:rFonts w:ascii="Arial" w:hAnsi="Arial" w:cs="Arial"/>
          <w:b/>
          <w:color w:val="FF0000"/>
          <w:sz w:val="22"/>
          <w:lang w:val="sr-Latn-ME" w:eastAsia="sr-Latn-CS"/>
        </w:rPr>
        <w:tab/>
      </w:r>
      <w:r>
        <w:rPr>
          <w:rFonts w:ascii="Arial" w:hAnsi="Arial" w:cs="Arial"/>
          <w:sz w:val="22"/>
          <w:lang w:val="sr-Latn-ME" w:eastAsia="sr-Latn-CS"/>
        </w:rPr>
        <w:tab/>
      </w:r>
      <w:r>
        <w:rPr>
          <w:rFonts w:ascii="Arial" w:hAnsi="Arial" w:cs="Arial"/>
          <w:sz w:val="22"/>
          <w:lang w:val="sr-Latn-ME" w:eastAsia="sr-Latn-CS"/>
        </w:rPr>
        <w:tab/>
      </w:r>
      <w:r>
        <w:rPr>
          <w:rFonts w:ascii="Arial" w:hAnsi="Arial" w:cs="Arial"/>
          <w:sz w:val="22"/>
          <w:lang w:val="sr-Latn-ME" w:eastAsia="sr-Latn-CS"/>
        </w:rPr>
        <w:tab/>
      </w:r>
      <w:r>
        <w:rPr>
          <w:rFonts w:ascii="Arial" w:hAnsi="Arial" w:cs="Arial"/>
          <w:sz w:val="22"/>
          <w:lang w:val="sr-Latn-ME" w:eastAsia="sr-Latn-CS"/>
        </w:rPr>
        <w:tab/>
      </w:r>
      <w:r>
        <w:rPr>
          <w:rFonts w:ascii="Arial" w:hAnsi="Arial" w:cs="Arial"/>
          <w:sz w:val="22"/>
          <w:lang w:val="sr-Latn-ME" w:eastAsia="sr-Latn-CS"/>
        </w:rPr>
        <w:tab/>
      </w:r>
      <w:r>
        <w:rPr>
          <w:rFonts w:ascii="Arial" w:hAnsi="Arial" w:cs="Arial"/>
          <w:sz w:val="22"/>
          <w:lang w:val="sr-Latn-ME" w:eastAsia="sr-Latn-CS"/>
        </w:rPr>
        <w:t xml:space="preserve">                                       Podgorica, 12.09.2025. godine</w:t>
      </w:r>
    </w:p>
    <w:p w14:paraId="0410B222">
      <w:pPr>
        <w:widowControl w:val="0"/>
        <w:kinsoku w:val="0"/>
        <w:overflowPunct w:val="0"/>
        <w:textAlignment w:val="baseline"/>
        <w:rPr>
          <w:rFonts w:ascii="Arial" w:hAnsi="Arial" w:cs="Arial"/>
          <w:b/>
          <w:color w:val="FF0000"/>
          <w:sz w:val="22"/>
          <w:lang w:val="sr-Latn-ME" w:eastAsia="sr-Latn-CS"/>
        </w:rPr>
      </w:pPr>
    </w:p>
    <w:p w14:paraId="36BC0203">
      <w:pPr>
        <w:widowControl w:val="0"/>
        <w:kinsoku w:val="0"/>
        <w:overflowPunct w:val="0"/>
        <w:ind w:firstLine="720"/>
        <w:jc w:val="both"/>
        <w:textAlignment w:val="baseline"/>
        <w:rPr>
          <w:rFonts w:ascii="Arial" w:hAnsi="Arial" w:cs="Arial"/>
          <w:sz w:val="22"/>
          <w:lang w:val="sr-Latn-ME" w:eastAsia="sr-Latn-CS"/>
        </w:rPr>
      </w:pPr>
      <w:r>
        <w:rPr>
          <w:rFonts w:ascii="Arial" w:hAnsi="Arial" w:cs="Arial"/>
          <w:sz w:val="22"/>
          <w:lang w:val="sr-Latn-ME" w:eastAsia="sr-Latn-CS"/>
        </w:rPr>
        <w:t xml:space="preserve">U skladu sa članom 43 stav 1 Zakona o javnim nabavkama </w:t>
      </w:r>
      <w:r>
        <w:rPr>
          <w:rFonts w:ascii="Arial" w:hAnsi="Arial" w:cs="Arial"/>
          <w:lang w:val="sr-Latn-CS"/>
        </w:rPr>
        <w:t>(“Sl. list CG” br. 74/19, 03/23 i 11/23)</w:t>
      </w:r>
    </w:p>
    <w:p w14:paraId="1B9ACD92">
      <w:pPr>
        <w:widowControl w:val="0"/>
        <w:kinsoku w:val="0"/>
        <w:overflowPunct w:val="0"/>
        <w:jc w:val="center"/>
        <w:textAlignment w:val="baseline"/>
        <w:rPr>
          <w:rFonts w:ascii="Arial" w:hAnsi="Arial" w:cs="Arial"/>
          <w:b/>
          <w:sz w:val="22"/>
          <w:lang w:val="sr-Latn-ME" w:eastAsia="sr-Latn-CS"/>
        </w:rPr>
      </w:pPr>
      <w:r>
        <w:rPr>
          <w:rFonts w:ascii="Arial" w:hAnsi="Arial" w:cs="Arial"/>
          <w:b/>
          <w:sz w:val="22"/>
          <w:lang w:val="sr-Latn-ME" w:eastAsia="sr-Latn-CS"/>
        </w:rPr>
        <w:t>IZJAVLJUJEM</w:t>
      </w:r>
    </w:p>
    <w:p w14:paraId="5B97EBE3">
      <w:pPr>
        <w:widowControl w:val="0"/>
        <w:kinsoku w:val="0"/>
        <w:overflowPunct w:val="0"/>
        <w:jc w:val="both"/>
        <w:textAlignment w:val="baseline"/>
        <w:rPr>
          <w:rFonts w:ascii="Arial" w:hAnsi="Arial" w:cs="Arial"/>
          <w:sz w:val="22"/>
          <w:lang w:val="sr-Latn-ME" w:eastAsia="sr-Latn-CS"/>
        </w:rPr>
      </w:pPr>
    </w:p>
    <w:p w14:paraId="08AF20AF">
      <w:pPr>
        <w:jc w:val="both"/>
        <w:rPr>
          <w:rFonts w:ascii="Arial" w:hAnsi="Arial" w:cs="Arial"/>
          <w:lang w:val="sr-Latn-CS"/>
        </w:rPr>
      </w:pPr>
      <w:r>
        <w:rPr>
          <w:rFonts w:ascii="Arial" w:hAnsi="Arial" w:cs="Arial"/>
          <w:sz w:val="22"/>
          <w:szCs w:val="22"/>
          <w:lang w:val="sr-Latn-ME" w:eastAsia="sr-Latn-CS"/>
        </w:rPr>
        <w:t xml:space="preserve">da u postupku javne nabavke redni broj 3 iz Plana javne nabavke broj: </w:t>
      </w:r>
      <w:r>
        <w:rPr>
          <w:rFonts w:ascii="Arial" w:hAnsi="Arial" w:cs="Arial"/>
          <w:sz w:val="22"/>
          <w:szCs w:val="22"/>
          <w:lang w:val="pl-PL"/>
        </w:rPr>
        <w:t>0</w:t>
      </w:r>
      <w:r>
        <w:rPr>
          <w:rFonts w:ascii="Arial" w:hAnsi="Arial" w:cs="Arial"/>
          <w:sz w:val="22"/>
          <w:szCs w:val="22"/>
        </w:rPr>
        <w:t>1</w:t>
      </w:r>
      <w:r>
        <w:rPr>
          <w:rFonts w:ascii="Arial" w:hAnsi="Arial" w:cs="Arial"/>
          <w:sz w:val="22"/>
          <w:szCs w:val="22"/>
          <w:lang w:val="pl-PL"/>
        </w:rPr>
        <w:t>/</w:t>
      </w:r>
      <w:r>
        <w:rPr>
          <w:rFonts w:ascii="Arial" w:hAnsi="Arial" w:cs="Arial"/>
          <w:sz w:val="22"/>
          <w:szCs w:val="22"/>
        </w:rPr>
        <w:t>9-136/1</w:t>
      </w:r>
      <w:r>
        <w:rPr>
          <w:rFonts w:ascii="Arial" w:hAnsi="Arial" w:cs="Arial"/>
          <w:sz w:val="22"/>
          <w:szCs w:val="22"/>
          <w:lang w:val="pl-PL"/>
        </w:rPr>
        <w:t>-</w:t>
      </w:r>
      <w:r>
        <w:rPr>
          <w:rFonts w:ascii="Arial" w:hAnsi="Arial" w:cs="Arial"/>
          <w:sz w:val="22"/>
          <w:szCs w:val="22"/>
        </w:rPr>
        <w:t>25</w:t>
      </w:r>
      <w:r>
        <w:rPr>
          <w:rFonts w:ascii="Arial" w:hAnsi="Arial" w:cs="Arial"/>
          <w:sz w:val="22"/>
          <w:szCs w:val="22"/>
          <w:lang w:val="pl-PL"/>
        </w:rPr>
        <w:t xml:space="preserve"> </w:t>
      </w:r>
      <w:r>
        <w:rPr>
          <w:rFonts w:ascii="Arial" w:hAnsi="Arial" w:cs="Arial"/>
          <w:sz w:val="22"/>
          <w:szCs w:val="22"/>
          <w:lang w:val="sr-Latn-ME" w:eastAsia="sr-Latn-CS"/>
        </w:rPr>
        <w:t>od 30.01.2025. godine i Izmjena i dopun</w:t>
      </w:r>
      <w:r>
        <w:rPr>
          <w:rFonts w:ascii="Arial" w:hAnsi="Arial" w:cs="Arial"/>
          <w:sz w:val="22"/>
          <w:szCs w:val="22"/>
          <w:lang w:eastAsia="sr-Latn-CS"/>
        </w:rPr>
        <w:t>e</w:t>
      </w:r>
      <w:r>
        <w:rPr>
          <w:rFonts w:ascii="Arial" w:hAnsi="Arial" w:cs="Arial"/>
          <w:sz w:val="22"/>
          <w:szCs w:val="22"/>
          <w:lang w:val="sr-Latn-ME" w:eastAsia="sr-Latn-CS"/>
        </w:rPr>
        <w:t xml:space="preserve"> Plana javnih nabavki broj </w:t>
      </w:r>
      <w:r>
        <w:rPr>
          <w:rFonts w:ascii="Arial" w:hAnsi="Arial" w:cs="Arial"/>
          <w:sz w:val="22"/>
          <w:szCs w:val="22"/>
          <w:lang w:val="pl-PL"/>
        </w:rPr>
        <w:t>0</w:t>
      </w:r>
      <w:r>
        <w:rPr>
          <w:rFonts w:ascii="Arial" w:hAnsi="Arial" w:cs="Arial"/>
          <w:sz w:val="22"/>
          <w:szCs w:val="22"/>
        </w:rPr>
        <w:t>1</w:t>
      </w:r>
      <w:r>
        <w:rPr>
          <w:rFonts w:ascii="Arial" w:hAnsi="Arial" w:cs="Arial"/>
          <w:sz w:val="22"/>
          <w:szCs w:val="22"/>
          <w:lang w:val="pl-PL"/>
        </w:rPr>
        <w:t>/</w:t>
      </w:r>
      <w:r>
        <w:rPr>
          <w:rFonts w:ascii="Arial" w:hAnsi="Arial" w:cs="Arial"/>
          <w:sz w:val="22"/>
          <w:szCs w:val="22"/>
        </w:rPr>
        <w:t>9-136/3</w:t>
      </w:r>
      <w:r>
        <w:rPr>
          <w:rFonts w:ascii="Arial" w:hAnsi="Arial" w:cs="Arial"/>
          <w:sz w:val="22"/>
          <w:szCs w:val="22"/>
          <w:lang w:val="pl-PL"/>
        </w:rPr>
        <w:t>-</w:t>
      </w:r>
      <w:r>
        <w:rPr>
          <w:rFonts w:ascii="Arial" w:hAnsi="Arial" w:cs="Arial"/>
          <w:sz w:val="22"/>
          <w:szCs w:val="22"/>
        </w:rPr>
        <w:t>25</w:t>
      </w:r>
      <w:r>
        <w:rPr>
          <w:rFonts w:ascii="Arial" w:hAnsi="Arial" w:cs="Arial"/>
          <w:sz w:val="22"/>
          <w:szCs w:val="22"/>
          <w:lang w:val="pl-PL"/>
        </w:rPr>
        <w:t xml:space="preserve"> </w:t>
      </w:r>
      <w:r>
        <w:rPr>
          <w:rFonts w:ascii="Arial" w:hAnsi="Arial" w:cs="Arial"/>
          <w:sz w:val="22"/>
          <w:szCs w:val="22"/>
          <w:lang w:val="sr-Latn-ME" w:eastAsia="sr-Latn-CS"/>
        </w:rPr>
        <w:t xml:space="preserve">od </w:t>
      </w:r>
      <w:r>
        <w:rPr>
          <w:rFonts w:ascii="Arial" w:hAnsi="Arial" w:cs="Arial"/>
          <w:sz w:val="22"/>
          <w:szCs w:val="22"/>
          <w:lang w:eastAsia="sr-Latn-CS"/>
        </w:rPr>
        <w:t>25</w:t>
      </w:r>
      <w:r>
        <w:rPr>
          <w:rFonts w:ascii="Arial" w:hAnsi="Arial" w:cs="Arial"/>
          <w:sz w:val="22"/>
          <w:szCs w:val="22"/>
          <w:lang w:val="sr-Latn-ME" w:eastAsia="sr-Latn-CS"/>
        </w:rPr>
        <w:t>.0</w:t>
      </w:r>
      <w:r>
        <w:rPr>
          <w:rFonts w:ascii="Arial" w:hAnsi="Arial" w:cs="Arial"/>
          <w:sz w:val="22"/>
          <w:szCs w:val="22"/>
          <w:lang w:eastAsia="sr-Latn-CS"/>
        </w:rPr>
        <w:t>7</w:t>
      </w:r>
      <w:r>
        <w:rPr>
          <w:rFonts w:ascii="Arial" w:hAnsi="Arial" w:cs="Arial"/>
          <w:sz w:val="22"/>
          <w:szCs w:val="22"/>
          <w:lang w:val="sr-Latn-ME" w:eastAsia="sr-Latn-CS"/>
        </w:rPr>
        <w:t>.2025.godine, za nabavku robe – Nabavka putničkog vozila, nijesam u sukobu interesa u smislu člana 41 stav 1 tačka 1 Zakona o javnim nabavkama i da ne postoji ekonomski i drugi lični interes koji može uticati na moju nepristrasnost i nezavisnost u ovom postupku javne nabavke</w:t>
      </w:r>
      <w:r>
        <w:rPr>
          <w:rFonts w:ascii="Arial" w:hAnsi="Arial" w:cs="Arial"/>
          <w:sz w:val="22"/>
          <w:lang w:val="sr-Latn-ME" w:eastAsia="sr-Latn-CS"/>
        </w:rPr>
        <w:t>.</w:t>
      </w:r>
    </w:p>
    <w:p w14:paraId="0EAC9E72">
      <w:pPr>
        <w:widowControl w:val="0"/>
        <w:kinsoku w:val="0"/>
        <w:overflowPunct w:val="0"/>
        <w:jc w:val="right"/>
        <w:textAlignment w:val="baseline"/>
        <w:rPr>
          <w:rFonts w:ascii="Arial" w:hAnsi="Arial" w:cs="Arial"/>
          <w:sz w:val="22"/>
          <w:lang w:val="sr-Latn-ME" w:eastAsia="sr-Latn-CS"/>
        </w:rPr>
      </w:pPr>
    </w:p>
    <w:p w14:paraId="08BE0D36">
      <w:pPr>
        <w:widowControl w:val="0"/>
        <w:kinsoku w:val="0"/>
        <w:overflowPunct w:val="0"/>
        <w:jc w:val="right"/>
        <w:textAlignment w:val="baseline"/>
        <w:rPr>
          <w:rFonts w:ascii="Arial" w:hAnsi="Arial" w:cs="Arial"/>
          <w:sz w:val="22"/>
          <w:lang w:val="sr-Latn-ME" w:eastAsia="sr-Latn-CS"/>
        </w:rPr>
      </w:pPr>
    </w:p>
    <w:p w14:paraId="75940D79">
      <w:pPr>
        <w:widowControl w:val="0"/>
        <w:kinsoku w:val="0"/>
        <w:wordWrap w:val="0"/>
        <w:overflowPunct w:val="0"/>
        <w:jc w:val="right"/>
        <w:textAlignment w:val="baseline"/>
        <w:rPr>
          <w:rFonts w:ascii="Arial" w:hAnsi="Arial" w:cs="Arial"/>
          <w:sz w:val="22"/>
          <w:lang w:val="sr-Latn-ME" w:eastAsia="sr-Latn-CS"/>
        </w:rPr>
      </w:pPr>
      <w:r>
        <w:rPr>
          <w:rFonts w:ascii="Arial" w:hAnsi="Arial" w:cs="Arial"/>
          <w:sz w:val="22"/>
          <w:lang w:val="sr-Latn-ME" w:eastAsia="sr-Latn-CS"/>
        </w:rPr>
        <w:t xml:space="preserve">                           Ovlašćeno lice naručioca:  Željko Drinčić,</w:t>
      </w:r>
    </w:p>
    <w:p w14:paraId="3DE10B51">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 xml:space="preserve">                                                                                                              _________________________</w:t>
      </w:r>
    </w:p>
    <w:p w14:paraId="0E469427">
      <w:pPr>
        <w:widowControl w:val="0"/>
        <w:kinsoku w:val="0"/>
        <w:overflowPunct w:val="0"/>
        <w:jc w:val="center"/>
        <w:textAlignment w:val="baseline"/>
        <w:rPr>
          <w:rFonts w:ascii="Arial" w:hAnsi="Arial" w:cs="Arial"/>
          <w:sz w:val="22"/>
          <w:lang w:val="sr-Latn-ME" w:eastAsia="sr-Latn-CS"/>
        </w:rPr>
      </w:pPr>
      <w:r>
        <w:rPr>
          <w:rFonts w:ascii="Arial" w:hAnsi="Arial" w:cs="Arial"/>
          <w:sz w:val="22"/>
          <w:lang w:val="sr-Latn-ME" w:eastAsia="sr-Latn-CS"/>
        </w:rPr>
        <w:t xml:space="preserve">                                                                                                                                               s.r.</w:t>
      </w:r>
    </w:p>
    <w:p w14:paraId="6C989572">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Službenik za javne nabavke: Oliver Bodven, dipl. pravnik sa položenim ispitom za rad na poslovima javnih nabavke, broj uvjerenja 01-3646 od 25.04.2016. godine</w:t>
      </w:r>
    </w:p>
    <w:p w14:paraId="34533B66">
      <w:pPr>
        <w:widowControl w:val="0"/>
        <w:kinsoku w:val="0"/>
        <w:overflowPunct w:val="0"/>
        <w:jc w:val="right"/>
        <w:textAlignment w:val="baseline"/>
        <w:rPr>
          <w:rFonts w:ascii="Arial" w:hAnsi="Arial" w:cs="Arial"/>
          <w:sz w:val="22"/>
          <w:lang w:val="sr-Latn-ME" w:eastAsia="sr-Latn-CS"/>
        </w:rPr>
      </w:pPr>
    </w:p>
    <w:p w14:paraId="2B9AB564">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__________________________</w:t>
      </w:r>
    </w:p>
    <w:p w14:paraId="37A0E328">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s.r.</w:t>
      </w:r>
    </w:p>
    <w:p w14:paraId="643DEBC9">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 xml:space="preserve">            Lice koje je učestvovalo u planiranju javne nabavke, Dragan Đukić,   </w:t>
      </w:r>
    </w:p>
    <w:p w14:paraId="3B974E10">
      <w:pPr>
        <w:widowControl w:val="0"/>
        <w:kinsoku w:val="0"/>
        <w:overflowPunct w:val="0"/>
        <w:jc w:val="right"/>
        <w:textAlignment w:val="baseline"/>
        <w:rPr>
          <w:rFonts w:ascii="Arial" w:hAnsi="Arial" w:cs="Arial"/>
          <w:sz w:val="22"/>
          <w:lang w:val="sr-Latn-ME" w:eastAsia="sr-Latn-CS"/>
        </w:rPr>
      </w:pPr>
    </w:p>
    <w:p w14:paraId="142B3C1F">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 xml:space="preserve">                                                                                                  __________________________</w:t>
      </w:r>
    </w:p>
    <w:p w14:paraId="634C7096">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s.r.</w:t>
      </w:r>
    </w:p>
    <w:p w14:paraId="2B9DB3ED">
      <w:pPr>
        <w:widowControl w:val="0"/>
        <w:kinsoku w:val="0"/>
        <w:overflowPunct w:val="0"/>
        <w:jc w:val="right"/>
        <w:textAlignment w:val="baseline"/>
        <w:rPr>
          <w:rFonts w:ascii="Arial" w:hAnsi="Arial" w:cs="Arial"/>
          <w:sz w:val="22"/>
          <w:lang w:val="sr-Latn-ME" w:eastAsia="sr-Latn-CS"/>
        </w:rPr>
      </w:pPr>
    </w:p>
    <w:p w14:paraId="4D08D828">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 xml:space="preserve">            Predsjednik komisije za sprovođenje postupka javne nabavke, Dragan Đukić,  </w:t>
      </w:r>
    </w:p>
    <w:p w14:paraId="2557449C">
      <w:pPr>
        <w:widowControl w:val="0"/>
        <w:kinsoku w:val="0"/>
        <w:overflowPunct w:val="0"/>
        <w:jc w:val="right"/>
        <w:textAlignment w:val="baseline"/>
        <w:rPr>
          <w:rFonts w:ascii="Arial" w:hAnsi="Arial" w:cs="Arial"/>
          <w:sz w:val="22"/>
          <w:lang w:val="sr-Latn-ME" w:eastAsia="sr-Latn-CS"/>
        </w:rPr>
      </w:pPr>
    </w:p>
    <w:p w14:paraId="766FD51D">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 xml:space="preserve">                                                                                              __________________________</w:t>
      </w:r>
    </w:p>
    <w:p w14:paraId="2AC8854B">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s.r.</w:t>
      </w:r>
    </w:p>
    <w:p w14:paraId="4DD25908">
      <w:pPr>
        <w:widowControl w:val="0"/>
        <w:kinsoku w:val="0"/>
        <w:overflowPunct w:val="0"/>
        <w:jc w:val="center"/>
        <w:textAlignment w:val="baseline"/>
        <w:rPr>
          <w:rFonts w:ascii="Arial" w:hAnsi="Arial" w:cs="Arial"/>
          <w:sz w:val="22"/>
          <w:lang w:val="sr-Latn-ME" w:eastAsia="sr-Latn-CS"/>
        </w:rPr>
      </w:pPr>
      <w:r>
        <w:rPr>
          <w:rFonts w:ascii="Arial" w:hAnsi="Arial" w:cs="Arial"/>
          <w:sz w:val="22"/>
          <w:lang w:val="sr-Latn-ME" w:eastAsia="sr-Latn-CS"/>
        </w:rPr>
        <w:t xml:space="preserve">                                                                                   </w:t>
      </w:r>
    </w:p>
    <w:p w14:paraId="74AECE36">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 xml:space="preserve">       Član komisije za sprovođenje postupka javne nabavke, Vesko Pićurić,</w:t>
      </w:r>
    </w:p>
    <w:p w14:paraId="4FBB193F">
      <w:pPr>
        <w:widowControl w:val="0"/>
        <w:kinsoku w:val="0"/>
        <w:overflowPunct w:val="0"/>
        <w:jc w:val="right"/>
        <w:textAlignment w:val="baseline"/>
        <w:rPr>
          <w:rFonts w:ascii="Arial" w:hAnsi="Arial" w:cs="Arial"/>
          <w:sz w:val="22"/>
          <w:lang w:val="sr-Latn-ME" w:eastAsia="sr-Latn-CS"/>
        </w:rPr>
      </w:pPr>
    </w:p>
    <w:p w14:paraId="2011D8DD">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__________________________</w:t>
      </w:r>
    </w:p>
    <w:p w14:paraId="44BC0F5C">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 xml:space="preserve">s.r.                                                                                      </w:t>
      </w:r>
    </w:p>
    <w:p w14:paraId="0B31E29A">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Član komisije za sprovođenje postupka javne nabavke, Oliver Bodven, dipl. pravnik sa položenim ispitom za rad na poslovima javnih nabavke, broj uvjerenja 01-3646 od 25.04.2016.</w:t>
      </w:r>
    </w:p>
    <w:p w14:paraId="0F80A221">
      <w:pPr>
        <w:widowControl w:val="0"/>
        <w:kinsoku w:val="0"/>
        <w:overflowPunct w:val="0"/>
        <w:jc w:val="center"/>
        <w:textAlignment w:val="baseline"/>
        <w:rPr>
          <w:rFonts w:ascii="Arial" w:hAnsi="Arial" w:cs="Arial"/>
          <w:sz w:val="22"/>
          <w:lang w:val="sr-Latn-ME" w:eastAsia="sr-Latn-CS"/>
        </w:rPr>
      </w:pPr>
    </w:p>
    <w:p w14:paraId="12A11985">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_________________________</w:t>
      </w:r>
    </w:p>
    <w:p w14:paraId="55068A6D">
      <w:pPr>
        <w:widowControl w:val="0"/>
        <w:kinsoku w:val="0"/>
        <w:overflowPunct w:val="0"/>
        <w:jc w:val="right"/>
        <w:textAlignment w:val="baseline"/>
        <w:rPr>
          <w:rFonts w:ascii="Arial" w:hAnsi="Arial" w:cs="Arial"/>
          <w:sz w:val="22"/>
          <w:lang w:val="sr-Latn-ME" w:eastAsia="sr-Latn-CS"/>
        </w:rPr>
      </w:pPr>
      <w:r>
        <w:rPr>
          <w:rFonts w:ascii="Arial" w:hAnsi="Arial" w:cs="Arial"/>
          <w:sz w:val="22"/>
          <w:lang w:val="sr-Latn-ME" w:eastAsia="sr-Latn-CS"/>
        </w:rPr>
        <w:t>s.r.</w:t>
      </w:r>
    </w:p>
    <w:p w14:paraId="07556002">
      <w:pPr>
        <w:widowControl w:val="0"/>
        <w:kinsoku w:val="0"/>
        <w:overflowPunct w:val="0"/>
        <w:jc w:val="center"/>
        <w:textAlignment w:val="baseline"/>
        <w:rPr>
          <w:rFonts w:ascii="Arial" w:hAnsi="Arial" w:cs="Arial"/>
          <w:b/>
          <w:sz w:val="22"/>
          <w:lang w:val="sr-Latn-ME" w:eastAsia="sr-Latn-CS"/>
        </w:rPr>
      </w:pPr>
    </w:p>
    <w:p w14:paraId="2C8B865E">
      <w:pPr>
        <w:widowControl w:val="0"/>
        <w:kinsoku w:val="0"/>
        <w:overflowPunct w:val="0"/>
        <w:jc w:val="both"/>
        <w:textAlignment w:val="baseline"/>
        <w:rPr>
          <w:rFonts w:ascii="Cambria" w:hAnsi="Cambria"/>
          <w:lang w:val="sr-Latn-ME" w:eastAsia="sr-Latn-CS"/>
        </w:rPr>
      </w:pPr>
    </w:p>
    <w:p w14:paraId="090FAF6E">
      <w:pPr>
        <w:widowControl w:val="0"/>
        <w:kinsoku w:val="0"/>
        <w:overflowPunct w:val="0"/>
        <w:textAlignment w:val="baseline"/>
        <w:rPr>
          <w:rFonts w:ascii="Cambria" w:hAnsi="Cambria"/>
          <w:lang w:val="sr-Latn-ME" w:eastAsia="sr-Latn-CS"/>
        </w:rPr>
      </w:pPr>
    </w:p>
    <w:p w14:paraId="09E210D2">
      <w:pPr>
        <w:widowControl w:val="0"/>
        <w:kinsoku w:val="0"/>
        <w:overflowPunct w:val="0"/>
        <w:jc w:val="right"/>
        <w:textAlignment w:val="baseline"/>
        <w:rPr>
          <w:rFonts w:ascii="Cambria" w:hAnsi="Cambria"/>
          <w:lang w:val="sr-Latn-ME" w:eastAsia="sr-Latn-CS"/>
        </w:rPr>
      </w:pPr>
    </w:p>
    <w:p w14:paraId="0FA42CD6">
      <w:pPr>
        <w:keepNext/>
        <w:keepLines/>
        <w:pBdr>
          <w:top w:val="single" w:color="auto" w:sz="4" w:space="1"/>
          <w:left w:val="single" w:color="auto" w:sz="4" w:space="4"/>
          <w:bottom w:val="single" w:color="auto" w:sz="4" w:space="1"/>
          <w:right w:val="single" w:color="auto" w:sz="4" w:space="4"/>
        </w:pBdr>
        <w:shd w:val="clear" w:color="auto" w:fill="D9D9D9"/>
        <w:spacing w:before="240"/>
        <w:outlineLvl w:val="0"/>
        <w:rPr>
          <w:rFonts w:ascii="Cambria" w:hAnsi="Cambria"/>
          <w:b/>
          <w:iCs/>
          <w:szCs w:val="28"/>
          <w:lang w:val="sr-Latn-ME"/>
        </w:rPr>
      </w:pPr>
      <w:r>
        <w:rPr>
          <w:rFonts w:ascii="Cambria" w:hAnsi="Cambria"/>
          <w:b/>
          <w:szCs w:val="28"/>
          <w:lang w:val="sr-Latn-ME"/>
        </w:rPr>
        <w:t>UPUTSTVO O PRAVNOM SREDSTVU</w:t>
      </w:r>
    </w:p>
    <w:p w14:paraId="3A96019B">
      <w:pPr>
        <w:tabs>
          <w:tab w:val="left" w:pos="5760"/>
        </w:tabs>
        <w:jc w:val="center"/>
        <w:rPr>
          <w:rFonts w:ascii="Cambria" w:hAnsi="Cambria" w:cs="Arial"/>
          <w:color w:val="000000"/>
          <w:lang w:val="sr-Latn-ME"/>
        </w:rPr>
      </w:pPr>
    </w:p>
    <w:p w14:paraId="26A0C28E">
      <w:pPr>
        <w:tabs>
          <w:tab w:val="left" w:pos="5760"/>
        </w:tabs>
        <w:ind w:firstLine="567"/>
        <w:jc w:val="both"/>
        <w:rPr>
          <w:rFonts w:ascii="Cambria" w:hAnsi="Cambria"/>
          <w:color w:val="000000"/>
        </w:rPr>
      </w:pPr>
    </w:p>
    <w:p w14:paraId="023A9960">
      <w:pPr>
        <w:tabs>
          <w:tab w:val="left" w:pos="5760"/>
        </w:tabs>
        <w:ind w:firstLine="567"/>
        <w:jc w:val="both"/>
        <w:rPr>
          <w:rFonts w:ascii="Cambria" w:hAnsi="Cambria"/>
          <w:color w:val="000000"/>
        </w:rPr>
      </w:pPr>
      <w:r>
        <w:rPr>
          <w:rFonts w:ascii="Cambria" w:hAnsi="Cambria"/>
          <w:color w:val="000000"/>
        </w:rPr>
        <w:t xml:space="preserve">Privredni subjekat može da izjavi žalbu protiv ove tenderske dokumentacije Komisiji za zaštitu prava </w:t>
      </w:r>
      <w:r>
        <w:rPr>
          <w:rFonts w:ascii="Cambria" w:hAnsi="Cambria" w:cs="TimesNewRoman" w:eastAsiaTheme="minorHAnsi"/>
        </w:rPr>
        <w:t>u roku od dvadeset dana od dana objavljivanja, odnosno dostavljanja tenderske dokumentacije ili izmjene i dopune tenderske dokumentacije.</w:t>
      </w:r>
    </w:p>
    <w:p w14:paraId="58F56551">
      <w:pPr>
        <w:tabs>
          <w:tab w:val="left" w:pos="5760"/>
        </w:tabs>
        <w:jc w:val="both"/>
        <w:rPr>
          <w:rFonts w:ascii="Cambria" w:hAnsi="Cambria"/>
          <w:color w:val="000000"/>
        </w:rPr>
      </w:pPr>
    </w:p>
    <w:p w14:paraId="48DA2AB7">
      <w:pPr>
        <w:autoSpaceDE w:val="0"/>
        <w:autoSpaceDN w:val="0"/>
        <w:adjustRightInd w:val="0"/>
        <w:ind w:firstLine="567"/>
        <w:jc w:val="both"/>
        <w:rPr>
          <w:rFonts w:ascii="Cambria" w:hAnsi="Cambria"/>
          <w:color w:val="000000"/>
        </w:rPr>
      </w:pPr>
      <w:r>
        <w:rPr>
          <w:rFonts w:ascii="Cambria" w:hAnsi="Cambria"/>
          <w:color w:val="000000"/>
        </w:rPr>
        <w:t>Žalba se izjavljuje preko naručioca neposredno putem ESJN-a. Žalba koja nije podnesena na naprijed predviđeni način biće odbijena kao nedozvoljena.</w:t>
      </w:r>
    </w:p>
    <w:p w14:paraId="1F3B42AE">
      <w:pPr>
        <w:autoSpaceDE w:val="0"/>
        <w:autoSpaceDN w:val="0"/>
        <w:adjustRightInd w:val="0"/>
        <w:ind w:firstLine="567"/>
        <w:jc w:val="both"/>
        <w:rPr>
          <w:rFonts w:ascii="Cambria" w:hAnsi="Cambria"/>
          <w:color w:val="000000"/>
        </w:rPr>
      </w:pPr>
    </w:p>
    <w:p w14:paraId="45678C69">
      <w:pPr>
        <w:autoSpaceDE w:val="0"/>
        <w:autoSpaceDN w:val="0"/>
        <w:adjustRightInd w:val="0"/>
        <w:ind w:firstLine="567"/>
        <w:jc w:val="both"/>
        <w:rPr>
          <w:rFonts w:ascii="Cambria" w:hAnsi="Cambria"/>
          <w:color w:val="000000"/>
        </w:rPr>
      </w:pPr>
      <w:r>
        <w:rPr>
          <w:rFonts w:ascii="Cambria" w:hAnsi="Cambria"/>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828CD46">
      <w:pPr>
        <w:tabs>
          <w:tab w:val="left" w:pos="5760"/>
        </w:tabs>
        <w:ind w:firstLine="567"/>
        <w:jc w:val="both"/>
        <w:rPr>
          <w:rFonts w:ascii="Cambria" w:hAnsi="Cambria"/>
          <w:color w:val="000000"/>
        </w:rPr>
      </w:pPr>
    </w:p>
    <w:p w14:paraId="1E45AC23">
      <w:pPr>
        <w:tabs>
          <w:tab w:val="left" w:pos="5760"/>
        </w:tabs>
        <w:ind w:firstLine="567"/>
        <w:jc w:val="both"/>
        <w:rPr>
          <w:rFonts w:ascii="Cambria" w:hAnsi="Cambria"/>
          <w:color w:val="000000"/>
        </w:rPr>
      </w:pPr>
      <w:r>
        <w:rPr>
          <w:rFonts w:ascii="Cambria" w:hAnsi="Cambria"/>
          <w:color w:val="000000"/>
        </w:rPr>
        <w:t>Ukoliko je predmet nabavke podijeljen po partijama, a žalba se odnosi samo na određenu/e partiju/e, naknada se plaća u iznosu 1% od procijenjene vrijednosti javne nabavke te/tih partije/a.</w:t>
      </w:r>
    </w:p>
    <w:p w14:paraId="08D9D217">
      <w:pPr>
        <w:tabs>
          <w:tab w:val="left" w:pos="5760"/>
        </w:tabs>
        <w:ind w:firstLine="567"/>
        <w:jc w:val="both"/>
        <w:rPr>
          <w:rFonts w:ascii="Cambria" w:hAnsi="Cambria"/>
          <w:color w:val="000000"/>
        </w:rPr>
      </w:pPr>
    </w:p>
    <w:p w14:paraId="77D78333">
      <w:pPr>
        <w:tabs>
          <w:tab w:val="left" w:pos="5760"/>
        </w:tabs>
        <w:ind w:firstLine="567"/>
        <w:jc w:val="both"/>
        <w:rPr>
          <w:rFonts w:ascii="Cambria" w:hAnsi="Cambria"/>
          <w:color w:val="000000"/>
          <w:sz w:val="22"/>
          <w:szCs w:val="22"/>
          <w:lang w:val="sr-Latn-ME"/>
        </w:rPr>
      </w:pPr>
      <w:r>
        <w:rPr>
          <w:rFonts w:ascii="Cambria" w:hAnsi="Cambria"/>
          <w:color w:val="000000"/>
        </w:rPr>
        <w:t xml:space="preserve">Instrukcije za plaćanje naknade za vođenje postupka od strane žalilaca iz inostranstva nalaze se na internet stranici Komisije za zaštitu prava nabavki </w:t>
      </w:r>
      <w:r>
        <w:fldChar w:fldCharType="begin"/>
      </w:r>
      <w:r>
        <w:instrText xml:space="preserve"> HYPERLINK "http://www.kontrola-nabavki.me/" </w:instrText>
      </w:r>
      <w:r>
        <w:fldChar w:fldCharType="separate"/>
      </w:r>
      <w:r>
        <w:rPr>
          <w:rFonts w:ascii="Cambria" w:hAnsi="Cambria"/>
          <w:color w:val="0000FF"/>
          <w:sz w:val="22"/>
          <w:szCs w:val="22"/>
          <w:u w:val="single"/>
          <w:lang w:val="sr-Latn-ME"/>
        </w:rPr>
        <w:t>http://www.kontrola-nabavki.me/</w:t>
      </w:r>
      <w:r>
        <w:rPr>
          <w:rFonts w:ascii="Cambria" w:hAnsi="Cambria"/>
          <w:color w:val="0000FF"/>
          <w:sz w:val="22"/>
          <w:szCs w:val="22"/>
          <w:u w:val="single"/>
          <w:lang w:val="sr-Latn-ME"/>
        </w:rPr>
        <w:fldChar w:fldCharType="end"/>
      </w:r>
      <w:r>
        <w:rPr>
          <w:rFonts w:ascii="Cambria" w:hAnsi="Cambria"/>
          <w:color w:val="000000"/>
          <w:sz w:val="22"/>
          <w:szCs w:val="22"/>
          <w:lang w:val="sr-Latn-ME"/>
        </w:rPr>
        <w:t>.“.</w:t>
      </w:r>
    </w:p>
    <w:p w14:paraId="50531889">
      <w:pPr>
        <w:tabs>
          <w:tab w:val="left" w:pos="5760"/>
        </w:tabs>
        <w:ind w:firstLine="567"/>
        <w:jc w:val="both"/>
        <w:rPr>
          <w:rFonts w:ascii="Cambria" w:hAnsi="Cambria" w:cs="Arial"/>
          <w:color w:val="000000"/>
          <w:lang w:val="sr-Latn-ME"/>
        </w:rPr>
      </w:pPr>
    </w:p>
    <w:p w14:paraId="7358FEF6">
      <w:pPr>
        <w:tabs>
          <w:tab w:val="left" w:pos="5760"/>
        </w:tabs>
        <w:ind w:firstLine="567"/>
        <w:jc w:val="both"/>
        <w:rPr>
          <w:rFonts w:ascii="Cambria" w:hAnsi="Cambria"/>
          <w:color w:val="000000"/>
        </w:rPr>
      </w:pPr>
    </w:p>
    <w:p w14:paraId="1637CFE4">
      <w:pPr>
        <w:tabs>
          <w:tab w:val="left" w:pos="5760"/>
        </w:tabs>
        <w:ind w:firstLine="567"/>
        <w:jc w:val="both"/>
        <w:rPr>
          <w:rFonts w:ascii="Cambria" w:hAnsi="Cambria"/>
          <w:color w:val="000000"/>
        </w:rPr>
      </w:pPr>
    </w:p>
    <w:p w14:paraId="1FD6E1EE">
      <w:pPr>
        <w:spacing w:after="160" w:line="259" w:lineRule="auto"/>
        <w:rPr>
          <w:rFonts w:ascii="Cambria" w:hAnsi="Cambria" w:cs="Arial" w:eastAsiaTheme="minorHAnsi"/>
        </w:rPr>
      </w:pPr>
    </w:p>
    <w:p w14:paraId="5279CA5A">
      <w:pPr>
        <w:spacing w:after="160" w:line="259" w:lineRule="auto"/>
        <w:rPr>
          <w:rFonts w:ascii="Cambria" w:hAnsi="Cambria" w:eastAsiaTheme="minorHAnsi" w:cstheme="minorBidi"/>
          <w:sz w:val="22"/>
          <w:szCs w:val="22"/>
        </w:rPr>
      </w:pPr>
    </w:p>
    <w:p w14:paraId="012E47FC">
      <w:pPr>
        <w:rPr>
          <w:bCs/>
          <w:color w:val="000000"/>
          <w:shd w:val="clear" w:color="auto" w:fill="FFFFFF"/>
        </w:rPr>
      </w:pPr>
    </w:p>
    <w:p w14:paraId="0134ADAF">
      <w:pPr>
        <w:rPr>
          <w:bCs/>
          <w:color w:val="000000"/>
          <w:shd w:val="clear" w:color="auto" w:fill="FFFFFF"/>
        </w:rPr>
      </w:pPr>
    </w:p>
    <w:p w14:paraId="35AB22D4">
      <w:pPr>
        <w:rPr>
          <w:bCs/>
          <w:color w:val="000000"/>
          <w:shd w:val="clear" w:color="auto" w:fill="FFFFFF"/>
        </w:rPr>
      </w:pPr>
    </w:p>
    <w:p w14:paraId="4B8A10A7">
      <w:pPr>
        <w:rPr>
          <w:bCs/>
          <w:color w:val="000000"/>
          <w:shd w:val="clear" w:color="auto" w:fill="FFFFFF"/>
        </w:rPr>
      </w:pPr>
    </w:p>
    <w:p w14:paraId="3204CB30">
      <w:pPr>
        <w:rPr>
          <w:bCs/>
          <w:color w:val="000000"/>
          <w:shd w:val="clear" w:color="auto" w:fill="FFFFFF"/>
        </w:rPr>
      </w:pPr>
    </w:p>
    <w:sectPr>
      <w:footerReference r:id="rId4" w:type="default"/>
      <w:pgSz w:w="11906" w:h="16838"/>
      <w:pgMar w:top="1417" w:right="1417" w:bottom="1417" w:left="1417"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PMingLiU">
    <w:altName w:val="Microsoft JhengHei UI"/>
    <w:panose1 w:val="02010601000101010101"/>
    <w:charset w:val="88"/>
    <w:family w:val="roman"/>
    <w:pitch w:val="default"/>
    <w:sig w:usb0="00000000" w:usb1="00000000" w:usb2="00000016" w:usb3="00000000" w:csb0="00100001" w:csb1="00000000"/>
  </w:font>
  <w:font w:name="Cambria">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TimesNewRoman">
    <w:altName w:val="Times New Roman"/>
    <w:panose1 w:val="00000000000000000000"/>
    <w:charset w:val="EE"/>
    <w:family w:val="auto"/>
    <w:pitch w:val="default"/>
    <w:sig w:usb0="00000000" w:usb1="00000000" w:usb2="00000000" w:usb3="00000000" w:csb0="00000002"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50619580"/>
    </w:sdtPr>
    <w:sdtContent>
      <w:sdt>
        <w:sdtPr>
          <w:id w:val="1728636285"/>
        </w:sdtPr>
        <w:sdtContent>
          <w:p w14:paraId="045FDB96">
            <w:pPr>
              <w:pStyle w:val="8"/>
              <w:jc w:val="center"/>
            </w:pPr>
            <w:r>
              <w:t xml:space="preserve">strana </w:t>
            </w:r>
            <w:r>
              <w:rPr>
                <w:b/>
                <w:bCs/>
              </w:rPr>
              <w:fldChar w:fldCharType="begin"/>
            </w:r>
            <w:r>
              <w:rPr>
                <w:b/>
                <w:bCs/>
              </w:rPr>
              <w:instrText xml:space="preserve"> PAGE </w:instrText>
            </w:r>
            <w:r>
              <w:rPr>
                <w:b/>
                <w:bCs/>
              </w:rPr>
              <w:fldChar w:fldCharType="separate"/>
            </w:r>
            <w:r>
              <w:rPr>
                <w:b/>
                <w:bCs/>
              </w:rPr>
              <w:t>1</w:t>
            </w:r>
            <w:r>
              <w:rPr>
                <w:b/>
                <w:bCs/>
              </w:rPr>
              <w:fldChar w:fldCharType="end"/>
            </w:r>
            <w:r>
              <w:t xml:space="preserve"> od </w:t>
            </w:r>
            <w:r>
              <w:rPr>
                <w:b/>
                <w:bCs/>
              </w:rPr>
              <w:fldChar w:fldCharType="begin"/>
            </w:r>
            <w:r>
              <w:rPr>
                <w:b/>
                <w:bCs/>
              </w:rPr>
              <w:instrText xml:space="preserve"> NUMPAGES  </w:instrText>
            </w:r>
            <w:r>
              <w:rPr>
                <w:b/>
                <w:bCs/>
              </w:rPr>
              <w:fldChar w:fldCharType="separate"/>
            </w:r>
            <w:r>
              <w:rPr>
                <w:b/>
                <w:bCs/>
              </w:rPr>
              <w:t>9</w:t>
            </w:r>
            <w:r>
              <w:rPr>
                <w:b/>
                <w:bCs/>
              </w:rPr>
              <w:fldChar w:fldCharType="end"/>
            </w:r>
          </w:p>
        </w:sdtContent>
      </w:sdt>
    </w:sdtContent>
  </w:sdt>
  <w:p w14:paraId="4DD916A2">
    <w:pPr>
      <w:pStyle w:val="8"/>
    </w:pPr>
  </w:p>
  <w:p w14:paraId="77931F9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5327D5A5">
      <w:pPr>
        <w:pStyle w:val="10"/>
        <w:jc w:val="both"/>
        <w:rPr>
          <w:rFonts w:ascii="Arial" w:hAnsi="Arial" w:cs="Arial"/>
          <w:sz w:val="14"/>
          <w:szCs w:val="16"/>
          <w:lang w:val="sr-Latn-ME"/>
        </w:rPr>
      </w:pPr>
      <w:r>
        <w:rPr>
          <w:rStyle w:val="9"/>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1">
    <w:p w14:paraId="1B96F0CD">
      <w:pPr>
        <w:pStyle w:val="10"/>
        <w:jc w:val="both"/>
        <w:rPr>
          <w:rFonts w:ascii="Arial" w:hAnsi="Arial" w:cs="Arial"/>
          <w:sz w:val="14"/>
          <w:szCs w:val="16"/>
          <w:lang w:val="sr-Latn-ME"/>
        </w:rPr>
      </w:pPr>
      <w:r>
        <w:rPr>
          <w:rStyle w:val="9"/>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2">
    <w:p w14:paraId="2A60C62D">
      <w:pPr>
        <w:pStyle w:val="10"/>
        <w:jc w:val="both"/>
        <w:rPr>
          <w:rFonts w:ascii="Arial" w:hAnsi="Arial" w:cs="Arial"/>
          <w:sz w:val="14"/>
          <w:szCs w:val="16"/>
          <w:lang w:val="sr-Latn-ME"/>
        </w:rPr>
      </w:pPr>
      <w:r>
        <w:rPr>
          <w:rStyle w:val="9"/>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F2749D"/>
    <w:multiLevelType w:val="multilevel"/>
    <w:tmpl w:val="00F2749D"/>
    <w:lvl w:ilvl="0" w:tentative="0">
      <w:start w:val="1"/>
      <w:numFmt w:val="decimal"/>
      <w:lvlText w:val="%1."/>
      <w:lvlJc w:val="left"/>
      <w:pPr>
        <w:ind w:left="72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F2B21DB"/>
    <w:multiLevelType w:val="multilevel"/>
    <w:tmpl w:val="0F2B21DB"/>
    <w:lvl w:ilvl="0" w:tentative="0">
      <w:start w:val="1"/>
      <w:numFmt w:val="decimal"/>
      <w:lvlText w:val="%1."/>
      <w:lvlJc w:val="left"/>
      <w:pPr>
        <w:ind w:left="720" w:hanging="360"/>
      </w:pPr>
      <w:rPr>
        <w:rFonts w:hint="default"/>
        <w:b/>
        <w:i/>
      </w:rPr>
    </w:lvl>
    <w:lvl w:ilvl="1" w:tentative="0">
      <w:start w:val="1"/>
      <w:numFmt w:val="decimal"/>
      <w:isLgl/>
      <w:lvlText w:val="%1.%2."/>
      <w:lvlJc w:val="left"/>
      <w:pPr>
        <w:ind w:left="1080" w:hanging="7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440" w:hanging="108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800" w:hanging="144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2160" w:hanging="1800"/>
      </w:pPr>
      <w:rPr>
        <w:rFonts w:hint="default"/>
      </w:rPr>
    </w:lvl>
    <w:lvl w:ilvl="8" w:tentative="0">
      <w:start w:val="1"/>
      <w:numFmt w:val="decimal"/>
      <w:isLgl/>
      <w:lvlText w:val="%1.%2.%3.%4.%5.%6.%7.%8.%9."/>
      <w:lvlJc w:val="left"/>
      <w:pPr>
        <w:ind w:left="2160" w:hanging="1800"/>
      </w:pPr>
      <w:rPr>
        <w:rFonts w:hint="default"/>
      </w:rPr>
    </w:lvl>
  </w:abstractNum>
  <w:abstractNum w:abstractNumId="2">
    <w:nsid w:val="390D5AEB"/>
    <w:multiLevelType w:val="multilevel"/>
    <w:tmpl w:val="390D5AEB"/>
    <w:lvl w:ilvl="0" w:tentative="0">
      <w:start w:val="4"/>
      <w:numFmt w:val="decimal"/>
      <w:lvlText w:val="%1."/>
      <w:lvlJc w:val="left"/>
      <w:pPr>
        <w:ind w:left="720" w:hanging="360"/>
      </w:pPr>
      <w:rPr>
        <w:rFonts w:hint="default"/>
        <w:color w:val="auto"/>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3FB77E33"/>
    <w:multiLevelType w:val="multilevel"/>
    <w:tmpl w:val="3FB77E3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4B7D2D75"/>
    <w:multiLevelType w:val="multilevel"/>
    <w:tmpl w:val="4B7D2D75"/>
    <w:lvl w:ilvl="0" w:tentative="0">
      <w:start w:val="0"/>
      <w:numFmt w:val="bullet"/>
      <w:lvlText w:val="-"/>
      <w:lvlJc w:val="left"/>
      <w:pPr>
        <w:ind w:left="1080" w:hanging="360"/>
      </w:pPr>
      <w:rPr>
        <w:rFonts w:hint="default" w:ascii="Times New Roman" w:hAnsi="Times New Roman" w:eastAsia="Times New Roman" w:cs="Times New Roman"/>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5">
    <w:nsid w:val="5363574F"/>
    <w:multiLevelType w:val="multilevel"/>
    <w:tmpl w:val="5363574F"/>
    <w:lvl w:ilvl="0" w:tentative="0">
      <w:start w:val="18"/>
      <w:numFmt w:val="bullet"/>
      <w:lvlText w:val="-"/>
      <w:lvlJc w:val="left"/>
      <w:pPr>
        <w:ind w:left="1800" w:hanging="360"/>
      </w:pPr>
      <w:rPr>
        <w:rFonts w:hint="default" w:ascii="Times New Roman" w:hAnsi="Times New Roman" w:eastAsia="Times New Roman" w:cs="Times New Roman"/>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6">
    <w:nsid w:val="61234FFF"/>
    <w:multiLevelType w:val="multilevel"/>
    <w:tmpl w:val="61234FFF"/>
    <w:lvl w:ilvl="0" w:tentative="0">
      <w:start w:val="18"/>
      <w:numFmt w:val="bullet"/>
      <w:lvlText w:val="-"/>
      <w:lvlJc w:val="left"/>
      <w:pPr>
        <w:ind w:left="1778" w:hanging="360"/>
      </w:pPr>
      <w:rPr>
        <w:rFonts w:hint="default" w:ascii="Times New Roman" w:hAnsi="Times New Roman" w:eastAsia="Times New Roman" w:cs="Times New Roman"/>
      </w:rPr>
    </w:lvl>
    <w:lvl w:ilvl="1" w:tentative="0">
      <w:start w:val="1"/>
      <w:numFmt w:val="bullet"/>
      <w:lvlText w:val="o"/>
      <w:lvlJc w:val="left"/>
      <w:pPr>
        <w:ind w:left="2498" w:hanging="360"/>
      </w:pPr>
      <w:rPr>
        <w:rFonts w:hint="default" w:ascii="Courier New" w:hAnsi="Courier New" w:cs="Courier New"/>
      </w:rPr>
    </w:lvl>
    <w:lvl w:ilvl="2" w:tentative="0">
      <w:start w:val="1"/>
      <w:numFmt w:val="bullet"/>
      <w:lvlText w:val=""/>
      <w:lvlJc w:val="left"/>
      <w:pPr>
        <w:ind w:left="3218" w:hanging="360"/>
      </w:pPr>
      <w:rPr>
        <w:rFonts w:hint="default" w:ascii="Wingdings" w:hAnsi="Wingdings"/>
      </w:rPr>
    </w:lvl>
    <w:lvl w:ilvl="3" w:tentative="0">
      <w:start w:val="1"/>
      <w:numFmt w:val="bullet"/>
      <w:lvlText w:val=""/>
      <w:lvlJc w:val="left"/>
      <w:pPr>
        <w:ind w:left="3938" w:hanging="360"/>
      </w:pPr>
      <w:rPr>
        <w:rFonts w:hint="default" w:ascii="Symbol" w:hAnsi="Symbol"/>
      </w:rPr>
    </w:lvl>
    <w:lvl w:ilvl="4" w:tentative="0">
      <w:start w:val="1"/>
      <w:numFmt w:val="bullet"/>
      <w:lvlText w:val="o"/>
      <w:lvlJc w:val="left"/>
      <w:pPr>
        <w:ind w:left="4658" w:hanging="360"/>
      </w:pPr>
      <w:rPr>
        <w:rFonts w:hint="default" w:ascii="Courier New" w:hAnsi="Courier New" w:cs="Courier New"/>
      </w:rPr>
    </w:lvl>
    <w:lvl w:ilvl="5" w:tentative="0">
      <w:start w:val="1"/>
      <w:numFmt w:val="bullet"/>
      <w:lvlText w:val=""/>
      <w:lvlJc w:val="left"/>
      <w:pPr>
        <w:ind w:left="5378" w:hanging="360"/>
      </w:pPr>
      <w:rPr>
        <w:rFonts w:hint="default" w:ascii="Wingdings" w:hAnsi="Wingdings"/>
      </w:rPr>
    </w:lvl>
    <w:lvl w:ilvl="6" w:tentative="0">
      <w:start w:val="1"/>
      <w:numFmt w:val="bullet"/>
      <w:lvlText w:val=""/>
      <w:lvlJc w:val="left"/>
      <w:pPr>
        <w:ind w:left="6098" w:hanging="360"/>
      </w:pPr>
      <w:rPr>
        <w:rFonts w:hint="default" w:ascii="Symbol" w:hAnsi="Symbol"/>
      </w:rPr>
    </w:lvl>
    <w:lvl w:ilvl="7" w:tentative="0">
      <w:start w:val="1"/>
      <w:numFmt w:val="bullet"/>
      <w:lvlText w:val="o"/>
      <w:lvlJc w:val="left"/>
      <w:pPr>
        <w:ind w:left="6818" w:hanging="360"/>
      </w:pPr>
      <w:rPr>
        <w:rFonts w:hint="default" w:ascii="Courier New" w:hAnsi="Courier New" w:cs="Courier New"/>
      </w:rPr>
    </w:lvl>
    <w:lvl w:ilvl="8" w:tentative="0">
      <w:start w:val="1"/>
      <w:numFmt w:val="bullet"/>
      <w:lvlText w:val=""/>
      <w:lvlJc w:val="left"/>
      <w:pPr>
        <w:ind w:left="7538" w:hanging="360"/>
      </w:pPr>
      <w:rPr>
        <w:rFonts w:hint="default" w:ascii="Wingdings" w:hAnsi="Wingdings"/>
      </w:rPr>
    </w:lvl>
  </w:abstractNum>
  <w:abstractNum w:abstractNumId="7">
    <w:nsid w:val="6764291E"/>
    <w:multiLevelType w:val="multilevel"/>
    <w:tmpl w:val="6764291E"/>
    <w:lvl w:ilvl="0" w:tentative="0">
      <w:start w:val="1"/>
      <w:numFmt w:val="decimal"/>
      <w:lvlText w:val="%1."/>
      <w:lvlJc w:val="left"/>
      <w:pPr>
        <w:ind w:left="72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num>
  <w:num w:numId="3">
    <w:abstractNumId w:val="5"/>
  </w:num>
  <w:num w:numId="4">
    <w:abstractNumId w:val="6"/>
  </w:num>
  <w:num w:numId="5">
    <w:abstractNumId w:val="7"/>
  </w:num>
  <w:num w:numId="6">
    <w:abstractNumId w:val="3"/>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hideGrammaticalErrors/>
  <w:documentProtection w:enforcement="0"/>
  <w:defaultTabStop w:val="708"/>
  <w:hyphenationZone w:val="425"/>
  <w:noPunctuationKerning w:val="1"/>
  <w:characterSpacingControl w:val="doNotCompress"/>
  <w:footnotePr>
    <w:footnote w:id="6"/>
    <w:footnote w:id="7"/>
  </w:foot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417"/>
    <w:rsid w:val="00004E4A"/>
    <w:rsid w:val="000638CE"/>
    <w:rsid w:val="0007146B"/>
    <w:rsid w:val="00073A13"/>
    <w:rsid w:val="000A3BAC"/>
    <w:rsid w:val="000C17B1"/>
    <w:rsid w:val="000C462F"/>
    <w:rsid w:val="000D3CCD"/>
    <w:rsid w:val="0014752E"/>
    <w:rsid w:val="0015697C"/>
    <w:rsid w:val="0018134C"/>
    <w:rsid w:val="001869E7"/>
    <w:rsid w:val="001D137C"/>
    <w:rsid w:val="001D701A"/>
    <w:rsid w:val="002329E9"/>
    <w:rsid w:val="00243476"/>
    <w:rsid w:val="00257C43"/>
    <w:rsid w:val="00264F5D"/>
    <w:rsid w:val="002933C0"/>
    <w:rsid w:val="002B2FB8"/>
    <w:rsid w:val="00314AED"/>
    <w:rsid w:val="00394660"/>
    <w:rsid w:val="003B0ED1"/>
    <w:rsid w:val="003B6A3B"/>
    <w:rsid w:val="003B7010"/>
    <w:rsid w:val="003D4CC0"/>
    <w:rsid w:val="003D6B63"/>
    <w:rsid w:val="003E4245"/>
    <w:rsid w:val="003F4153"/>
    <w:rsid w:val="003F4E88"/>
    <w:rsid w:val="00406D3E"/>
    <w:rsid w:val="00433AB5"/>
    <w:rsid w:val="0044551B"/>
    <w:rsid w:val="004506F3"/>
    <w:rsid w:val="00452EEF"/>
    <w:rsid w:val="00453D2E"/>
    <w:rsid w:val="0046124E"/>
    <w:rsid w:val="0046563C"/>
    <w:rsid w:val="004A0498"/>
    <w:rsid w:val="004A31DC"/>
    <w:rsid w:val="004D70C5"/>
    <w:rsid w:val="004F69EB"/>
    <w:rsid w:val="00500921"/>
    <w:rsid w:val="00501003"/>
    <w:rsid w:val="005B159B"/>
    <w:rsid w:val="005E52D0"/>
    <w:rsid w:val="005F76B8"/>
    <w:rsid w:val="00616491"/>
    <w:rsid w:val="00642257"/>
    <w:rsid w:val="00676A56"/>
    <w:rsid w:val="00697862"/>
    <w:rsid w:val="006B6EBB"/>
    <w:rsid w:val="006E0665"/>
    <w:rsid w:val="00706D13"/>
    <w:rsid w:val="00723EDB"/>
    <w:rsid w:val="00750950"/>
    <w:rsid w:val="00773706"/>
    <w:rsid w:val="007C3440"/>
    <w:rsid w:val="007C3493"/>
    <w:rsid w:val="007D4BAA"/>
    <w:rsid w:val="0080229C"/>
    <w:rsid w:val="0080655D"/>
    <w:rsid w:val="008120BF"/>
    <w:rsid w:val="008651B0"/>
    <w:rsid w:val="0087084A"/>
    <w:rsid w:val="00873F15"/>
    <w:rsid w:val="008801F5"/>
    <w:rsid w:val="008A4417"/>
    <w:rsid w:val="008A5E7A"/>
    <w:rsid w:val="008E785B"/>
    <w:rsid w:val="008F5559"/>
    <w:rsid w:val="00910573"/>
    <w:rsid w:val="009213E6"/>
    <w:rsid w:val="00926F62"/>
    <w:rsid w:val="009419B3"/>
    <w:rsid w:val="0095001C"/>
    <w:rsid w:val="00952987"/>
    <w:rsid w:val="00967805"/>
    <w:rsid w:val="009758C6"/>
    <w:rsid w:val="00997F15"/>
    <w:rsid w:val="009C1D7E"/>
    <w:rsid w:val="009F11E9"/>
    <w:rsid w:val="009F7026"/>
    <w:rsid w:val="00A12C50"/>
    <w:rsid w:val="00A6063D"/>
    <w:rsid w:val="00A67469"/>
    <w:rsid w:val="00AD743B"/>
    <w:rsid w:val="00AE4024"/>
    <w:rsid w:val="00B60D76"/>
    <w:rsid w:val="00B911CA"/>
    <w:rsid w:val="00BC35F4"/>
    <w:rsid w:val="00BE78FF"/>
    <w:rsid w:val="00C10427"/>
    <w:rsid w:val="00C50050"/>
    <w:rsid w:val="00C85710"/>
    <w:rsid w:val="00C957AF"/>
    <w:rsid w:val="00CE5050"/>
    <w:rsid w:val="00D0384E"/>
    <w:rsid w:val="00D163B4"/>
    <w:rsid w:val="00D35C3A"/>
    <w:rsid w:val="00D365CC"/>
    <w:rsid w:val="00D47EDE"/>
    <w:rsid w:val="00D63F08"/>
    <w:rsid w:val="00D912F3"/>
    <w:rsid w:val="00D96375"/>
    <w:rsid w:val="00DA59DB"/>
    <w:rsid w:val="00DE08B2"/>
    <w:rsid w:val="00DE3A10"/>
    <w:rsid w:val="00E25D31"/>
    <w:rsid w:val="00E278FE"/>
    <w:rsid w:val="00E27B87"/>
    <w:rsid w:val="00E57960"/>
    <w:rsid w:val="00EA2571"/>
    <w:rsid w:val="00EA7234"/>
    <w:rsid w:val="00EC1396"/>
    <w:rsid w:val="00EE5731"/>
    <w:rsid w:val="00F418DF"/>
    <w:rsid w:val="00F63881"/>
    <w:rsid w:val="00F82FEA"/>
    <w:rsid w:val="00FA705F"/>
    <w:rsid w:val="02973262"/>
    <w:rsid w:val="0A704E76"/>
    <w:rsid w:val="167B61A8"/>
    <w:rsid w:val="2AAF2F5F"/>
    <w:rsid w:val="342432F0"/>
    <w:rsid w:val="3D323D59"/>
  </w:rsids>
  <m:mathPr>
    <m:mathFont m:val="Cambria Math"/>
    <m:brkBin m:val="before"/>
    <m:brkBinSub m:val="--"/>
    <m:smallFrac m:val="0"/>
    <m:dispDef/>
    <m:lMargin m:val="0"/>
    <m:rMargin m:val="0"/>
    <m:defJc m:val="centerGroup"/>
    <m:wrapIndent m:val="1440"/>
    <m:intLim m:val="subSup"/>
    <m:naryLim m:val="undOvr"/>
  </m:mathPr>
  <w:themeFontLang w:val="sr-Latn-ME"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1"/>
    <w:basedOn w:val="1"/>
    <w:next w:val="1"/>
    <w:link w:val="15"/>
    <w:qFormat/>
    <w:uiPriority w:val="9"/>
    <w:pPr>
      <w:keepNext/>
      <w:keepLines/>
      <w:spacing w:before="240"/>
      <w:outlineLvl w:val="0"/>
    </w:pPr>
    <w:rPr>
      <w:rFonts w:asciiTheme="majorHAnsi" w:hAnsiTheme="majorHAnsi" w:eastAsiaTheme="majorEastAsia" w:cstheme="majorBidi"/>
      <w:color w:val="2E75B6" w:themeColor="accent1" w:themeShade="BF"/>
      <w:sz w:val="32"/>
      <w:szCs w:val="32"/>
    </w:rPr>
  </w:style>
  <w:style w:type="paragraph" w:styleId="3">
    <w:name w:val="heading 2"/>
    <w:basedOn w:val="1"/>
    <w:next w:val="1"/>
    <w:link w:val="23"/>
    <w:unhideWhenUsed/>
    <w:qFormat/>
    <w:uiPriority w:val="9"/>
    <w:pPr>
      <w:keepNext/>
      <w:keepLines/>
      <w:spacing w:before="40"/>
      <w:outlineLvl w:val="1"/>
    </w:pPr>
    <w:rPr>
      <w:rFonts w:asciiTheme="majorHAnsi" w:hAnsiTheme="majorHAnsi" w:eastAsiaTheme="majorEastAsia" w:cstheme="majorBidi"/>
      <w:color w:val="2E75B6" w:themeColor="accent1" w:themeShade="BF"/>
      <w:sz w:val="26"/>
      <w:szCs w:val="26"/>
    </w:rPr>
  </w:style>
  <w:style w:type="paragraph" w:styleId="4">
    <w:name w:val="heading 3"/>
    <w:basedOn w:val="1"/>
    <w:next w:val="1"/>
    <w:link w:val="20"/>
    <w:unhideWhenUsed/>
    <w:qFormat/>
    <w:uiPriority w:val="9"/>
    <w:pPr>
      <w:keepNext/>
      <w:keepLines/>
      <w:spacing w:before="40"/>
      <w:outlineLvl w:val="2"/>
    </w:pPr>
    <w:rPr>
      <w:rFonts w:asciiTheme="majorHAnsi" w:hAnsiTheme="majorHAnsi" w:eastAsiaTheme="majorEastAsia" w:cstheme="majorBidi"/>
      <w:color w:val="1F4E79" w:themeColor="accent1" w:themeShade="80"/>
    </w:rPr>
  </w:style>
  <w:style w:type="paragraph" w:styleId="5">
    <w:name w:val="heading 4"/>
    <w:basedOn w:val="1"/>
    <w:next w:val="1"/>
    <w:unhideWhenUsed/>
    <w:qFormat/>
    <w:uiPriority w:val="9"/>
    <w:pPr>
      <w:keepNext/>
      <w:keepLines/>
      <w:spacing w:before="280" w:after="80"/>
      <w:outlineLvl w:val="3"/>
    </w:pPr>
    <w:rPr>
      <w:color w:val="666666"/>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8">
    <w:name w:val="footer"/>
    <w:basedOn w:val="1"/>
    <w:link w:val="19"/>
    <w:unhideWhenUsed/>
    <w:qFormat/>
    <w:uiPriority w:val="99"/>
    <w:pPr>
      <w:tabs>
        <w:tab w:val="center" w:pos="4536"/>
        <w:tab w:val="right" w:pos="9072"/>
      </w:tabs>
    </w:pPr>
  </w:style>
  <w:style w:type="character" w:styleId="9">
    <w:name w:val="footnote reference"/>
    <w:unhideWhenUsed/>
    <w:qFormat/>
    <w:uiPriority w:val="99"/>
    <w:rPr>
      <w:vertAlign w:val="superscript"/>
    </w:rPr>
  </w:style>
  <w:style w:type="paragraph" w:styleId="10">
    <w:name w:val="footnote text"/>
    <w:basedOn w:val="1"/>
    <w:link w:val="16"/>
    <w:unhideWhenUsed/>
    <w:qFormat/>
    <w:uiPriority w:val="99"/>
    <w:rPr>
      <w:rFonts w:ascii="Calibri" w:hAnsi="Calibri" w:eastAsia="Calibri"/>
      <w:sz w:val="20"/>
      <w:szCs w:val="20"/>
    </w:rPr>
  </w:style>
  <w:style w:type="paragraph" w:styleId="11">
    <w:name w:val="header"/>
    <w:basedOn w:val="1"/>
    <w:link w:val="18"/>
    <w:unhideWhenUsed/>
    <w:qFormat/>
    <w:uiPriority w:val="99"/>
    <w:pPr>
      <w:tabs>
        <w:tab w:val="center" w:pos="4536"/>
        <w:tab w:val="right" w:pos="9072"/>
      </w:tabs>
    </w:pPr>
  </w:style>
  <w:style w:type="character" w:styleId="12">
    <w:name w:val="Hyperlink"/>
    <w:qFormat/>
    <w:uiPriority w:val="99"/>
    <w:rPr>
      <w:color w:val="0000FF"/>
      <w:u w:val="single"/>
    </w:rPr>
  </w:style>
  <w:style w:type="table" w:styleId="13">
    <w:name w:val="Table Grid"/>
    <w:basedOn w:val="7"/>
    <w:qFormat/>
    <w:uiPriority w:val="59"/>
    <w:rPr>
      <w:sz w:val="24"/>
      <w:szCs w:val="24"/>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4">
    <w:name w:val="toc 1"/>
    <w:basedOn w:val="1"/>
    <w:next w:val="1"/>
    <w:autoRedefine/>
    <w:qFormat/>
    <w:uiPriority w:val="39"/>
    <w:pPr>
      <w:spacing w:after="100" w:line="276" w:lineRule="auto"/>
    </w:pPr>
    <w:rPr>
      <w:rFonts w:ascii="Calibri" w:hAnsi="Calibri" w:eastAsia="PMingLiU" w:cs="Calibri"/>
      <w:sz w:val="22"/>
      <w:szCs w:val="22"/>
      <w:lang w:eastAsia="zh-TW"/>
    </w:rPr>
  </w:style>
  <w:style w:type="character" w:customStyle="1" w:styleId="15">
    <w:name w:val="Heading 1 Char"/>
    <w:basedOn w:val="6"/>
    <w:link w:val="2"/>
    <w:qFormat/>
    <w:uiPriority w:val="9"/>
    <w:rPr>
      <w:rFonts w:asciiTheme="majorHAnsi" w:hAnsiTheme="majorHAnsi" w:eastAsiaTheme="majorEastAsia" w:cstheme="majorBidi"/>
      <w:color w:val="2E75B6" w:themeColor="accent1" w:themeShade="BF"/>
      <w:sz w:val="32"/>
      <w:szCs w:val="32"/>
      <w:lang w:val="en-US"/>
    </w:rPr>
  </w:style>
  <w:style w:type="character" w:customStyle="1" w:styleId="16">
    <w:name w:val="Footnote Text Char"/>
    <w:basedOn w:val="6"/>
    <w:link w:val="10"/>
    <w:qFormat/>
    <w:uiPriority w:val="99"/>
    <w:rPr>
      <w:rFonts w:ascii="Calibri" w:hAnsi="Calibri" w:eastAsia="Calibri" w:cs="Times New Roman"/>
      <w:sz w:val="20"/>
      <w:szCs w:val="20"/>
      <w:lang w:val="en-US"/>
    </w:rPr>
  </w:style>
  <w:style w:type="paragraph" w:styleId="17">
    <w:name w:val="No Spacing"/>
    <w:qFormat/>
    <w:uiPriority w:val="1"/>
    <w:rPr>
      <w:rFonts w:ascii="Calibri" w:hAnsi="Calibri" w:eastAsia="Calibri" w:cs="Calibri"/>
      <w:sz w:val="24"/>
      <w:szCs w:val="24"/>
      <w:lang w:val="en-US" w:eastAsia="en-US" w:bidi="ar-SA"/>
    </w:rPr>
  </w:style>
  <w:style w:type="character" w:customStyle="1" w:styleId="18">
    <w:name w:val="Header Char"/>
    <w:basedOn w:val="6"/>
    <w:link w:val="11"/>
    <w:qFormat/>
    <w:uiPriority w:val="99"/>
    <w:rPr>
      <w:rFonts w:ascii="Times New Roman" w:hAnsi="Times New Roman" w:eastAsia="Times New Roman" w:cs="Times New Roman"/>
      <w:sz w:val="24"/>
      <w:szCs w:val="24"/>
      <w:lang w:val="en-US"/>
    </w:rPr>
  </w:style>
  <w:style w:type="character" w:customStyle="1" w:styleId="19">
    <w:name w:val="Footer Char"/>
    <w:basedOn w:val="6"/>
    <w:link w:val="8"/>
    <w:qFormat/>
    <w:uiPriority w:val="99"/>
    <w:rPr>
      <w:rFonts w:ascii="Times New Roman" w:hAnsi="Times New Roman" w:eastAsia="Times New Roman" w:cs="Times New Roman"/>
      <w:sz w:val="24"/>
      <w:szCs w:val="24"/>
      <w:lang w:val="en-US"/>
    </w:rPr>
  </w:style>
  <w:style w:type="character" w:customStyle="1" w:styleId="20">
    <w:name w:val="Heading 3 Char"/>
    <w:basedOn w:val="6"/>
    <w:link w:val="4"/>
    <w:qFormat/>
    <w:uiPriority w:val="9"/>
    <w:rPr>
      <w:rFonts w:asciiTheme="majorHAnsi" w:hAnsiTheme="majorHAnsi" w:eastAsiaTheme="majorEastAsia" w:cstheme="majorBidi"/>
      <w:color w:val="1F4E79" w:themeColor="accent1" w:themeShade="80"/>
      <w:sz w:val="24"/>
      <w:szCs w:val="24"/>
      <w:lang w:val="en-US"/>
    </w:rPr>
  </w:style>
  <w:style w:type="paragraph" w:styleId="21">
    <w:name w:val="List Paragraph"/>
    <w:basedOn w:val="1"/>
    <w:link w:val="22"/>
    <w:qFormat/>
    <w:uiPriority w:val="34"/>
    <w:pPr>
      <w:widowControl w:val="0"/>
      <w:autoSpaceDE w:val="0"/>
      <w:autoSpaceDN w:val="0"/>
      <w:spacing w:before="43"/>
      <w:ind w:left="449" w:hanging="206"/>
    </w:pPr>
    <w:rPr>
      <w:rFonts w:ascii="Calibri" w:hAnsi="Calibri" w:eastAsia="Calibri" w:cs="Calibri"/>
      <w:sz w:val="22"/>
      <w:szCs w:val="22"/>
      <w:lang w:val="hr-HR"/>
    </w:rPr>
  </w:style>
  <w:style w:type="character" w:customStyle="1" w:styleId="22">
    <w:name w:val="List Paragraph Char"/>
    <w:link w:val="21"/>
    <w:qFormat/>
    <w:uiPriority w:val="34"/>
    <w:rPr>
      <w:rFonts w:ascii="Calibri" w:hAnsi="Calibri" w:eastAsia="Calibri" w:cs="Calibri"/>
      <w:lang w:val="hr-HR"/>
    </w:rPr>
  </w:style>
  <w:style w:type="character" w:customStyle="1" w:styleId="23">
    <w:name w:val="Heading 2 Char"/>
    <w:basedOn w:val="6"/>
    <w:link w:val="3"/>
    <w:qFormat/>
    <w:uiPriority w:val="9"/>
    <w:rPr>
      <w:rFonts w:asciiTheme="majorHAnsi" w:hAnsiTheme="majorHAnsi" w:eastAsiaTheme="majorEastAsia" w:cstheme="majorBidi"/>
      <w:color w:val="2E75B6" w:themeColor="accent1" w:themeShade="BF"/>
      <w:sz w:val="26"/>
      <w:szCs w:val="26"/>
      <w:lang w:val="en-US"/>
    </w:rPr>
  </w:style>
  <w:style w:type="character" w:customStyle="1" w:styleId="24">
    <w:name w:val="apple-converted-space"/>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1870</Words>
  <Characters>10663</Characters>
  <Lines>88</Lines>
  <Paragraphs>25</Paragraphs>
  <TotalTime>2</TotalTime>
  <ScaleCrop>false</ScaleCrop>
  <LinksUpToDate>false</LinksUpToDate>
  <CharactersWithSpaces>12508</CharactersWithSpaces>
  <Application>WPS Office_12.2.0.22530_F1E327BC-269C-435d-A152-05C5408002CA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2025-09-17T13:07:00Z</dcterms:created>
  <dc:creator>Oliver Bodven</dc:creator>
  <cp:lastModifiedBy>Asus</cp:lastModifiedBy>
  <dcterms:modified xsi:type="dcterms:W3CDTF">2025-09-17T18:26:30Z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1033-12.2.0.22530</vt:lpwstr>
  </property>
  <property fmtid="{D5CDD505-2E9C-101B-9397-08002B2CF9AE}" pid="3" name="ICV">
    <vt:lpwstr>C198C0D9F8704DD49806AA78707FCAEE_13</vt:lpwstr>
  </property>
</Properties>
</file>