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Broj iz evidencije postupaka javnih nabavki: </w:t>
      </w:r>
      <w:r>
        <w:rPr>
          <w:rFonts w:hint="default" w:ascii="Arial" w:hAnsi="Arial" w:eastAsia="Times New Roman" w:cs="Arial"/>
          <w:sz w:val="24"/>
          <w:szCs w:val="24"/>
          <w:lang w:val="sr-Latn-RS"/>
        </w:rPr>
        <w:t>2</w:t>
      </w:r>
      <w:r>
        <w:rPr>
          <w:rFonts w:ascii="Arial" w:hAnsi="Arial" w:eastAsia="Times New Roman" w:cs="Arial"/>
          <w:sz w:val="24"/>
          <w:szCs w:val="24"/>
          <w:lang w:val="sr-Latn-ME"/>
        </w:rPr>
        <w:t>/202</w:t>
      </w:r>
      <w:r>
        <w:rPr>
          <w:rFonts w:hint="default" w:ascii="Arial" w:hAnsi="Arial" w:eastAsia="Times New Roman" w:cs="Arial"/>
          <w:sz w:val="24"/>
          <w:szCs w:val="24"/>
          <w:lang w:val="sr-Latn-RS"/>
        </w:rPr>
        <w:t>5</w:t>
      </w:r>
      <w:r>
        <w:rPr>
          <w:rFonts w:ascii="Arial" w:hAnsi="Arial" w:eastAsia="Times New Roman" w:cs="Arial"/>
          <w:sz w:val="24"/>
          <w:szCs w:val="24"/>
          <w:lang w:val="sr-Latn-ME"/>
        </w:rPr>
        <w:t xml:space="preserve"> </w:t>
      </w:r>
    </w:p>
    <w:p>
      <w:pPr>
        <w:tabs>
          <w:tab w:val="left" w:pos="1701"/>
          <w:tab w:val="left" w:pos="4820"/>
        </w:tabs>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Redni broj iz Plana javnih nabavki: 3</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highlight w:val="none"/>
          <w:lang w:val="sr-Latn-ME"/>
        </w:rPr>
        <w:t>,</w:t>
      </w:r>
      <w:r>
        <w:rPr>
          <w:rFonts w:hint="default" w:ascii="Arial" w:hAnsi="Arial" w:eastAsia="Calibri" w:cs="Arial"/>
          <w:sz w:val="24"/>
          <w:szCs w:val="24"/>
          <w:highlight w:val="none"/>
          <w:lang w:val="sr-Latn-RS"/>
        </w:rPr>
        <w:t>07.04</w:t>
      </w:r>
      <w:r>
        <w:rPr>
          <w:rFonts w:ascii="Arial" w:hAnsi="Arial" w:eastAsia="Calibri" w:cs="Arial"/>
          <w:sz w:val="24"/>
          <w:szCs w:val="24"/>
          <w:highlight w:val="none"/>
          <w:lang w:val="sr-Latn-ME"/>
        </w:rPr>
        <w:t>.202</w:t>
      </w:r>
      <w:r>
        <w:rPr>
          <w:rFonts w:hint="default" w:ascii="Arial" w:hAnsi="Arial" w:eastAsia="Calibri" w:cs="Arial"/>
          <w:sz w:val="24"/>
          <w:szCs w:val="24"/>
          <w:highlight w:val="none"/>
          <w:lang w:val="sr-Latn-RS"/>
        </w:rPr>
        <w:t>4</w:t>
      </w:r>
      <w:r>
        <w:rPr>
          <w:rFonts w:ascii="Arial" w:hAnsi="Arial" w:eastAsia="Calibri" w:cs="Arial"/>
          <w:sz w:val="24"/>
          <w:szCs w:val="24"/>
          <w:highlight w:val="none"/>
          <w:lang w:val="sr-Latn-ME"/>
        </w:rPr>
        <w:t>.</w:t>
      </w:r>
      <w:r>
        <w:rPr>
          <w:rFonts w:ascii="Arial" w:hAnsi="Arial" w:eastAsia="Calibri" w:cs="Arial"/>
          <w:color w:val="000000"/>
          <w:sz w:val="24"/>
          <w:szCs w:val="24"/>
          <w:lang w:val="sr-Latn-ME"/>
        </w:rPr>
        <w:t xml:space="preserve"> 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Na osnovu člana 53 stav 3 Zakona o javnim nabavkama („Službeni list CG“, br. 74/19, 3/23</w:t>
      </w:r>
      <w:r>
        <w:rPr>
          <w:rFonts w:hint="default" w:ascii="Arial" w:hAnsi="Arial" w:eastAsia="Times New Roman" w:cs="Arial"/>
          <w:sz w:val="24"/>
          <w:szCs w:val="24"/>
          <w:lang w:val="sr-Latn-RS"/>
        </w:rPr>
        <w:t xml:space="preserve">, </w:t>
      </w:r>
      <w:r>
        <w:rPr>
          <w:rFonts w:ascii="Arial" w:hAnsi="Arial" w:eastAsia="Times New Roman" w:cs="Arial"/>
          <w:sz w:val="24"/>
          <w:szCs w:val="24"/>
          <w:lang w:val="sr-Latn-ME"/>
        </w:rPr>
        <w:t>11/23</w:t>
      </w:r>
      <w:r>
        <w:rPr>
          <w:rFonts w:hint="default" w:ascii="Arial" w:hAnsi="Arial" w:eastAsia="Times New Roman" w:cs="Arial"/>
          <w:sz w:val="24"/>
          <w:szCs w:val="24"/>
          <w:lang w:val="sr-Latn-RS"/>
        </w:rPr>
        <w:t xml:space="preserve"> i 84/24 </w:t>
      </w:r>
      <w:r>
        <w:rPr>
          <w:rFonts w:ascii="Arial" w:hAnsi="Arial" w:eastAsia="Times New Roman" w:cs="Arial"/>
          <w:sz w:val="24"/>
          <w:szCs w:val="24"/>
          <w:lang w:val="sr-Latn-ME"/>
        </w:rPr>
        <w:t xml:space="preserve">)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Times New Roman" w:cs="Arial"/>
          <w:color w:val="000000"/>
          <w:sz w:val="30"/>
          <w:szCs w:val="30"/>
          <w:lang w:val="sr-Latn-ME"/>
        </w:rPr>
      </w:pPr>
      <w:r>
        <w:rPr>
          <w:rFonts w:ascii="Arial" w:hAnsi="Arial" w:eastAsia="Calibri" w:cs="Arial"/>
          <w:sz w:val="30"/>
          <w:szCs w:val="30"/>
          <w:lang w:val="sr-Latn-ME"/>
        </w:rPr>
        <w:t>O</w:t>
      </w:r>
      <w:r>
        <w:rPr>
          <w:rFonts w:ascii="Arial" w:hAnsi="Arial" w:eastAsia="Times New Roman" w:cs="Arial"/>
          <w:color w:val="000000"/>
          <w:sz w:val="30"/>
          <w:szCs w:val="30"/>
          <w:lang w:val="sr-Latn-ME"/>
        </w:rPr>
        <w:t>državanje integrisanog informacionog sistema</w:t>
      </w:r>
    </w:p>
    <w:p>
      <w:pPr>
        <w:spacing w:after="0" w:line="240" w:lineRule="auto"/>
        <w:jc w:val="center"/>
        <w:rPr>
          <w:rFonts w:ascii="Arial" w:hAnsi="Arial" w:eastAsia="Calibri" w:cs="Arial"/>
          <w:bCs/>
          <w:sz w:val="30"/>
          <w:szCs w:val="30"/>
          <w:lang w:val="sr-Latn-ME"/>
        </w:rPr>
      </w:pPr>
      <w:r>
        <w:rPr>
          <w:rFonts w:ascii="Arial" w:hAnsi="Arial" w:eastAsia="Times New Roman" w:cs="Arial"/>
          <w:color w:val="000000"/>
          <w:sz w:val="30"/>
          <w:szCs w:val="30"/>
          <w:lang w:val="sr-Latn-ME"/>
        </w:rPr>
        <w:t xml:space="preserve"> državnog trezora - SAP</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 </w:t>
      </w:r>
      <w:r>
        <w:rPr>
          <w:rFonts w:ascii="Arial" w:hAnsi="Arial" w:eastAsia="Calibri" w:cs="Arial"/>
          <w:sz w:val="24"/>
          <w:szCs w:val="24"/>
          <w:lang w:val="sr-Latn-CS"/>
        </w:rPr>
        <w:t xml:space="preserve">85.000,00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jc w:val="both"/>
        <w:rPr>
          <w:rFonts w:ascii="Arial" w:hAnsi="Arial" w:eastAsia="Times New Roman" w:cs="Arial"/>
          <w:sz w:val="24"/>
          <w:szCs w:val="24"/>
        </w:rPr>
      </w:pPr>
      <w:r>
        <w:rPr>
          <w:rFonts w:ascii="Arial" w:hAnsi="Arial" w:eastAsia="Calibri" w:cs="Arial"/>
          <w:sz w:val="24"/>
          <w:szCs w:val="24"/>
          <w:lang w:val="sr-Latn-ME"/>
        </w:rPr>
        <w:t xml:space="preserve">Predmet nabavke su usluge održavanja informacionog sistema državnog trezora - </w:t>
      </w:r>
      <w:r>
        <w:rPr>
          <w:rFonts w:ascii="Arial" w:hAnsi="Arial" w:eastAsia="Calibri" w:cs="Arial"/>
          <w:sz w:val="24"/>
          <w:szCs w:val="24"/>
          <w:lang w:val="it-IT"/>
        </w:rPr>
        <w:t xml:space="preserve">SAP,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w:t>
      </w:r>
      <w:r>
        <w:rPr>
          <w:rFonts w:ascii="Arial" w:hAnsi="Arial" w:eastAsia="Times New Roman" w:cs="Arial"/>
          <w:sz w:val="24"/>
          <w:szCs w:val="24"/>
          <w:vertAlign w:val="superscript"/>
          <w:lang w:val="sr-Latn-ME"/>
        </w:rPr>
        <w:t xml:space="preserve">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jc w:val="both"/>
        <w:rPr>
          <w:rFonts w:ascii="Arial" w:hAnsi="Arial" w:eastAsia="Calibri" w:cs="Arial"/>
          <w:sz w:val="24"/>
          <w:szCs w:val="24"/>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(C)</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 xml:space="preserve">70 </w:t>
      </w:r>
    </w:p>
    <w:p>
      <w:pPr>
        <w:ind w:left="284"/>
        <w:jc w:val="both"/>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(K)</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broj bodova  </w:t>
      </w:r>
      <w:r>
        <w:rPr>
          <w:rFonts w:ascii="Arial" w:hAnsi="Arial" w:eastAsia="Calibri" w:cs="Arial"/>
          <w:sz w:val="24"/>
          <w:szCs w:val="24"/>
          <w:bdr w:val="single" w:color="auto" w:sz="4" w:space="0"/>
          <w:lang w:val="sr-Latn-ME"/>
        </w:rPr>
        <w:t>30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parametar najniža ponuđena cijena (C) vrednovaće se na sljedeći način: ukupno 70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najniža ponuđena cijena izračunavaju se na način što se kao osnova za vrednovanje uzima najniža ponuđena cijena, koja dobija maksimalan broj bodova – 70 bodova.</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 70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spacing w:after="0" w:line="240" w:lineRule="auto"/>
        <w:jc w:val="both"/>
        <w:rPr>
          <w:rFonts w:ascii="Arial" w:hAnsi="Arial" w:eastAsia="Calibri" w:cs="Arial"/>
          <w:b/>
          <w:sz w:val="24"/>
          <w:szCs w:val="24"/>
          <w:lang w:val="sr-Latn-ME"/>
        </w:rPr>
      </w:pPr>
      <w:r>
        <w:rPr>
          <w:rFonts w:ascii="Arial" w:hAnsi="Arial" w:eastAsia="Calibri" w:cs="Arial"/>
          <w:b/>
          <w:color w:val="000000"/>
          <w:sz w:val="24"/>
          <w:szCs w:val="24"/>
          <w:lang w:val="sr-Latn-ME"/>
        </w:rPr>
        <w:sym w:font="Wingdings" w:char="F0FE"/>
      </w:r>
      <w:r>
        <w:rPr>
          <w:rFonts w:ascii="Arial" w:hAnsi="Arial" w:eastAsia="Calibri" w:cs="Arial"/>
          <w:b/>
          <w:sz w:val="24"/>
          <w:szCs w:val="24"/>
          <w:lang w:val="sr-Latn-ME"/>
        </w:rPr>
        <w:t xml:space="preserve"> parametar kvalitet (K) – iskustvo lica kojima će biti povjereno izvršenje predmeta nabavke vrednovaće se na sljedeći način – ukupno 30 bodova</w:t>
      </w:r>
    </w:p>
    <w:p>
      <w:pPr>
        <w:spacing w:after="0" w:line="240" w:lineRule="auto"/>
        <w:rPr>
          <w:rFonts w:ascii="Arial" w:hAnsi="Arial" w:eastAsia="Calibri" w:cs="Arial"/>
          <w:b/>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Kao osnova za vrednovanje uzimaju se reference osoblja angažovanog na projektu. Naručilac je u cilju vrednovanja odredio da se za parametar kvalitet uvedu dodatni elementi, na način što se za svaki element utvrdi određeni broj bodova tako da njihov zbir daje maksimalan broj bodova predviđen po ovom parametru (30 bodova), i to:</w:t>
      </w:r>
    </w:p>
    <w:p>
      <w:pPr>
        <w:spacing w:before="96" w:after="120" w:line="360" w:lineRule="atLeast"/>
        <w:jc w:val="both"/>
        <w:rPr>
          <w:rFonts w:ascii="Arial" w:hAnsi="Arial" w:eastAsia="Calibri" w:cs="Arial"/>
          <w:sz w:val="24"/>
          <w:szCs w:val="24"/>
          <w:u w:val="single"/>
          <w:lang w:val="sr-Latn-ME"/>
        </w:rPr>
      </w:pPr>
      <w:r>
        <w:rPr>
          <w:rFonts w:ascii="Arial" w:hAnsi="Arial" w:eastAsia="Calibri" w:cs="Arial"/>
          <w:b/>
          <w:sz w:val="24"/>
          <w:szCs w:val="24"/>
          <w:lang w:val="sr-Latn-ME"/>
        </w:rPr>
        <w:t xml:space="preserve">a) </w:t>
      </w:r>
      <w:r>
        <w:rPr>
          <w:rFonts w:ascii="Arial" w:hAnsi="Arial" w:eastAsia="Calibri" w:cs="Arial"/>
          <w:b/>
          <w:color w:val="000000"/>
          <w:sz w:val="24"/>
          <w:szCs w:val="24"/>
          <w:lang w:val="sl-SI"/>
        </w:rPr>
        <w:t>Konsultant za održavanje funkcionalnosti SAP modula koji su predmet nabavke</w:t>
      </w:r>
      <w:r>
        <w:rPr>
          <w:rFonts w:ascii="Arial" w:hAnsi="Arial" w:eastAsia="Calibri" w:cs="Arial"/>
          <w:b/>
          <w:sz w:val="24"/>
          <w:szCs w:val="24"/>
          <w:lang w:val="sr-Latn-ME"/>
        </w:rPr>
        <w:t xml:space="preserve"> (K1) – </w:t>
      </w:r>
      <w:r>
        <w:rPr>
          <w:rFonts w:ascii="Arial" w:hAnsi="Arial" w:eastAsia="Calibri" w:cs="Arial"/>
          <w:sz w:val="24"/>
          <w:szCs w:val="24"/>
          <w:lang w:val="sr-Latn-ME"/>
        </w:rPr>
        <w:t>najmanje</w:t>
      </w:r>
      <w:r>
        <w:rPr>
          <w:rFonts w:ascii="Arial" w:hAnsi="Arial" w:eastAsia="Calibri" w:cs="Arial"/>
          <w:b/>
          <w:sz w:val="24"/>
          <w:szCs w:val="24"/>
          <w:lang w:val="sr-Latn-ME"/>
        </w:rPr>
        <w:t xml:space="preserve"> </w:t>
      </w:r>
      <w:r>
        <w:rPr>
          <w:rFonts w:ascii="Arial" w:hAnsi="Arial" w:eastAsia="Calibri" w:cs="Arial"/>
          <w:sz w:val="24"/>
          <w:szCs w:val="24"/>
          <w:lang w:val="sr-Latn-ME"/>
        </w:rPr>
        <w:t>jedno lice</w:t>
      </w:r>
      <w:r>
        <w:rPr>
          <w:rFonts w:ascii="Arial" w:hAnsi="Arial" w:eastAsia="Calibri" w:cs="Arial"/>
          <w:b/>
          <w:sz w:val="24"/>
          <w:szCs w:val="24"/>
          <w:lang w:val="sr-Latn-ME"/>
        </w:rPr>
        <w:t>,</w:t>
      </w:r>
      <w:r>
        <w:rPr>
          <w:rFonts w:ascii="Arial" w:hAnsi="Arial" w:eastAsia="Calibri" w:cs="Arial"/>
          <w:sz w:val="24"/>
          <w:szCs w:val="24"/>
          <w:lang w:val="sr-Latn-ME"/>
        </w:rPr>
        <w:t xml:space="preserve"> izračunava se na način što se kao osnova za vrednovanje uzima broj uspješno realizovanih projekata koji uključuju implementaciju, nadogradnju ili održavanje SAP poslovnih sistema u kojima je lice učestvovalo kao SAP konsultant </w:t>
      </w:r>
      <w:r>
        <w:rPr>
          <w:rFonts w:ascii="Arial" w:hAnsi="Arial" w:eastAsia="Calibri" w:cs="Arial"/>
          <w:color w:val="000000"/>
          <w:sz w:val="24"/>
          <w:szCs w:val="24"/>
          <w:lang w:val="sl-SI"/>
        </w:rPr>
        <w:t>za održavanje funkcionalnosti SAP modula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 bodova</w:t>
      </w:r>
    </w:p>
    <w:p>
      <w:pPr>
        <w:spacing w:before="96"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xml:space="preserve">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će se bodovati na sljedeći način:</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Najveći 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dobija maksimalni broj bodova (10 bodova)</w:t>
      </w:r>
    </w:p>
    <w:p>
      <w:pPr>
        <w:spacing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K1=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Kp –  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Kmax – najveći ponuđeni broj uspješno realizovanih projekata u kojima je lice učestvovalo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koji uključuju implementaciju, nadogradnju ili održavanje SAP poslovnih sistema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b/>
          <w:color w:val="000000"/>
          <w:sz w:val="24"/>
          <w:szCs w:val="24"/>
          <w:lang w:val="sl-SI"/>
        </w:rPr>
        <w:t xml:space="preserve"> </w:t>
      </w:r>
      <w:r>
        <w:rPr>
          <w:rFonts w:ascii="Arial" w:hAnsi="Arial" w:eastAsia="Calibri" w:cs="Arial"/>
          <w:sz w:val="24"/>
          <w:szCs w:val="24"/>
          <w:lang w:val="sr-Latn-ME"/>
        </w:rPr>
        <w:t>tokom prethodnih godina ali ne duže od deset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ascii="Arial" w:hAnsi="Arial" w:eastAsia="Calibri" w:cs="Arial"/>
          <w:b/>
          <w:sz w:val="24"/>
          <w:szCs w:val="24"/>
          <w:lang w:val="sr-Latn-ME"/>
        </w:rPr>
      </w:pPr>
    </w:p>
    <w:p>
      <w:pPr>
        <w:spacing w:line="276" w:lineRule="auto"/>
        <w:jc w:val="both"/>
        <w:rPr>
          <w:rFonts w:ascii="Arial" w:hAnsi="Arial" w:eastAsia="Calibri" w:cs="Arial"/>
          <w:sz w:val="24"/>
          <w:szCs w:val="24"/>
          <w:lang w:val="sr-Latn-ME"/>
        </w:rPr>
      </w:pPr>
      <w:r>
        <w:rPr>
          <w:rFonts w:ascii="Arial" w:hAnsi="Arial" w:eastAsia="Calibri" w:cs="Arial"/>
          <w:b/>
          <w:sz w:val="24"/>
          <w:szCs w:val="24"/>
          <w:lang w:val="sr-Latn-ME"/>
        </w:rPr>
        <w:t>b) SAP tehnički konsultant</w:t>
      </w:r>
      <w:r>
        <w:rPr>
          <w:rFonts w:ascii="Arial" w:hAnsi="Arial" w:eastAsia="Calibri" w:cs="Arial"/>
          <w:sz w:val="24"/>
          <w:szCs w:val="24"/>
          <w:lang w:val="sr-Latn-ME"/>
        </w:rPr>
        <w:t xml:space="preserve"> </w:t>
      </w:r>
      <w:r>
        <w:rPr>
          <w:rFonts w:ascii="Arial" w:hAnsi="Arial" w:eastAsia="Calibri" w:cs="Arial"/>
          <w:b/>
          <w:sz w:val="24"/>
          <w:szCs w:val="24"/>
          <w:lang w:val="sr-Latn-ME"/>
        </w:rPr>
        <w:t>(K2) –</w:t>
      </w:r>
      <w:r>
        <w:rPr>
          <w:rFonts w:ascii="Arial" w:hAnsi="Arial" w:eastAsia="Calibri" w:cs="Arial"/>
          <w:sz w:val="24"/>
          <w:szCs w:val="24"/>
          <w:lang w:val="sr-Latn-ME"/>
        </w:rPr>
        <w:t xml:space="preserve"> najmanje jedno lice, izračunava se na način što se kao osnova za vrednovanje uzima broj uspješno realizovanih projekata na kojima je lice učestvovalo kao SAP tehnički konsultant</w:t>
      </w:r>
      <w:r>
        <w:rPr>
          <w:rFonts w:ascii="Arial" w:hAnsi="Arial" w:eastAsia="Calibri" w:cs="Arial"/>
          <w:color w:val="000000"/>
          <w:sz w:val="24"/>
          <w:szCs w:val="24"/>
          <w:lang w:val="sl-SI"/>
        </w:rPr>
        <w:t xml:space="preserve"> na poslovima implementacije, nadogradnje ili održavanja tehničke infrastrukture SAP poslovnih sistema - sistem i baza podataka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w:t>
      </w:r>
      <w:r>
        <w:rPr>
          <w:rFonts w:ascii="Arial" w:hAnsi="Arial" w:eastAsia="Calibri" w:cs="Arial"/>
          <w:sz w:val="24"/>
          <w:szCs w:val="24"/>
          <w:lang w:val="sr-Latn-ME"/>
        </w:rPr>
        <w:t xml:space="preserve"> </w:t>
      </w:r>
      <w:r>
        <w:rPr>
          <w:rFonts w:ascii="Arial" w:hAnsi="Arial" w:eastAsia="Calibri" w:cs="Arial"/>
          <w:b/>
          <w:sz w:val="24"/>
          <w:szCs w:val="24"/>
          <w:lang w:val="sr-Latn-ME"/>
        </w:rPr>
        <w:t>bodova.</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Broj uspješno realizovanih projekata na kojima je lice učestvovalo kao SAP tehnički konsultant će se bodovati na sljedeći način:</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Najveći broj uspješno realizovanih projekata na kojima je lice učestvovalo kao SAP tehnički konsultant dobija maksimalni broj bodova (10 bodova)</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xml:space="preserve">-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K2=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Kp –  broj uspješno realizovanih projekata na kojima je lice učestvovalo kao SAP tehnički konsultant </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Kmax – najveći broj ponuđenih uspješno realizovanih projekata na kojima je lice učestvovalo kao SAP tehnički konsultant</w:t>
      </w:r>
    </w:p>
    <w:p>
      <w:pPr>
        <w:spacing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u u kojima je lice učestvovalo kao SAP tehnički konsultant</w:t>
      </w:r>
      <w:r>
        <w:rPr>
          <w:rFonts w:ascii="Arial" w:hAnsi="Arial" w:eastAsia="Calibri" w:cs="Arial"/>
          <w:color w:val="000000"/>
          <w:sz w:val="24"/>
          <w:szCs w:val="24"/>
          <w:lang w:val="sl-SI"/>
        </w:rPr>
        <w:t xml:space="preserve"> na poslovima implementacije, nadogradnje ili održavanja tehničke infrastrukture SAP poslovnih sistema (sistem i baza podataka)</w:t>
      </w:r>
      <w:r>
        <w:rPr>
          <w:rFonts w:ascii="Arial" w:hAnsi="Arial" w:eastAsia="Calibri" w:cs="Arial"/>
          <w:sz w:val="24"/>
          <w:szCs w:val="24"/>
          <w:lang w:val="sr-Latn-ME"/>
        </w:rPr>
        <w:t>, tokom prethodnih godina ali ne duže od deset godina, računajući i godinu u kojoj je započet postupak javne nabavke, koje sadrže opis i vrijednost predmeta nabavke, vrijeme realizacije ugovora i konstataciju da je ugovor blagovremeno i kvalitetno izvršen.</w:t>
      </w:r>
    </w:p>
    <w:p>
      <w:pPr>
        <w:autoSpaceDE w:val="0"/>
        <w:autoSpaceDN w:val="0"/>
        <w:adjustRightInd w:val="0"/>
        <w:spacing w:after="0" w:line="240" w:lineRule="auto"/>
        <w:jc w:val="both"/>
        <w:rPr>
          <w:rFonts w:ascii="Arial" w:hAnsi="Arial" w:eastAsia="Calibri" w:cs="Arial"/>
          <w:color w:val="000000"/>
          <w:sz w:val="24"/>
          <w:szCs w:val="24"/>
          <w:lang w:val="sl-SI"/>
        </w:rPr>
      </w:pPr>
      <w:r>
        <w:rPr>
          <w:rFonts w:ascii="Arial" w:hAnsi="Arial" w:eastAsia="Calibri" w:cs="Arial"/>
          <w:b/>
          <w:sz w:val="24"/>
          <w:szCs w:val="24"/>
          <w:lang w:val="sr-Latn-ME"/>
        </w:rPr>
        <w:t>c) Konsultant</w:t>
      </w:r>
      <w:r>
        <w:rPr>
          <w:rFonts w:ascii="Arial" w:hAnsi="Arial" w:eastAsia="Calibri" w:cs="Arial"/>
          <w:b/>
          <w:color w:val="000000"/>
          <w:sz w:val="24"/>
          <w:szCs w:val="24"/>
          <w:lang w:val="sl-SI"/>
        </w:rPr>
        <w:t xml:space="preserve"> za administraciju i održavanje sistemskog virtuelnog okruženja i infrastrukture neophodne za funkcionisanje sistema</w:t>
      </w:r>
      <w:r>
        <w:rPr>
          <w:rFonts w:ascii="Arial" w:hAnsi="Arial" w:eastAsia="Calibri" w:cs="Arial"/>
          <w:color w:val="000000"/>
          <w:sz w:val="24"/>
          <w:szCs w:val="24"/>
          <w:lang w:val="sl-SI"/>
        </w:rPr>
        <w:t xml:space="preserve"> </w:t>
      </w:r>
      <w:r>
        <w:rPr>
          <w:rFonts w:ascii="Arial" w:hAnsi="Arial" w:eastAsia="Calibri" w:cs="Arial"/>
          <w:b/>
          <w:color w:val="000000"/>
          <w:sz w:val="24"/>
          <w:szCs w:val="24"/>
          <w:lang w:val="sl-SI"/>
        </w:rPr>
        <w:t>(K3)</w:t>
      </w:r>
      <w:r>
        <w:rPr>
          <w:rFonts w:ascii="Arial" w:hAnsi="Arial" w:eastAsia="Calibri" w:cs="Arial"/>
          <w:color w:val="000000"/>
          <w:sz w:val="24"/>
          <w:szCs w:val="24"/>
          <w:lang w:val="sl-SI"/>
        </w:rPr>
        <w:t xml:space="preserve"> - najmanje</w:t>
      </w:r>
      <w:r>
        <w:rPr>
          <w:rFonts w:ascii="Arial" w:hAnsi="Arial" w:eastAsia="Calibri" w:cs="Arial"/>
          <w:sz w:val="24"/>
          <w:szCs w:val="24"/>
          <w:lang w:val="sr-Latn-ME"/>
        </w:rPr>
        <w:t xml:space="preserve"> jedno lice, izračunava se na način što se kao osnova za vrednovanje uzima broj uspješno realizovanih projekata </w:t>
      </w:r>
      <w:r>
        <w:rPr>
          <w:rFonts w:ascii="Arial" w:hAnsi="Arial" w:eastAsia="Calibri" w:cs="Arial"/>
          <w:color w:val="000000"/>
          <w:sz w:val="24"/>
          <w:szCs w:val="24"/>
          <w:lang w:val="sl-SI"/>
        </w:rPr>
        <w:t xml:space="preserve">implementacije, nadogradnje ili održavanja informacionih sistema </w:t>
      </w:r>
      <w:r>
        <w:rPr>
          <w:rFonts w:ascii="Arial" w:hAnsi="Arial" w:eastAsia="Calibri" w:cs="Arial"/>
          <w:sz w:val="24"/>
          <w:szCs w:val="24"/>
          <w:lang w:val="sr-Latn-ME"/>
        </w:rPr>
        <w:t>u kojima je lice učestvovalo kao tehnički konsultant</w:t>
      </w:r>
      <w:r>
        <w:rPr>
          <w:rFonts w:ascii="Arial" w:hAnsi="Arial" w:eastAsia="Calibri" w:cs="Arial"/>
          <w:b/>
          <w:color w:val="000000"/>
          <w:sz w:val="24"/>
          <w:szCs w:val="24"/>
          <w:lang w:val="sl-SI"/>
        </w:rPr>
        <w:t xml:space="preserve"> </w:t>
      </w:r>
      <w:r>
        <w:rPr>
          <w:rFonts w:ascii="Arial" w:hAnsi="Arial" w:eastAsia="Calibri" w:cs="Arial"/>
          <w:color w:val="000000"/>
          <w:sz w:val="24"/>
          <w:szCs w:val="24"/>
          <w:lang w:val="sl-SI"/>
        </w:rPr>
        <w:t>za implementaciju ili održavanje sistemskog virtuelnog okruženja i infrastrukture neophodne za funkcionisanje sistema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w:t>
      </w:r>
      <w:r>
        <w:rPr>
          <w:rFonts w:ascii="Arial" w:hAnsi="Arial" w:eastAsia="Calibri" w:cs="Arial"/>
          <w:sz w:val="24"/>
          <w:szCs w:val="24"/>
          <w:lang w:val="sr-Latn-ME"/>
        </w:rPr>
        <w:t xml:space="preserve"> </w:t>
      </w:r>
      <w:r>
        <w:rPr>
          <w:rFonts w:ascii="Arial" w:hAnsi="Arial" w:eastAsia="Calibri" w:cs="Arial"/>
          <w:b/>
          <w:sz w:val="24"/>
          <w:szCs w:val="24"/>
          <w:lang w:val="sr-Latn-ME"/>
        </w:rPr>
        <w:t>bodova.</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Broj uspješno realizovanih projekata na kojima je lice učestvovalo kao tehnički konsultant će se bodovati na sljedeći način:</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Najveći broj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r>
        <w:rPr>
          <w:rFonts w:ascii="Arial" w:hAnsi="Arial" w:eastAsia="Calibri" w:cs="Arial"/>
          <w:sz w:val="24"/>
          <w:szCs w:val="24"/>
          <w:lang w:val="sr-Latn-ME"/>
        </w:rPr>
        <w:t xml:space="preserve"> dobija maksimalni broj bodova (10 bodova)</w:t>
      </w:r>
    </w:p>
    <w:p>
      <w:pPr>
        <w:spacing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K3=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Kp –  broj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Kmax – najveći broj ponuđenih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p>
    <w:p>
      <w:pPr>
        <w:spacing w:before="96"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u projektima implementacije, nadogradnje ili održavanja </w:t>
      </w:r>
      <w:r>
        <w:rPr>
          <w:rFonts w:ascii="Arial" w:hAnsi="Arial" w:eastAsia="Calibri" w:cs="Arial"/>
          <w:color w:val="000000"/>
          <w:sz w:val="24"/>
          <w:szCs w:val="24"/>
          <w:lang w:val="sl-SI"/>
        </w:rPr>
        <w:t xml:space="preserve">informacionih sistema, </w:t>
      </w:r>
      <w:r>
        <w:rPr>
          <w:rFonts w:ascii="Arial" w:hAnsi="Arial" w:eastAsia="Calibri" w:cs="Arial"/>
          <w:sz w:val="24"/>
          <w:szCs w:val="24"/>
          <w:lang w:val="sr-Latn-ME"/>
        </w:rPr>
        <w:t>u kojima je lice učestvovalo kao konsultant</w:t>
      </w:r>
      <w:r>
        <w:rPr>
          <w:rFonts w:ascii="Arial" w:hAnsi="Arial" w:eastAsia="Calibri" w:cs="Arial"/>
          <w:b/>
          <w:color w:val="000000"/>
          <w:sz w:val="24"/>
          <w:szCs w:val="24"/>
          <w:lang w:val="sl-SI"/>
        </w:rPr>
        <w:t xml:space="preserve"> </w:t>
      </w:r>
      <w:r>
        <w:rPr>
          <w:rFonts w:ascii="Arial" w:hAnsi="Arial" w:eastAsia="Calibri" w:cs="Arial"/>
          <w:color w:val="000000"/>
          <w:sz w:val="24"/>
          <w:szCs w:val="24"/>
          <w:lang w:val="sl-SI"/>
        </w:rPr>
        <w:t>za implementaciju ili održavanje sistemskog virtuelnog okruženja i infrastrukture neophodne za funkcionisanje sistema</w:t>
      </w:r>
      <w:r>
        <w:rPr>
          <w:rFonts w:ascii="Arial" w:hAnsi="Arial" w:eastAsia="Calibri" w:cs="Arial"/>
          <w:sz w:val="24"/>
          <w:szCs w:val="24"/>
          <w:lang w:val="sr-Latn-ME"/>
        </w:rPr>
        <w:t>, tokom prethodnih godina ali ne duže od deset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ascii="Arial" w:hAnsi="Arial" w:eastAsia="Calibri" w:cs="Arial"/>
          <w:b/>
          <w:sz w:val="24"/>
          <w:szCs w:val="24"/>
          <w:lang w:val="sr-Latn-ME"/>
        </w:rPr>
      </w:pPr>
      <w:r>
        <w:rPr>
          <w:rFonts w:ascii="Arial" w:hAnsi="Arial" w:eastAsia="Calibri" w:cs="Arial"/>
          <w:b/>
          <w:sz w:val="24"/>
          <w:szCs w:val="24"/>
          <w:lang w:val="sr-Latn-ME"/>
        </w:rPr>
        <w:t xml:space="preserve">Napomena: U skladu sa Pravilnikom o metodologiji načina vrednovanja ponuda u postupku javnih nabavki, vrednovanje će se vršiti za ponuđene parametre iznad predviđenih minimalnih zahtjeva stručne i tehničke osposobljenosti. </w:t>
      </w:r>
    </w:p>
    <w:p>
      <w:pPr>
        <w:spacing w:after="0"/>
        <w:jc w:val="both"/>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bookmarkStart w:id="6" w:name="_Toc62730561"/>
      <w:r>
        <w:rPr>
          <w:rFonts w:ascii="Arial" w:hAnsi="Arial" w:eastAsia="Calibri" w:cs="Arial"/>
          <w:sz w:val="24"/>
          <w:szCs w:val="24"/>
          <w:lang w:val="sr-Latn-CS" w:eastAsia="zh-CN"/>
        </w:rPr>
        <w:t>- tehničke karakteristike u dijelu opisa predmeta nabavke, koje je Naručilac naveo na engleskom jeziku.</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Arial" w:hAnsi="Arial" w:eastAsia="Calibri" w:cs="Arial"/>
          <w:sz w:val="24"/>
          <w:szCs w:val="24"/>
        </w:rPr>
        <w:t xml:space="preserve">- traženi </w:t>
      </w:r>
      <w:r>
        <w:rPr>
          <w:rFonts w:ascii="Arial" w:hAnsi="Arial" w:eastAsia="Times New Roman" w:cs="Arial"/>
          <w:sz w:val="24"/>
          <w:szCs w:val="24"/>
          <w:lang w:val="sr-Latn-CS" w:eastAsia="sr-Latn-CS"/>
        </w:rPr>
        <w:t xml:space="preserve">sertifikati u pogledu ispunjavanja uslova stručno - tehničke sposobnosti  mogu </w:t>
      </w:r>
      <w:r>
        <w:rPr>
          <w:rFonts w:ascii="Arial" w:hAnsi="Arial" w:eastAsia="Calibri" w:cs="Arial"/>
          <w:sz w:val="24"/>
          <w:szCs w:val="24"/>
        </w:rPr>
        <w:t>biti na engleskom jeziku.</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8. NAČIN, MJESTO I VRIJEME PODNOŠENJA PONUDA I OTVARANJA PONUDA</w:t>
      </w:r>
      <w:bookmarkEnd w:id="6"/>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Ponude se podnose preko ESJN-a zaključno sa danom </w:t>
      </w:r>
      <w:r>
        <w:rPr>
          <w:rFonts w:hint="default" w:ascii="Arial" w:hAnsi="Arial" w:eastAsia="Times New Roman" w:cs="Arial"/>
          <w:color w:val="000000"/>
          <w:sz w:val="24"/>
          <w:szCs w:val="24"/>
          <w:highlight w:val="none"/>
          <w:lang w:val="sr-Latn-RS"/>
        </w:rPr>
        <w:t>23.04</w:t>
      </w:r>
      <w:r>
        <w:rPr>
          <w:rFonts w:ascii="Arial" w:hAnsi="Arial" w:eastAsia="Times New Roman" w:cs="Arial"/>
          <w:color w:val="000000"/>
          <w:sz w:val="24"/>
          <w:szCs w:val="24"/>
          <w:highlight w:val="none"/>
          <w:lang w:val="sr-Latn-ME"/>
        </w:rPr>
        <w:t>.202</w:t>
      </w:r>
      <w:r>
        <w:rPr>
          <w:rFonts w:hint="default" w:ascii="Arial" w:hAnsi="Arial" w:eastAsia="Times New Roman" w:cs="Arial"/>
          <w:color w:val="000000"/>
          <w:sz w:val="24"/>
          <w:szCs w:val="24"/>
          <w:highlight w:val="none"/>
          <w:lang w:val="sr-Latn-RS"/>
        </w:rPr>
        <w:t>5</w:t>
      </w:r>
      <w:r>
        <w:rPr>
          <w:rFonts w:ascii="Arial" w:hAnsi="Arial" w:eastAsia="Times New Roman" w:cs="Arial"/>
          <w:color w:val="000000"/>
          <w:sz w:val="24"/>
          <w:szCs w:val="24"/>
          <w:lang w:val="sr-Latn-ME"/>
        </w:rPr>
        <w:t>. godine do 1</w:t>
      </w:r>
      <w:r>
        <w:rPr>
          <w:rFonts w:hint="default" w:ascii="Arial" w:hAnsi="Arial" w:eastAsia="Times New Roman" w:cs="Arial"/>
          <w:color w:val="000000"/>
          <w:sz w:val="24"/>
          <w:szCs w:val="24"/>
          <w:lang w:val="sr-Latn-RS"/>
        </w:rPr>
        <w:t>3</w:t>
      </w:r>
      <w:r>
        <w:rPr>
          <w:rFonts w:ascii="Arial" w:hAnsi="Arial" w:eastAsia="Times New Roman" w:cs="Arial"/>
          <w:color w:val="000000"/>
          <w:sz w:val="24"/>
          <w:szCs w:val="24"/>
          <w:lang w:val="sr-Latn-ME"/>
        </w:rPr>
        <w:t>:00 sati.</w:t>
      </w:r>
    </w:p>
    <w:p>
      <w:pPr>
        <w:spacing w:after="0" w:line="240" w:lineRule="auto"/>
        <w:jc w:val="both"/>
        <w:rPr>
          <w:rFonts w:ascii="Arial" w:hAnsi="Arial" w:eastAsia="Times New Roman" w:cs="Arial"/>
          <w:b/>
          <w:bCs/>
          <w:i/>
          <w:i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Otvaranje ponuda održaće se dana </w:t>
      </w:r>
      <w:r>
        <w:rPr>
          <w:rFonts w:hint="default" w:ascii="Arial" w:hAnsi="Arial" w:eastAsia="Times New Roman" w:cs="Arial"/>
          <w:color w:val="000000"/>
          <w:sz w:val="24"/>
          <w:szCs w:val="24"/>
          <w:highlight w:val="none"/>
          <w:lang w:val="sr-Latn-RS"/>
        </w:rPr>
        <w:t>23.04.2025</w:t>
      </w:r>
      <w:r>
        <w:rPr>
          <w:rFonts w:ascii="Arial" w:hAnsi="Arial" w:eastAsia="Times New Roman" w:cs="Arial"/>
          <w:color w:val="000000"/>
          <w:sz w:val="24"/>
          <w:szCs w:val="24"/>
          <w:highlight w:val="none"/>
          <w:lang w:val="sr-Latn-ME"/>
        </w:rPr>
        <w:t xml:space="preserve">. </w:t>
      </w:r>
      <w:r>
        <w:rPr>
          <w:rFonts w:ascii="Arial" w:hAnsi="Arial" w:eastAsia="Times New Roman" w:cs="Arial"/>
          <w:color w:val="000000"/>
          <w:sz w:val="24"/>
          <w:szCs w:val="24"/>
          <w:lang w:val="sr-Latn-ME"/>
        </w:rPr>
        <w:t>godine u 1</w:t>
      </w:r>
      <w:r>
        <w:rPr>
          <w:rFonts w:hint="default" w:ascii="Arial" w:hAnsi="Arial" w:eastAsia="Times New Roman" w:cs="Arial"/>
          <w:color w:val="000000"/>
          <w:sz w:val="24"/>
          <w:szCs w:val="24"/>
          <w:lang w:val="sr-Latn-RS"/>
        </w:rPr>
        <w:t>3</w:t>
      </w:r>
      <w:r>
        <w:rPr>
          <w:rFonts w:ascii="Arial" w:hAnsi="Arial" w:eastAsia="Times New Roman" w:cs="Arial"/>
          <w:color w:val="000000"/>
          <w:sz w:val="24"/>
          <w:szCs w:val="24"/>
          <w:lang w:val="sr-Latn-ME"/>
        </w:rPr>
        <w:t xml:space="preserve">:00 sati. </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lang w:val="sr-Latn-ME"/>
        </w:rPr>
        <w:t>dužan je da putem ESJN dostavi kopiju garancije ponude, a da original garancije ponude dostavi, odnosno uruči naručiocu</w:t>
      </w:r>
      <w:r>
        <w:rPr>
          <w:rFonts w:ascii="Arial" w:hAnsi="Arial" w:eastAsia="Times New Roman" w:cs="Arial"/>
          <w:color w:val="000000"/>
          <w:sz w:val="24"/>
          <w:szCs w:val="24"/>
          <w:lang w:val="sr-Latn-ME"/>
        </w:rPr>
        <w:t>:</w:t>
      </w:r>
    </w:p>
    <w:p>
      <w:pPr>
        <w:pStyle w:val="13"/>
        <w:numPr>
          <w:ilvl w:val="0"/>
          <w:numId w:val="7"/>
        </w:num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t xml:space="preserve">neposrednom predajom na arhivi naručioca na adresi </w:t>
      </w:r>
      <w:r>
        <w:rPr>
          <w:rFonts w:ascii="Arial" w:hAnsi="Arial" w:eastAsia="Calibri" w:cs="Arial"/>
          <w:color w:val="000000"/>
          <w:sz w:val="24"/>
          <w:szCs w:val="24"/>
          <w:lang w:val="sr-Latn-ME"/>
        </w:rPr>
        <w:t xml:space="preserve">Bulevar </w:t>
      </w:r>
      <w:r>
        <w:rPr>
          <w:rFonts w:ascii="Arial" w:hAnsi="Arial" w:eastAsia="Times New Roman" w:cs="Arial"/>
          <w:sz w:val="24"/>
          <w:szCs w:val="24"/>
          <w:lang w:val="sr-Latn-ME"/>
        </w:rPr>
        <w:t>Stanka Dragojevića br. 2, ili</w:t>
      </w:r>
    </w:p>
    <w:p>
      <w:pPr>
        <w:pStyle w:val="13"/>
        <w:numPr>
          <w:ilvl w:val="0"/>
          <w:numId w:val="7"/>
        </w:num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putem pošte preporučenom pošiljkom sa povratnicom </w:t>
      </w:r>
      <w:r>
        <w:rPr>
          <w:rFonts w:ascii="Arial" w:hAnsi="Arial" w:eastAsia="Calibri" w:cs="Arial"/>
          <w:color w:val="000000"/>
          <w:sz w:val="24"/>
          <w:szCs w:val="24"/>
          <w:lang w:val="sr-Latn-ME"/>
        </w:rPr>
        <w:t xml:space="preserve">na adresi Bulevar </w:t>
      </w:r>
      <w:r>
        <w:rPr>
          <w:rFonts w:ascii="Arial" w:hAnsi="Arial" w:eastAsia="Times New Roman" w:cs="Arial"/>
          <w:sz w:val="24"/>
          <w:szCs w:val="24"/>
          <w:lang w:val="sr-Latn-ME"/>
        </w:rPr>
        <w:t xml:space="preserve">Stanka Dragojevića br. 2,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radnim danima od 8:00 do 14:00 sati, zaključno sa danom </w:t>
      </w:r>
      <w:r>
        <w:rPr>
          <w:rFonts w:hint="default" w:ascii="Arial" w:hAnsi="Arial" w:eastAsia="Times New Roman" w:cs="Arial"/>
          <w:color w:val="000000"/>
          <w:sz w:val="24"/>
          <w:szCs w:val="24"/>
          <w:highlight w:val="none"/>
          <w:lang w:val="sr-Latn-RS"/>
        </w:rPr>
        <w:t>23.04.2025</w:t>
      </w:r>
      <w:r>
        <w:rPr>
          <w:rFonts w:ascii="Arial" w:hAnsi="Arial" w:eastAsia="Times New Roman" w:cs="Arial"/>
          <w:color w:val="000000"/>
          <w:sz w:val="24"/>
          <w:szCs w:val="24"/>
          <w:highlight w:val="none"/>
          <w:lang w:val="sr-Latn-ME"/>
        </w:rPr>
        <w:t>.</w:t>
      </w:r>
      <w:r>
        <w:rPr>
          <w:rFonts w:ascii="Arial" w:hAnsi="Arial" w:eastAsia="Times New Roman" w:cs="Arial"/>
          <w:color w:val="000000"/>
          <w:sz w:val="24"/>
          <w:szCs w:val="24"/>
          <w:lang w:val="sr-Latn-ME"/>
        </w:rPr>
        <w:t xml:space="preserve"> godine </w:t>
      </w:r>
      <w:r>
        <w:rPr>
          <w:rFonts w:ascii="Arial" w:hAnsi="Arial" w:eastAsia="Times New Roman" w:cs="Arial"/>
          <w:b/>
          <w:color w:val="000000"/>
          <w:sz w:val="24"/>
          <w:szCs w:val="24"/>
          <w:lang w:val="sr-Latn-ME"/>
        </w:rPr>
        <w:t>najkasnije prije isteka roka za podnošenje ponuda</w:t>
      </w:r>
      <w:r>
        <w:rPr>
          <w:rFonts w:ascii="Arial" w:hAnsi="Arial" w:eastAsia="Times New Roman" w:cs="Arial"/>
          <w:color w:val="000000"/>
          <w:sz w:val="24"/>
          <w:szCs w:val="24"/>
          <w:lang w:val="sr-Latn-ME"/>
        </w:rPr>
        <w:t xml:space="preserve"> (do 1</w:t>
      </w:r>
      <w:r>
        <w:rPr>
          <w:rFonts w:hint="default" w:ascii="Arial" w:hAnsi="Arial" w:eastAsia="Times New Roman" w:cs="Arial"/>
          <w:color w:val="000000"/>
          <w:sz w:val="24"/>
          <w:szCs w:val="24"/>
          <w:lang w:val="sr-Latn-RS"/>
        </w:rPr>
        <w:t>3</w:t>
      </w:r>
      <w:r>
        <w:rPr>
          <w:rFonts w:ascii="Arial" w:hAnsi="Arial" w:eastAsia="Times New Roman" w:cs="Arial"/>
          <w:color w:val="000000"/>
          <w:sz w:val="24"/>
          <w:szCs w:val="24"/>
          <w:lang w:val="sr-Latn-ME"/>
        </w:rPr>
        <w:t>:00 sati).</w:t>
      </w:r>
    </w:p>
    <w:p>
      <w:pPr>
        <w:spacing w:after="0" w:line="240" w:lineRule="auto"/>
        <w:rPr>
          <w:rFonts w:ascii="Arial" w:hAnsi="Arial" w:eastAsia="Times New Roman" w:cs="Arial"/>
          <w:i/>
          <w:iCs/>
          <w:color w:val="000000"/>
          <w:sz w:val="24"/>
          <w:szCs w:val="24"/>
          <w:lang w:val="sr-Latn-ME"/>
        </w:rPr>
      </w:pPr>
    </w:p>
    <w:p>
      <w:pPr>
        <w:spacing w:after="0" w:line="240" w:lineRule="auto"/>
        <w:jc w:val="both"/>
        <w:rPr>
          <w:rFonts w:ascii="Arial" w:hAnsi="Arial" w:eastAsia="Calibri" w:cs="Arial"/>
          <w:sz w:val="24"/>
          <w:szCs w:val="24"/>
          <w:lang w:val="sr-Latn-CS"/>
        </w:rPr>
      </w:pPr>
      <w:r>
        <w:rPr>
          <w:rFonts w:ascii="Arial" w:hAnsi="Arial" w:eastAsia="Times New Roman" w:cs="Arial"/>
          <w:color w:val="000000"/>
          <w:sz w:val="24"/>
          <w:szCs w:val="24"/>
          <w:lang w:val="sr-Latn-ME"/>
        </w:rPr>
        <w:t xml:space="preserve">Original garancije ponude u pisanom obliku dostavlja se u koverti, na kojoj se navodi: naziv i sjedište naručioca, </w:t>
      </w:r>
      <w:r>
        <w:rPr>
          <w:rFonts w:ascii="Arial" w:hAnsi="Arial" w:eastAsia="Calibri" w:cs="Arial"/>
          <w:sz w:val="24"/>
          <w:szCs w:val="24"/>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8" w:name="_Toc62730563"/>
      <w:r>
        <w:rPr>
          <w:rFonts w:ascii="Arial" w:hAnsi="Arial" w:eastAsia="Times New Roman" w:cs="Times New Roman"/>
          <w:b/>
          <w:sz w:val="24"/>
          <w:szCs w:val="32"/>
          <w:lang w:val="sr-Latn-ME"/>
        </w:rPr>
        <w:t>10. TAJNOST PODATAKA</w:t>
      </w:r>
      <w:bookmarkEnd w:id="8"/>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4"/>
      <w:r>
        <w:rPr>
          <w:rFonts w:ascii="Arial" w:hAnsi="Arial" w:eastAsia="Times New Roman" w:cs="Times New Roman"/>
          <w:b/>
          <w:sz w:val="24"/>
          <w:szCs w:val="32"/>
          <w:lang w:val="sr-Latn-ME"/>
        </w:rPr>
        <w:t>11. UPUTSTVO ZA SAČINJAVANJE PONUDE</w:t>
      </w:r>
      <w:bookmarkEnd w:id="9"/>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0" w:name="_Toc62730565"/>
      <w:r>
        <w:rPr>
          <w:rFonts w:ascii="Arial" w:hAnsi="Arial" w:eastAsia="Times New Roman" w:cs="Times New Roman"/>
          <w:b/>
          <w:sz w:val="24"/>
          <w:szCs w:val="32"/>
          <w:lang w:val="sr-Latn-ME"/>
        </w:rPr>
        <w:t>12. NAČIN ZAKLJUČIVANJA I IZMJENE UGOVORA O JAVNOJ NABAVCI</w:t>
      </w:r>
      <w:bookmarkEnd w:id="10"/>
    </w:p>
    <w:p>
      <w:pPr>
        <w:spacing w:after="0" w:line="240" w:lineRule="auto"/>
        <w:jc w:val="both"/>
        <w:rPr>
          <w:rFonts w:ascii="Arial" w:hAnsi="Arial" w:eastAsia="Times New Roman" w:cs="Arial"/>
          <w:i/>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između naručioca i ponuđača čija je ponuda izabrana kao najpovoljnija, </w:t>
      </w:r>
      <w:r>
        <w:rPr>
          <w:rFonts w:ascii="Arial" w:hAnsi="Arial" w:eastAsia="Times New Roman" w:cs="Arial"/>
          <w:b/>
          <w:color w:val="000000"/>
          <w:sz w:val="24"/>
          <w:szCs w:val="24"/>
          <w:lang w:val="sr-Latn-ME"/>
        </w:rPr>
        <w:t>pored uslova koji su propisani ovom tenderskom dokumentacijom</w:t>
      </w:r>
      <w:r>
        <w:rPr>
          <w:rFonts w:ascii="Arial" w:hAnsi="Arial" w:eastAsia="Times New Roman" w:cs="Arial"/>
          <w:color w:val="000000"/>
          <w:sz w:val="24"/>
          <w:szCs w:val="24"/>
          <w:lang w:val="sr-Latn-ME"/>
        </w:rPr>
        <w:t>, će sadržati i sljedeće:</w:t>
      </w:r>
      <w:r>
        <w:rPr>
          <w:rFonts w:ascii="Arial" w:hAnsi="Arial" w:eastAsia="Times New Roman" w:cs="Arial"/>
          <w:color w:val="000000"/>
          <w:sz w:val="24"/>
          <w:szCs w:val="24"/>
          <w:vertAlign w:val="superscript"/>
          <w:lang w:val="sr-Latn-ME"/>
        </w:rPr>
        <w:footnoteReference w:id="7"/>
      </w:r>
    </w:p>
    <w:p>
      <w:pPr>
        <w:spacing w:after="0" w:line="240" w:lineRule="auto"/>
        <w:jc w:val="both"/>
        <w:rPr>
          <w:rFonts w:ascii="Arial" w:hAnsi="Arial" w:eastAsia="Times New Roman" w:cs="Arial"/>
          <w:color w:val="000000"/>
          <w:sz w:val="24"/>
          <w:szCs w:val="24"/>
          <w:lang w:val="sr-Latn-ME"/>
        </w:rPr>
      </w:pPr>
    </w:p>
    <w:p>
      <w:pPr>
        <w:spacing w:line="240" w:lineRule="auto"/>
        <w:jc w:val="both"/>
        <w:rPr>
          <w:rFonts w:ascii="Arial" w:hAnsi="Arial" w:eastAsia="Times New Roman" w:cs="Arial"/>
          <w:color w:val="000000"/>
          <w:sz w:val="24"/>
          <w:szCs w:val="24"/>
          <w:u w:val="single"/>
          <w:lang w:val="sr-Latn-ME"/>
        </w:rPr>
      </w:pPr>
      <w:r>
        <w:rPr>
          <w:rFonts w:ascii="Arial" w:hAnsi="Arial" w:eastAsia="Times New Roman" w:cs="Arial"/>
          <w:color w:val="000000"/>
          <w:sz w:val="24"/>
          <w:szCs w:val="24"/>
          <w:u w:val="single"/>
          <w:lang w:val="sr-Latn-ME"/>
        </w:rPr>
        <w:t>Obaveze ugovornih strana</w:t>
      </w:r>
    </w:p>
    <w:p>
      <w:pPr>
        <w:spacing w:after="0" w:line="276" w:lineRule="auto"/>
        <w:rPr>
          <w:rFonts w:ascii="Arial" w:hAnsi="Arial" w:eastAsia="Calibri" w:cs="Arial"/>
          <w:bCs/>
          <w:sz w:val="24"/>
          <w:szCs w:val="24"/>
          <w:lang w:val="es-AR"/>
        </w:rPr>
      </w:pPr>
      <w:r>
        <w:rPr>
          <w:rFonts w:ascii="Arial" w:hAnsi="Arial" w:eastAsia="Calibri" w:cs="Arial"/>
          <w:sz w:val="24"/>
          <w:szCs w:val="24"/>
          <w:lang w:val="es-AR"/>
        </w:rPr>
        <w:t>Izvršilac</w:t>
      </w:r>
      <w:r>
        <w:rPr>
          <w:rFonts w:ascii="Arial" w:hAnsi="Arial" w:eastAsia="Calibri" w:cs="Arial"/>
          <w:bCs/>
          <w:sz w:val="24"/>
          <w:szCs w:val="24"/>
          <w:lang w:val="es-AR"/>
        </w:rPr>
        <w:t xml:space="preserve"> se obavezuje:</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bCs/>
          <w:sz w:val="24"/>
          <w:szCs w:val="24"/>
          <w:lang w:val="es-AR"/>
        </w:rPr>
        <w:t xml:space="preserve">- </w:t>
      </w:r>
      <w:r>
        <w:rPr>
          <w:rFonts w:ascii="Arial" w:hAnsi="Arial" w:eastAsia="Calibri" w:cs="Arial"/>
          <w:sz w:val="24"/>
          <w:szCs w:val="24"/>
          <w:lang w:val="sl-SI"/>
        </w:rPr>
        <w:t>da će, ukoliko dođe do promjene partnerskog statusa u kompaniji tokom trajanja ugovora, a definisanog u posebnim uslovima u pozivu za nadmetanje, obezbijediti u roku od 10 dana kontinuitet i dostaviti ugovor sa podugovaračem koji zadovoljava navedene uslove;</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w:t>
      </w:r>
      <w:r>
        <w:rPr>
          <w:rFonts w:ascii="Arial" w:hAnsi="Arial" w:eastAsia="Calibri" w:cs="Arial"/>
          <w:sz w:val="24"/>
          <w:szCs w:val="24"/>
          <w:lang w:val="sr-Latn-CS"/>
        </w:rPr>
        <w:t>usluge</w:t>
      </w:r>
      <w:r>
        <w:rPr>
          <w:rFonts w:ascii="Arial" w:hAnsi="Arial" w:eastAsia="Calibri" w:cs="Arial"/>
          <w:sz w:val="24"/>
          <w:szCs w:val="24"/>
          <w:lang w:val="it-IT"/>
        </w:rPr>
        <w:t xml:space="preserve"> koj</w:t>
      </w:r>
      <w:r>
        <w:rPr>
          <w:rFonts w:ascii="Arial" w:hAnsi="Arial" w:eastAsia="Calibri" w:cs="Arial"/>
          <w:sz w:val="24"/>
          <w:szCs w:val="24"/>
          <w:lang w:val="sr-Latn-CS"/>
        </w:rPr>
        <w:t>e</w:t>
      </w:r>
      <w:r>
        <w:rPr>
          <w:rFonts w:ascii="Arial" w:hAnsi="Arial" w:eastAsia="Calibri" w:cs="Arial"/>
          <w:sz w:val="24"/>
          <w:szCs w:val="24"/>
          <w:lang w:val="it-IT"/>
        </w:rPr>
        <w:t xml:space="preserve"> su predmet ovog Ugovora izvodi u skladu sa važećim </w:t>
      </w:r>
      <w:r>
        <w:rPr>
          <w:rFonts w:ascii="Arial" w:hAnsi="Arial" w:eastAsia="Calibri" w:cs="Arial"/>
          <w:sz w:val="24"/>
          <w:szCs w:val="24"/>
          <w:lang w:val="sr-Latn-CS"/>
        </w:rPr>
        <w:t xml:space="preserve">zakonskim </w:t>
      </w:r>
      <w:r>
        <w:rPr>
          <w:rFonts w:ascii="Arial" w:hAnsi="Arial" w:eastAsia="Calibri" w:cs="Arial"/>
          <w:sz w:val="24"/>
          <w:szCs w:val="24"/>
          <w:lang w:val="it-IT"/>
        </w:rPr>
        <w:t xml:space="preserve">propisima, normativima i standardima za ovu vrstu </w:t>
      </w:r>
      <w:r>
        <w:rPr>
          <w:rFonts w:ascii="Arial" w:hAnsi="Arial" w:eastAsia="Calibri" w:cs="Arial"/>
          <w:sz w:val="24"/>
          <w:szCs w:val="24"/>
          <w:lang w:val="sr-Latn-CS"/>
        </w:rPr>
        <w:t>posla</w:t>
      </w:r>
      <w:r>
        <w:rPr>
          <w:rFonts w:ascii="Arial" w:hAnsi="Arial" w:eastAsia="Calibri" w:cs="Arial"/>
          <w:sz w:val="24"/>
          <w:szCs w:val="24"/>
          <w:lang w:val="it-IT"/>
        </w:rPr>
        <w:t>;</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rukovodi izvršenjem svih </w:t>
      </w:r>
      <w:r>
        <w:rPr>
          <w:rFonts w:ascii="Arial" w:hAnsi="Arial" w:eastAsia="Calibri" w:cs="Arial"/>
          <w:sz w:val="24"/>
          <w:szCs w:val="24"/>
          <w:lang w:val="sr-Latn-CS"/>
        </w:rPr>
        <w:t>usluga</w:t>
      </w:r>
      <w:r>
        <w:rPr>
          <w:rFonts w:ascii="Arial" w:hAnsi="Arial" w:eastAsia="Calibri" w:cs="Arial"/>
          <w:sz w:val="24"/>
          <w:szCs w:val="24"/>
          <w:lang w:val="it-IT"/>
        </w:rPr>
        <w:t>;</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sz w:val="24"/>
          <w:szCs w:val="24"/>
          <w:lang w:val="pl-PL"/>
        </w:rPr>
        <w:t xml:space="preserve">- da obezbijedi kompletnu dokumentaciju po kojoj se izvode </w:t>
      </w:r>
      <w:r>
        <w:rPr>
          <w:rFonts w:ascii="Arial" w:hAnsi="Arial" w:eastAsia="Calibri" w:cs="Arial"/>
          <w:sz w:val="24"/>
          <w:szCs w:val="24"/>
          <w:lang w:val="sr-Latn-CS"/>
        </w:rPr>
        <w:t>usluge</w:t>
      </w:r>
      <w:r>
        <w:rPr>
          <w:rFonts w:ascii="Arial" w:hAnsi="Arial" w:eastAsia="Calibri" w:cs="Arial"/>
          <w:sz w:val="24"/>
          <w:szCs w:val="24"/>
          <w:lang w:val="pl-PL"/>
        </w:rPr>
        <w:t>;</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sz w:val="24"/>
          <w:szCs w:val="24"/>
          <w:lang w:val="sr-Latn-CS"/>
        </w:rPr>
        <w:t xml:space="preserve">- da </w:t>
      </w:r>
      <w:r>
        <w:rPr>
          <w:rFonts w:ascii="Arial" w:hAnsi="Arial" w:eastAsia="Calibri" w:cs="Arial"/>
          <w:sz w:val="24"/>
          <w:szCs w:val="24"/>
          <w:lang w:val="pl-PL"/>
        </w:rPr>
        <w:t>sistemsku i funkcionalnu podršku, koja se sastoji od korektivnih mjera koje se tiču rješavanja problema u operativnom radu, pruža u skladu sa prioritetima koji će biti definisani u prilogu A ugovora;</w:t>
      </w:r>
    </w:p>
    <w:p>
      <w:pPr>
        <w:tabs>
          <w:tab w:val="left" w:pos="284"/>
        </w:tabs>
        <w:spacing w:after="0" w:line="240" w:lineRule="auto"/>
        <w:jc w:val="both"/>
        <w:rPr>
          <w:rFonts w:ascii="Arial" w:hAnsi="Arial" w:eastAsia="Calibri" w:cs="Arial"/>
          <w:sz w:val="24"/>
          <w:szCs w:val="24"/>
          <w:lang w:val="sr-Latn-CS"/>
        </w:rPr>
      </w:pPr>
      <w:r>
        <w:rPr>
          <w:rFonts w:ascii="Arial" w:hAnsi="Arial" w:eastAsia="Calibri" w:cs="Arial"/>
          <w:sz w:val="24"/>
          <w:szCs w:val="24"/>
          <w:lang w:val="sr-Latn-CS"/>
        </w:rPr>
        <w:t>- da nadoknadi svu štetu Naručiocu, koja bude prouzrokovana nesavjesnim ili nekvalitetnim postupanjem Izvršioca, suprotno pažnji dobrog stručnjaka.</w:t>
      </w:r>
    </w:p>
    <w:p>
      <w:pPr>
        <w:tabs>
          <w:tab w:val="left" w:pos="284"/>
        </w:tabs>
        <w:spacing w:after="0" w:line="240" w:lineRule="auto"/>
        <w:rPr>
          <w:rFonts w:ascii="Arial" w:hAnsi="Arial" w:eastAsia="Calibri" w:cs="Arial"/>
          <w:sz w:val="24"/>
          <w:szCs w:val="24"/>
          <w:lang w:val="sr-Latn-CS"/>
        </w:rPr>
      </w:pPr>
    </w:p>
    <w:p>
      <w:pPr>
        <w:tabs>
          <w:tab w:val="left" w:pos="284"/>
        </w:tabs>
        <w:spacing w:after="0" w:line="276" w:lineRule="auto"/>
        <w:jc w:val="both"/>
        <w:rPr>
          <w:rFonts w:ascii="Arial" w:hAnsi="Arial" w:eastAsia="Calibri" w:cs="Arial"/>
          <w:sz w:val="24"/>
          <w:szCs w:val="24"/>
          <w:lang w:val="sr-Latn-CS"/>
        </w:rPr>
      </w:pPr>
      <w:r>
        <w:rPr>
          <w:rFonts w:ascii="Arial" w:hAnsi="Arial" w:eastAsia="Calibri" w:cs="Arial"/>
          <w:sz w:val="24"/>
          <w:szCs w:val="24"/>
          <w:lang w:val="sr-Latn-CS"/>
        </w:rPr>
        <w:t>Naručilac se obavezuje:</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w:t>
      </w:r>
      <w:r>
        <w:rPr>
          <w:rFonts w:ascii="Arial" w:hAnsi="Arial" w:eastAsia="Calibri" w:cs="Arial"/>
          <w:sz w:val="24"/>
          <w:szCs w:val="24"/>
          <w:lang w:val="sr-Latn-CS"/>
        </w:rPr>
        <w:t>po dogovorenom terminu i planu Izvršioca uvede u posao, što podrazumijeva obezbjeđenje svih potrebnih uslova za nesmetano obavljanje posla;</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sr-Latn-CS"/>
        </w:rPr>
        <w:t>- da izvrši plaćanje za usluge koje su predmet ovog Ugovora, na način preciziran u ovoj tenderskoj dokumentaciji.</w:t>
      </w:r>
    </w:p>
    <w:p>
      <w:pPr>
        <w:spacing w:after="0" w:line="240" w:lineRule="auto"/>
        <w:jc w:val="both"/>
        <w:rPr>
          <w:rFonts w:ascii="Arial" w:hAnsi="Arial" w:eastAsia="Times New Roman" w:cs="Arial"/>
          <w:color w:val="000000"/>
          <w:sz w:val="24"/>
          <w:szCs w:val="24"/>
          <w:lang w:val="sr-Latn-ME"/>
        </w:rPr>
      </w:pPr>
    </w:p>
    <w:p>
      <w:pPr>
        <w:tabs>
          <w:tab w:val="left" w:pos="284"/>
        </w:tabs>
        <w:spacing w:line="240" w:lineRule="auto"/>
        <w:jc w:val="both"/>
        <w:rPr>
          <w:rFonts w:ascii="Arial" w:hAnsi="Arial" w:eastAsia="Calibri" w:cs="Arial"/>
          <w:color w:val="000000"/>
          <w:sz w:val="24"/>
          <w:szCs w:val="24"/>
          <w:u w:val="single"/>
        </w:rPr>
      </w:pPr>
      <w:r>
        <w:rPr>
          <w:rFonts w:ascii="Arial" w:hAnsi="Arial" w:eastAsia="Calibri" w:cs="Arial"/>
          <w:color w:val="000000"/>
          <w:sz w:val="24"/>
          <w:szCs w:val="24"/>
          <w:u w:val="single"/>
        </w:rPr>
        <w:t>Prava intelektualne svojine</w:t>
      </w:r>
    </w:p>
    <w:p>
      <w:pPr>
        <w:tabs>
          <w:tab w:val="left" w:pos="284"/>
        </w:tabs>
        <w:spacing w:after="200" w:line="240" w:lineRule="auto"/>
        <w:jc w:val="both"/>
        <w:rPr>
          <w:rFonts w:ascii="Arial" w:hAnsi="Arial" w:eastAsia="Calibri" w:cs="Arial"/>
          <w:color w:val="000000"/>
          <w:sz w:val="24"/>
          <w:szCs w:val="24"/>
        </w:rPr>
      </w:pPr>
      <w:r>
        <w:rPr>
          <w:rFonts w:ascii="Arial" w:hAnsi="Arial" w:eastAsia="Calibri" w:cs="Arial"/>
          <w:color w:val="000000"/>
          <w:sz w:val="24"/>
          <w:szCs w:val="24"/>
        </w:rPr>
        <w:t>Ugovorne strane su saglasne da Naručilac isplatom ugovorene cijene održavanja u cjelosti stiče sva prava iskorišćavanja produkata održavanja razvijenih od strane Izvršioca za potrebe izvršenja ovog Ugovora.</w:t>
      </w: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Izvještavanje</w:t>
      </w:r>
    </w:p>
    <w:p>
      <w:pPr>
        <w:spacing w:after="200" w:line="276"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 xml:space="preserve">Ugovorne strane su saglasne da će Izvršilac biti u obavezi tokom čitavog trajanja ovog Ugovora da jednom mjesečno redovno izvještava Naručioca o detaljima izvršenih usluga koje su predmet ovog Ugovora. Izvještaji moraju sadržati detalje rješenja za svaki upućeni zahtjev. Ukoliko se radi o preventivnim aktivnostima Izvršilac treba da dostavi rezultate i predloge za eventualna poboljšanja ili promjene u cilju poboljšavanja performasi ili izbjegavanja potencijalnih grešaka i problema. Stručno osoblje koje odredi Naručilac će u slučaju da iz redovnih izvještaja utvrdi određene nepravilnosti, zatražiti od Izvršioca preduzimanje svih mjera u pravcu njihovog pravovremenog korigovanja. </w:t>
      </w:r>
      <w:r>
        <w:rPr>
          <w:rFonts w:ascii="Arial" w:hAnsi="Arial" w:eastAsia="Calibri" w:cs="Arial"/>
          <w:sz w:val="24"/>
          <w:szCs w:val="24"/>
        </w:rPr>
        <w:t xml:space="preserve">Izvršilac je dužan da postupi po primjedbama stručnog osoblja, u roku od 3 dana od dana kada je zapisnički konstatovana uočena nepravilnost. </w:t>
      </w:r>
    </w:p>
    <w:p>
      <w:pPr>
        <w:spacing w:after="0" w:line="240"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Pored izvještavanja, Izvršilac će biti u obavezi da Naručioca informiše i o nastupanju nepredviđenih okolnosti koje se mogu javiti tokom realizacije ovog Ugovora, a koje se na bilo koji način odnose, ili se mogu odnositi na realizaciju prava i obaveza definisanih ovim Ugovorom.</w:t>
      </w:r>
    </w:p>
    <w:p>
      <w:pPr>
        <w:spacing w:after="0" w:line="240" w:lineRule="auto"/>
        <w:jc w:val="both"/>
        <w:rPr>
          <w:rFonts w:ascii="Arial" w:hAnsi="Arial" w:eastAsia="PMingLiU" w:cs="Arial"/>
          <w:sz w:val="24"/>
          <w:szCs w:val="24"/>
          <w:u w:val="single"/>
          <w:lang w:val="sr-Latn-ME" w:eastAsia="zh-TW"/>
        </w:rPr>
      </w:pPr>
    </w:p>
    <w:p>
      <w:pPr>
        <w:spacing w:line="240" w:lineRule="auto"/>
        <w:jc w:val="both"/>
        <w:rPr>
          <w:rFonts w:ascii="Arial" w:hAnsi="Arial" w:eastAsia="PMingLiU" w:cs="Arial"/>
          <w:sz w:val="24"/>
          <w:szCs w:val="24"/>
          <w:u w:val="single"/>
          <w:lang w:val="sr-Latn-ME" w:eastAsia="zh-TW"/>
        </w:rPr>
      </w:pPr>
      <w:r>
        <w:rPr>
          <w:rFonts w:ascii="Arial" w:hAnsi="Arial" w:eastAsia="PMingLiU" w:cs="Arial"/>
          <w:sz w:val="24"/>
          <w:szCs w:val="24"/>
          <w:u w:val="single"/>
          <w:lang w:val="sr-Latn-ME" w:eastAsia="zh-TW"/>
        </w:rPr>
        <w:t>Ugovorne kazne</w:t>
      </w:r>
    </w:p>
    <w:p>
      <w:pPr>
        <w:spacing w:after="0" w:line="240" w:lineRule="auto"/>
        <w:jc w:val="both"/>
        <w:rPr>
          <w:rFonts w:ascii="Arial" w:hAnsi="Arial" w:eastAsia="PMingLiU" w:cs="Arial"/>
          <w:sz w:val="24"/>
          <w:szCs w:val="24"/>
          <w:highlight w:val="none"/>
          <w:lang w:val="sr-Latn-ME" w:eastAsia="zh-TW"/>
        </w:rPr>
      </w:pPr>
      <w:r>
        <w:rPr>
          <w:rFonts w:ascii="Arial" w:hAnsi="Arial" w:eastAsia="PMingLiU" w:cs="Arial"/>
          <w:sz w:val="24"/>
          <w:szCs w:val="24"/>
          <w:highlight w:val="none"/>
          <w:lang w:val="sr-Latn-ME" w:eastAsia="zh-TW"/>
        </w:rPr>
        <w:t>Ugovorne kazne su:</w:t>
      </w:r>
    </w:p>
    <w:p>
      <w:pPr>
        <w:numPr>
          <w:ilvl w:val="0"/>
          <w:numId w:val="8"/>
        </w:numPr>
        <w:spacing w:after="0" w:line="240" w:lineRule="auto"/>
        <w:jc w:val="both"/>
        <w:rPr>
          <w:rFonts w:ascii="Arial" w:hAnsi="Arial" w:eastAsia="PMingLiU" w:cs="Arial"/>
          <w:sz w:val="24"/>
          <w:szCs w:val="24"/>
          <w:highlight w:val="none"/>
          <w:lang w:eastAsia="zh-TW"/>
        </w:rPr>
      </w:pPr>
      <w:r>
        <w:rPr>
          <w:rFonts w:ascii="Arial" w:hAnsi="Arial" w:eastAsia="PMingLiU" w:cs="Arial"/>
          <w:sz w:val="24"/>
          <w:szCs w:val="24"/>
          <w:highlight w:val="none"/>
          <w:lang w:eastAsia="zh-TW"/>
        </w:rPr>
        <w:t>Ukoliko sistem, u toku jednog mjeseca, nije bio u funkciji više od dva radna dana ( kritični kvar), izvršiće se smanjenje fakture za taj mjesec u visini od 30%;</w:t>
      </w:r>
    </w:p>
    <w:p>
      <w:pPr>
        <w:numPr>
          <w:ilvl w:val="0"/>
          <w:numId w:val="8"/>
        </w:numPr>
        <w:spacing w:after="0" w:line="240" w:lineRule="auto"/>
        <w:jc w:val="both"/>
        <w:rPr>
          <w:rFonts w:ascii="Arial" w:hAnsi="Arial" w:eastAsia="PMingLiU" w:cs="Arial"/>
          <w:sz w:val="24"/>
          <w:szCs w:val="24"/>
          <w:lang w:eastAsia="zh-TW"/>
        </w:rPr>
      </w:pPr>
      <w:r>
        <w:rPr>
          <w:rFonts w:ascii="Arial" w:hAnsi="Arial" w:eastAsia="PMingLiU" w:cs="Arial"/>
          <w:sz w:val="24"/>
          <w:szCs w:val="24"/>
          <w:lang w:val="sr-Latn-CS" w:eastAsia="zh-TW"/>
        </w:rPr>
        <w:t>Ukoliko se u razumnom roku, a najviše u roku do 20 radnih dana (osim u slučaju da su se Naručilac i Izvršilac drugačije usaglasili), ne otkloni manji manji kvar, izvršiće se smanjenje fakture za taj mjesec u visini do 70%.</w:t>
      </w:r>
    </w:p>
    <w:p>
      <w:pPr>
        <w:spacing w:after="0" w:line="276" w:lineRule="auto"/>
        <w:jc w:val="both"/>
        <w:rPr>
          <w:rFonts w:ascii="Arial" w:hAnsi="Arial" w:eastAsia="PMingLiU" w:cs="Arial"/>
          <w:sz w:val="24"/>
          <w:szCs w:val="24"/>
          <w:lang w:val="sr-Latn-CS" w:eastAsia="zh-TW"/>
        </w:rPr>
      </w:pPr>
    </w:p>
    <w:p>
      <w:pPr>
        <w:spacing w:after="200" w:line="276"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Ugovorne kazne se neće uzimati u obzir ukoliko je greška nastala pod uticajem više sile ili kvara izvan uticaja Izvršioca, kao i kvara nastalog usljed greške Naručioca.</w:t>
      </w:r>
    </w:p>
    <w:p>
      <w:pPr>
        <w:spacing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Plaćanje ugovorene kazne ne oslobađa Izvršioca obaveze da u cjelosti završi ugovoreni, posao i to u roku do 10 dana od dana utvrđene ugovorne kazne iz stava 1 ovog člana, u suprotnom će se smatrati ne izvršavanjem ugovorene obaveze.</w:t>
      </w: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Naknada štete</w:t>
      </w: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pPr>
        <w:spacing w:after="0" w:line="240" w:lineRule="auto"/>
        <w:jc w:val="both"/>
        <w:rPr>
          <w:rFonts w:ascii="Arial" w:hAnsi="Arial" w:eastAsia="PMingLiU" w:cs="Arial"/>
          <w:sz w:val="24"/>
          <w:szCs w:val="24"/>
          <w:lang w:val="sr-Latn-ME" w:eastAsia="zh-TW"/>
        </w:rPr>
      </w:pP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ascii="Arial" w:hAnsi="Arial" w:eastAsia="PMingLiU" w:cs="Arial"/>
          <w:sz w:val="24"/>
          <w:szCs w:val="24"/>
          <w:lang w:val="sr-Latn-ME" w:eastAsia="zh-TW"/>
        </w:rPr>
      </w:pPr>
    </w:p>
    <w:p>
      <w:pPr>
        <w:spacing w:line="240" w:lineRule="auto"/>
        <w:jc w:val="both"/>
        <w:rPr>
          <w:rFonts w:ascii="Arial" w:hAnsi="Arial" w:eastAsia="PMingLiU" w:cs="Arial"/>
          <w:u w:val="single"/>
          <w:lang w:val="sr-Latn-ME" w:eastAsia="zh-TW"/>
        </w:rPr>
      </w:pPr>
      <w:r>
        <w:rPr>
          <w:rFonts w:ascii="Arial" w:hAnsi="Arial" w:eastAsia="PMingLiU" w:cs="Arial"/>
          <w:u w:val="single"/>
          <w:lang w:val="sr-Latn-ME" w:eastAsia="zh-TW"/>
        </w:rPr>
        <w:t>Raskid ugovora</w:t>
      </w:r>
    </w:p>
    <w:p>
      <w:pPr>
        <w:spacing w:before="100" w:beforeAutospacing="1" w:after="0" w:line="240" w:lineRule="auto"/>
        <w:jc w:val="both"/>
        <w:rPr>
          <w:rFonts w:ascii="Arial" w:hAnsi="Arial" w:eastAsia="Calibri" w:cs="Arial"/>
          <w:sz w:val="24"/>
          <w:szCs w:val="24"/>
          <w:lang w:val="sr-Latn-ME"/>
        </w:rPr>
      </w:pPr>
      <w:r>
        <w:rPr>
          <w:rFonts w:ascii="Arial" w:hAnsi="Arial" w:eastAsia="Calibri" w:cs="Arial"/>
          <w:sz w:val="24"/>
          <w:szCs w:val="24"/>
          <w:lang w:val="sr-Latn-ME"/>
        </w:rPr>
        <w:t>Naručilac će jednostrano rakinuti ovaj ugovor u slučaju ako:</w:t>
      </w:r>
    </w:p>
    <w:p>
      <w:pPr>
        <w:spacing w:after="0" w:line="240" w:lineRule="auto"/>
        <w:jc w:val="both"/>
        <w:rPr>
          <w:rFonts w:ascii="Arial" w:hAnsi="Arial" w:eastAsia="Calibri" w:cs="Arial"/>
          <w:color w:val="000000"/>
          <w:sz w:val="24"/>
          <w:szCs w:val="24"/>
        </w:rPr>
      </w:pPr>
      <w:r>
        <w:rPr>
          <w:rFonts w:ascii="Arial" w:hAnsi="Arial" w:eastAsia="Calibri" w:cs="Arial"/>
          <w:sz w:val="24"/>
          <w:szCs w:val="24"/>
          <w:lang w:val="sr-Latn-ME"/>
        </w:rPr>
        <w:t xml:space="preserve">1) Izvršilac </w:t>
      </w:r>
      <w:r>
        <w:rPr>
          <w:rFonts w:ascii="Arial" w:hAnsi="Arial" w:eastAsia="Calibri" w:cs="Arial"/>
          <w:color w:val="000000"/>
          <w:sz w:val="24"/>
          <w:szCs w:val="24"/>
        </w:rPr>
        <w:t>ne bude izvršavao svoje obaveze u rokovima i na način predviđenim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nastupe okolnosti koje za posljedicu imaju bitnu izmjenu ugovora koja iziskuje sprovođenje novog postupka javne nabavke;</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 xml:space="preserve">2) nastupi neki razlog koji predstavlja osnov za obavezno isključenje iz člana 108 Zakona o javnim nabavkama („Službeni list CG“ br.74/19, 3/23 i 11/23) ili člana 110 ovog zakona, koji je predviđen tenderskom dokumentacijom. </w:t>
      </w:r>
    </w:p>
    <w:p>
      <w:pPr>
        <w:autoSpaceDE w:val="0"/>
        <w:autoSpaceDN w:val="0"/>
        <w:adjustRightInd w:val="0"/>
        <w:spacing w:before="240" w:after="0" w:line="240" w:lineRule="auto"/>
        <w:jc w:val="both"/>
        <w:rPr>
          <w:rFonts w:ascii="Arial" w:hAnsi="Arial" w:eastAsia="Calibri" w:cs="Arial"/>
          <w:sz w:val="24"/>
          <w:szCs w:val="24"/>
          <w:lang w:val="sr-Latn-ME"/>
        </w:rPr>
      </w:pPr>
      <w:r>
        <w:rPr>
          <w:rFonts w:ascii="Arial" w:hAnsi="Arial" w:eastAsia="Calibri" w:cs="Arial"/>
          <w:sz w:val="24"/>
          <w:szCs w:val="24"/>
          <w:lang w:val="sr-Latn-ME"/>
        </w:rPr>
        <w:t>Bitnom izmjenom ugovora iz stava 1 tačka 2 ovog člana smatra se izmjena prirode ugovora u materijalnom smislu u odnosu na ugovor koji je prvobitno zaključen ako je ispunjen jedan ili više sljedećih uslova: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izmjenom se mijenja privredna ravnoteža ugovora u korist privrednog subjekta sa kojim je zaključen ugovor na način koji nije predviđen prvobitnim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3) izmjenom se značajno povećava obim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4) promjena privrednog subjekta sa kojim je zaključen ugovor o javnoj nabavci, osim u slučaju iz člana 151 stav 1 tačka 4 ZJN;</w:t>
      </w:r>
    </w:p>
    <w:p>
      <w:pPr>
        <w:autoSpaceDE w:val="0"/>
        <w:autoSpaceDN w:val="0"/>
        <w:adjustRightInd w:val="0"/>
        <w:spacing w:after="0" w:line="240" w:lineRule="auto"/>
        <w:jc w:val="both"/>
        <w:rPr>
          <w:rFonts w:ascii="Arial" w:hAnsi="Arial" w:eastAsia="Calibri" w:cs="Arial"/>
          <w:sz w:val="24"/>
          <w:szCs w:val="24"/>
        </w:rPr>
      </w:pPr>
      <w:r>
        <w:rPr>
          <w:rFonts w:ascii="Arial" w:hAnsi="Arial" w:eastAsia="Calibri" w:cs="Arial"/>
          <w:sz w:val="24"/>
          <w:szCs w:val="24"/>
          <w:lang w:val="sl-SI"/>
        </w:rPr>
        <w:t>5) dođe do promjene partnerskog statusa u kompaniji tokom trajanja ugovora, definisanog u posebnim uslovima u predmetnoj tenderskoj dokumentaciji, a Izvršilac ne obezbijedi u roku od 10 dana kontinuitet i ne dostavi ugovor sa podugovaračem koji zadovoljava navedene uslove</w:t>
      </w:r>
      <w:r>
        <w:rPr>
          <w:rFonts w:ascii="Arial" w:hAnsi="Arial" w:eastAsia="Calibri" w:cs="Arial"/>
          <w:color w:val="000000"/>
          <w:sz w:val="24"/>
          <w:szCs w:val="24"/>
          <w:lang w:val="sl-SI"/>
        </w:rPr>
        <w:t>;</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6) ako ponuđač ne izvršava ugovorene obaveze i u drugim slučajevima utvrđenim tenderskom dokumentacijom u skladu sa Zakona o javnim nabavkama („Službeni list CG“ br.74/19, 3/23 i 11/23).</w:t>
      </w:r>
    </w:p>
    <w:p>
      <w:pPr>
        <w:spacing w:before="100" w:beforeAutospacing="1" w:after="0" w:line="240" w:lineRule="auto"/>
        <w:jc w:val="both"/>
        <w:rPr>
          <w:rFonts w:ascii="Arial" w:hAnsi="Arial" w:eastAsia="Calibri" w:cs="Arial"/>
          <w:color w:val="000000"/>
          <w:sz w:val="24"/>
          <w:szCs w:val="24"/>
        </w:rPr>
      </w:pPr>
      <w:r>
        <w:rPr>
          <w:rFonts w:ascii="Arial" w:hAnsi="Arial" w:eastAsia="Calibri" w:cs="Arial"/>
          <w:color w:val="000000"/>
          <w:sz w:val="24"/>
          <w:szCs w:val="24"/>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 xml:space="preserve">U bilo kom slučaju prestanka važenja Ugovora iz ovog člana, otkazni rok je 30 dana od dana </w:t>
      </w:r>
      <w:r>
        <w:rPr>
          <w:rFonts w:ascii="Arial" w:hAnsi="Arial" w:eastAsia="Calibri" w:cs="Arial"/>
          <w:sz w:val="24"/>
          <w:szCs w:val="24"/>
          <w:lang w:val="sr-Latn-ME"/>
        </w:rPr>
        <w:t>prijema</w:t>
      </w:r>
      <w:r>
        <w:rPr>
          <w:rFonts w:ascii="Arial" w:hAnsi="Arial" w:eastAsia="PMingLiU" w:cs="Arial"/>
          <w:sz w:val="24"/>
          <w:szCs w:val="24"/>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Zaštita poslovnih interesa i čuvanje poslovne tajne</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unapređenju svojih odnosa.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after="0" w:line="240" w:lineRule="auto"/>
        <w:jc w:val="both"/>
        <w:rPr>
          <w:rFonts w:ascii="Arial" w:hAnsi="Arial" w:eastAsia="PMingLiU" w:cs="Arial"/>
          <w:sz w:val="24"/>
          <w:szCs w:val="24"/>
          <w:lang w:val="sr-Latn-ME"/>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Ostali elementi ugovora</w:t>
      </w:r>
    </w:p>
    <w:p>
      <w:pPr>
        <w:spacing w:after="0" w:line="276" w:lineRule="auto"/>
        <w:jc w:val="both"/>
        <w:rPr>
          <w:rFonts w:ascii="Arial" w:hAnsi="Arial" w:eastAsia="Calibri" w:cs="Arial"/>
          <w:color w:val="000000"/>
          <w:sz w:val="24"/>
          <w:szCs w:val="24"/>
          <w:lang w:val="sl-SI"/>
        </w:rPr>
      </w:pPr>
      <w:r>
        <w:rPr>
          <w:rFonts w:ascii="Arial" w:hAnsi="Arial" w:eastAsia="Calibri" w:cs="Arial"/>
          <w:color w:val="000000"/>
          <w:sz w:val="24"/>
          <w:szCs w:val="24"/>
          <w:lang w:val="sl-SI"/>
        </w:rPr>
        <w:t>Ugovor o javnoj nabavci koji je zaključen uz kršenje antikorupcijskih pravila u skladu sa odredbama člana 38 Zakona o javnim nabavkama („Službeni list CG“ br. 74/19, 3/23 i 11/23) ništav je.</w:t>
      </w:r>
    </w:p>
    <w:p>
      <w:pPr>
        <w:spacing w:after="0" w:line="240" w:lineRule="auto"/>
        <w:jc w:val="both"/>
        <w:rPr>
          <w:rFonts w:ascii="Arial" w:hAnsi="Arial" w:eastAsia="Calibri" w:cs="Arial"/>
          <w:bCs/>
          <w:color w:val="000000"/>
          <w:sz w:val="24"/>
          <w:szCs w:val="24"/>
          <w:lang w:val="sr-Latn-CS"/>
        </w:rPr>
      </w:pPr>
    </w:p>
    <w:p>
      <w:pPr>
        <w:jc w:val="both"/>
        <w:rPr>
          <w:rFonts w:ascii="Arial" w:hAnsi="Arial" w:eastAsia="Calibri" w:cs="Arial"/>
          <w:sz w:val="24"/>
          <w:szCs w:val="24"/>
          <w:lang w:val="sl-SI"/>
        </w:rPr>
      </w:pPr>
      <w:r>
        <w:rPr>
          <w:rFonts w:ascii="Arial" w:hAnsi="Arial" w:eastAsia="Calibri" w:cs="Arial"/>
          <w:sz w:val="24"/>
          <w:szCs w:val="24"/>
          <w:lang w:val="sl-SI"/>
        </w:rPr>
        <w:t>Za sve što nije definisano ovim ugovorom primjenjivaće se odredbe Zakona o obligacionim odnosima.</w:t>
      </w:r>
    </w:p>
    <w:p>
      <w:pPr>
        <w:jc w:val="both"/>
        <w:rPr>
          <w:rFonts w:ascii="Arial" w:hAnsi="Arial" w:eastAsia="Calibri" w:cs="Arial"/>
          <w:color w:val="000000"/>
          <w:sz w:val="24"/>
          <w:szCs w:val="24"/>
          <w:lang w:val="sl-SI"/>
        </w:rPr>
      </w:pPr>
      <w:r>
        <w:rPr>
          <w:rFonts w:ascii="Arial" w:hAnsi="Arial" w:eastAsia="Calibri" w:cs="Arial"/>
          <w:color w:val="000000"/>
          <w:sz w:val="24"/>
          <w:szCs w:val="24"/>
          <w:lang w:val="sl-SI"/>
        </w:rPr>
        <w:t>Eventualne nesporazume koji mogu da se pojave u vezi ovog Ugovora ugovorne strane će pokušati da  riješe sporazumno. Sve sporove koji nasta</w:t>
      </w:r>
      <w:r>
        <w:rPr>
          <w:rFonts w:ascii="Arial" w:hAnsi="Arial" w:eastAsia="Calibri" w:cs="Arial"/>
          <w:color w:val="000000"/>
          <w:sz w:val="24"/>
          <w:szCs w:val="24"/>
          <w:lang w:val="sr-Latn-CS"/>
        </w:rPr>
        <w:t>nu</w:t>
      </w:r>
      <w:r>
        <w:rPr>
          <w:rFonts w:ascii="Arial" w:hAnsi="Arial" w:eastAsia="Calibri" w:cs="Arial"/>
          <w:color w:val="000000"/>
          <w:sz w:val="24"/>
          <w:szCs w:val="24"/>
          <w:lang w:val="sl-SI"/>
        </w:rPr>
        <w:t xml:space="preserve"> u vezi ovog Ugovora rješavaće nadležni sud u Podgorici.</w:t>
      </w:r>
    </w:p>
    <w:p>
      <w:pPr>
        <w:spacing w:after="0" w:line="240" w:lineRule="auto"/>
        <w:jc w:val="both"/>
        <w:rPr>
          <w:rFonts w:ascii="Arial" w:hAnsi="Arial" w:eastAsia="Times New Roman" w:cs="Arial"/>
          <w:b/>
          <w:bCs/>
          <w:color w:val="000000"/>
          <w:sz w:val="24"/>
          <w:szCs w:val="24"/>
          <w:highlight w:val="yellow"/>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color w:val="000000"/>
          <w:sz w:val="24"/>
          <w:szCs w:val="24"/>
          <w:u w:val="single"/>
          <w:lang w:val="sr-Latn-ME"/>
        </w:rPr>
        <w:t>Izmjena ugovora</w:t>
      </w:r>
      <w:r>
        <w:rPr>
          <w:rFonts w:ascii="Arial" w:hAnsi="Arial" w:eastAsia="Times New Roman" w:cs="Arial"/>
          <w:color w:val="000000"/>
          <w:sz w:val="24"/>
          <w:szCs w:val="24"/>
          <w:lang w:val="sr-Latn-ME"/>
        </w:rPr>
        <w:t>:</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o javnoj nabavci tokom njegovog trajanja može da se izmijeni bez sprovođenja novog postupka javne nabavke u skladu sa članom 151 Zakona o javnim nabavkama, i to: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već se vrši samo smanjenje ugovorene vrijednosti;</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 se vrši zamjena podugovarača, u skladu sa članom 128 st. 10, 11 i 12 ovog zakona;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6"/>
      <w:r>
        <w:rPr>
          <w:rFonts w:ascii="Arial" w:hAnsi="Arial" w:eastAsia="Times New Roman" w:cs="Times New Roman"/>
          <w:b/>
          <w:sz w:val="24"/>
          <w:szCs w:val="32"/>
          <w:lang w:val="sr-Latn-ME"/>
        </w:rPr>
        <w:t>13. ZAHTJEV ZA POJAŠNJENJE ILI IZMJENU I DOPUNU TENDERSKE DOKUMENTACIJE</w:t>
      </w:r>
      <w:bookmarkEnd w:id="11"/>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2" w:name="_Toc416180136"/>
      <w:bookmarkStart w:id="13" w:name="_Toc62730567"/>
      <w:bookmarkStart w:id="14" w:name="_Toc508349235"/>
      <w:r>
        <w:rPr>
          <w:rFonts w:ascii="Arial" w:hAnsi="Arial" w:eastAsia="Times New Roman" w:cs="Times New Roman"/>
          <w:b/>
          <w:sz w:val="24"/>
          <w:szCs w:val="32"/>
          <w:lang w:val="sr-Latn-ME"/>
        </w:rPr>
        <w:t>14. IZJAVA NARUČIOCA O NEPOSTOJANJU SUKOBA INTERESA</w:t>
      </w:r>
      <w:bookmarkEnd w:id="12"/>
      <w:bookmarkEnd w:id="13"/>
      <w:bookmarkEnd w:id="14"/>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lang w:val="pl-PL"/>
        </w:rPr>
      </w:pPr>
      <w:bookmarkStart w:id="15" w:name="_Toc62730568"/>
      <w:r>
        <w:rPr>
          <w:rFonts w:ascii="Arial" w:hAnsi="Arial" w:eastAsia="Calibri" w:cs="Arial"/>
          <w:color w:val="000000"/>
          <w:lang w:val="pl-PL"/>
        </w:rPr>
        <w:t xml:space="preserve">Naručilac: Ministarstvo finansija </w:t>
      </w:r>
    </w:p>
    <w:p>
      <w:pPr>
        <w:tabs>
          <w:tab w:val="right" w:pos="3402"/>
        </w:tabs>
        <w:spacing w:after="0" w:line="240" w:lineRule="auto"/>
        <w:jc w:val="both"/>
        <w:rPr>
          <w:rFonts w:hint="default" w:ascii="Arial" w:hAnsi="Arial" w:eastAsia="Calibri" w:cs="Arial"/>
          <w:lang w:val="sr-Latn-RS"/>
        </w:rPr>
      </w:pPr>
      <w:r>
        <w:rPr>
          <w:rFonts w:ascii="Arial" w:hAnsi="Arial" w:eastAsia="Calibri" w:cs="Arial"/>
          <w:lang w:val="pl-PL"/>
        </w:rPr>
        <w:t xml:space="preserve">Broj: </w:t>
      </w:r>
      <w:r>
        <w:rPr>
          <w:rFonts w:hint="default" w:ascii="Arial" w:hAnsi="Arial" w:eastAsia="Calibri" w:cs="Arial"/>
          <w:lang w:val="sr-Latn-RS"/>
        </w:rPr>
        <w:t>21/1-01-402/25-9946/1</w:t>
      </w:r>
    </w:p>
    <w:p>
      <w:pPr>
        <w:tabs>
          <w:tab w:val="right" w:pos="3402"/>
        </w:tabs>
        <w:spacing w:after="0" w:line="240" w:lineRule="auto"/>
        <w:rPr>
          <w:rFonts w:ascii="Arial" w:hAnsi="Arial" w:eastAsia="Calibri" w:cs="Arial"/>
          <w:lang w:val="pl-PL"/>
        </w:rPr>
      </w:pPr>
      <w:r>
        <w:rPr>
          <w:rFonts w:ascii="Arial" w:hAnsi="Arial" w:eastAsia="Calibri" w:cs="Arial"/>
          <w:lang w:val="pl-PL"/>
        </w:rPr>
        <w:t xml:space="preserve">Podgorica, </w:t>
      </w:r>
      <w:r>
        <w:rPr>
          <w:rFonts w:hint="default" w:ascii="Arial" w:hAnsi="Arial" w:eastAsia="Calibri" w:cs="Arial"/>
          <w:lang w:val="sr-Latn-RS"/>
        </w:rPr>
        <w:t>07.04.2025</w:t>
      </w:r>
      <w:bookmarkStart w:id="16" w:name="_GoBack"/>
      <w:bookmarkEnd w:id="16"/>
      <w:r>
        <w:rPr>
          <w:rFonts w:hint="default" w:ascii="Arial" w:hAnsi="Arial" w:eastAsia="Calibri" w:cs="Arial"/>
          <w:lang w:val="sr-Latn-RS"/>
        </w:rPr>
        <w:t xml:space="preserve">. </w:t>
      </w:r>
      <w:r>
        <w:rPr>
          <w:rFonts w:ascii="Arial" w:hAnsi="Arial" w:eastAsia="Calibri" w:cs="Arial"/>
          <w:lang w:val="pl-PL"/>
        </w:rPr>
        <w:t>godine</w:t>
      </w:r>
    </w:p>
    <w:p>
      <w:pPr>
        <w:spacing w:after="0" w:line="240" w:lineRule="auto"/>
        <w:jc w:val="both"/>
        <w:rPr>
          <w:rFonts w:ascii="Arial" w:hAnsi="Arial" w:eastAsia="Times New Roman" w:cs="Arial"/>
          <w:b/>
          <w:bCs/>
          <w:color w:val="000000"/>
          <w:lang w:val="sr-Latn-ME"/>
        </w:rPr>
      </w:pPr>
    </w:p>
    <w:p>
      <w:pPr>
        <w:tabs>
          <w:tab w:val="left" w:pos="3290"/>
        </w:tabs>
        <w:spacing w:after="0" w:line="240" w:lineRule="auto"/>
        <w:ind w:firstLine="708"/>
        <w:jc w:val="both"/>
        <w:rPr>
          <w:rFonts w:ascii="Arial" w:hAnsi="Arial" w:eastAsia="Times New Roman" w:cs="Arial"/>
          <w:color w:val="000000"/>
          <w:lang w:val="sr-Latn-ME"/>
        </w:rPr>
      </w:pPr>
      <w:r>
        <w:rPr>
          <w:rFonts w:ascii="Arial" w:hAnsi="Arial" w:eastAsia="Times New Roman" w:cs="Arial"/>
          <w:color w:val="000000"/>
          <w:lang w:val="sr-Latn-ME"/>
        </w:rPr>
        <w:t>U skladu sa članom 43 stav 1 Zakona o javnim nabavkama („Službeni list CG”, br.74/19, 3/23</w:t>
      </w:r>
      <w:r>
        <w:rPr>
          <w:rFonts w:hint="default" w:ascii="Arial" w:hAnsi="Arial" w:eastAsia="Times New Roman" w:cs="Arial"/>
          <w:color w:val="000000"/>
          <w:lang w:val="sr-Latn-RS"/>
        </w:rPr>
        <w:t xml:space="preserve">, </w:t>
      </w:r>
      <w:r>
        <w:rPr>
          <w:rFonts w:ascii="Arial" w:hAnsi="Arial" w:eastAsia="Times New Roman" w:cs="Arial"/>
          <w:color w:val="000000"/>
          <w:lang w:val="sr-Latn-ME"/>
        </w:rPr>
        <w:t>11/23</w:t>
      </w:r>
      <w:r>
        <w:rPr>
          <w:rFonts w:hint="default" w:ascii="Arial" w:hAnsi="Arial" w:eastAsia="Times New Roman" w:cs="Arial"/>
          <w:color w:val="000000"/>
          <w:lang w:val="sr-Latn-RS"/>
        </w:rPr>
        <w:t xml:space="preserve"> i 84/24</w:t>
      </w:r>
      <w:r>
        <w:rPr>
          <w:rFonts w:ascii="Arial" w:hAnsi="Arial" w:eastAsia="Times New Roman" w:cs="Arial"/>
          <w:color w:val="000000"/>
          <w:lang w:val="sr-Latn-ME"/>
        </w:rPr>
        <w:t xml:space="preserve">), </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center"/>
        <w:rPr>
          <w:rFonts w:ascii="Arial" w:hAnsi="Arial" w:eastAsia="Times New Roman" w:cs="Arial"/>
          <w:b/>
          <w:bCs/>
          <w:color w:val="000000"/>
          <w:lang w:val="sr-Latn-ME"/>
        </w:rPr>
      </w:pPr>
      <w:r>
        <w:rPr>
          <w:rFonts w:ascii="Arial" w:hAnsi="Arial" w:eastAsia="Times New Roman" w:cs="Arial"/>
          <w:b/>
          <w:bCs/>
          <w:color w:val="000000"/>
          <w:lang w:val="sr-Latn-ME"/>
        </w:rPr>
        <w:t>Izjavljujem</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Calibri" w:cs="Arial"/>
          <w:lang w:val="sr-Latn-CS"/>
        </w:rPr>
      </w:pPr>
      <w:r>
        <w:rPr>
          <w:rFonts w:ascii="Arial" w:hAnsi="Arial" w:eastAsia="Times New Roman" w:cs="Arial"/>
          <w:color w:val="000000"/>
          <w:lang w:val="sr-Latn-ME"/>
        </w:rPr>
        <w:t xml:space="preserve">da u postupku javne nabavke redni broj 3 iz Plana javnih nabavki broj: </w:t>
      </w:r>
      <w:r>
        <w:rPr>
          <w:rFonts w:hint="default" w:ascii="Arial" w:hAnsi="Arial" w:eastAsia="Calibri" w:cs="Arial"/>
          <w:highlight w:val="none"/>
          <w:lang w:val="sr-Latn-RS"/>
        </w:rPr>
        <w:t>21/2-426/25-6437/1</w:t>
      </w:r>
      <w:r>
        <w:rPr>
          <w:rFonts w:ascii="Arial" w:hAnsi="Arial" w:eastAsia="Calibri" w:cs="Arial"/>
          <w:color w:val="000000"/>
          <w:highlight w:val="none"/>
          <w:lang w:val="sr-Latn-ME"/>
        </w:rPr>
        <w:t xml:space="preserve"> od </w:t>
      </w:r>
      <w:r>
        <w:rPr>
          <w:rFonts w:hint="default" w:ascii="Arial" w:hAnsi="Arial" w:eastAsia="Calibri" w:cs="Arial"/>
          <w:highlight w:val="none"/>
          <w:lang w:val="sr-Latn-RS"/>
        </w:rPr>
        <w:t>13.03.2025</w:t>
      </w:r>
      <w:r>
        <w:rPr>
          <w:rFonts w:ascii="Arial" w:hAnsi="Arial" w:eastAsia="Calibri" w:cs="Arial"/>
          <w:color w:val="000000"/>
          <w:highlight w:val="none"/>
          <w:lang w:val="sr-Latn-ME"/>
        </w:rPr>
        <w:t>.</w:t>
      </w:r>
      <w:r>
        <w:rPr>
          <w:rFonts w:hint="default" w:ascii="Arial" w:hAnsi="Arial" w:eastAsia="Calibri" w:cs="Arial"/>
          <w:color w:val="000000"/>
          <w:highlight w:val="none"/>
          <w:lang w:val="sr-Latn-RS"/>
        </w:rPr>
        <w:t xml:space="preserve"> </w:t>
      </w:r>
      <w:r>
        <w:rPr>
          <w:rFonts w:ascii="Arial" w:hAnsi="Arial" w:eastAsia="Calibri" w:cs="Arial"/>
          <w:color w:val="000000"/>
          <w:highlight w:val="none"/>
          <w:lang w:val="sr-Latn-ME"/>
        </w:rPr>
        <w:t>godine</w:t>
      </w:r>
      <w:r>
        <w:rPr>
          <w:rFonts w:ascii="Arial" w:hAnsi="Arial" w:eastAsia="Calibri" w:cs="Arial"/>
          <w:lang w:val="sr-Latn-CS"/>
        </w:rPr>
        <w:t xml:space="preserve">, šifra plana </w:t>
      </w:r>
      <w:r>
        <w:rPr>
          <w:rFonts w:hint="default" w:ascii="Arial" w:hAnsi="Arial" w:eastAsia="Calibri" w:cs="Arial"/>
          <w:lang w:val="sr-Latn-RS"/>
        </w:rPr>
        <w:t>21746</w:t>
      </w:r>
      <w:r>
        <w:rPr>
          <w:rFonts w:ascii="Arial" w:hAnsi="Arial" w:eastAsia="Calibri" w:cs="Arial"/>
          <w:lang w:val="sr-Latn-CS"/>
        </w:rPr>
        <w:t>,</w:t>
      </w:r>
      <w:r>
        <w:rPr>
          <w:rFonts w:ascii="Arial" w:hAnsi="Arial" w:eastAsia="Times New Roman" w:cs="Arial"/>
          <w:color w:val="000000"/>
          <w:lang w:val="sr-Latn-ME"/>
        </w:rPr>
        <w:t xml:space="preserve"> za </w:t>
      </w:r>
      <w:r>
        <w:rPr>
          <w:rFonts w:ascii="Arial" w:hAnsi="Arial" w:eastAsia="Calibri" w:cs="Arial"/>
          <w:lang w:val="sr-Latn-CS"/>
        </w:rPr>
        <w:t xml:space="preserve">nabavku usluga </w:t>
      </w:r>
      <w:r>
        <w:rPr>
          <w:rFonts w:ascii="Arial" w:hAnsi="Arial" w:eastAsia="Calibri" w:cs="Arial"/>
          <w:lang w:val="sr-Latn-ME"/>
        </w:rPr>
        <w:t>održavanja integrisanog informacionog sistema državnog trezora - SAP</w:t>
      </w:r>
      <w:r>
        <w:rPr>
          <w:rFonts w:ascii="Arial" w:hAnsi="Arial" w:eastAsia="Times New Roman"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spacing w:after="0" w:line="240" w:lineRule="auto"/>
        <w:ind w:firstLine="1134"/>
        <w:rPr>
          <w:rFonts w:ascii="Arial" w:hAnsi="Arial" w:eastAsia="Calibri" w:cs="Arial"/>
          <w:color w:val="000000"/>
          <w:lang w:val="sr-Latn-CS"/>
        </w:rPr>
      </w:pPr>
      <w:r>
        <w:rPr>
          <w:rFonts w:ascii="Arial" w:hAnsi="Arial" w:eastAsia="Calibri" w:cs="Arial"/>
          <w:color w:val="000000"/>
          <w:lang w:val="sr-Latn-CS"/>
        </w:rPr>
        <w:t xml:space="preserve">                         Ovlašćeno lice naručioca:                                   </w:t>
      </w:r>
    </w:p>
    <w:p>
      <w:pPr>
        <w:spacing w:after="0" w:line="240" w:lineRule="auto"/>
        <w:ind w:firstLine="1134"/>
        <w:jc w:val="center"/>
        <w:rPr>
          <w:rFonts w:ascii="Arial" w:hAnsi="Arial" w:eastAsia="Calibri" w:cs="Arial"/>
          <w:color w:val="000000"/>
          <w:lang w:val="sr-Latn-CS"/>
        </w:rPr>
      </w:pPr>
      <w:r>
        <w:rPr>
          <w:rFonts w:ascii="Arial" w:hAnsi="Arial" w:eastAsia="Calibri" w:cs="Arial"/>
          <w:color w:val="000000"/>
          <w:lang w:val="sr-Latn-CS"/>
        </w:rPr>
        <w:t xml:space="preserve">                                                                             </w:t>
      </w:r>
      <w:r>
        <w:rPr>
          <w:rFonts w:hint="default" w:ascii="Arial" w:hAnsi="Arial" w:eastAsia="Calibri" w:cs="Arial"/>
          <w:color w:val="000000"/>
          <w:lang w:val="sr-Latn-RS"/>
        </w:rPr>
        <w:t>Maja Mitrovi</w:t>
      </w:r>
      <w:r>
        <w:rPr>
          <w:rFonts w:hint="default" w:ascii="Arial" w:hAnsi="Arial" w:eastAsia="Calibri" w:cs="Arial"/>
          <w:color w:val="000000"/>
          <w:lang w:val="sr-Latn-ME"/>
        </w:rPr>
        <w:t>ć</w:t>
      </w:r>
      <w:r>
        <w:rPr>
          <w:rFonts w:ascii="Arial" w:hAnsi="Arial" w:eastAsia="Calibri" w:cs="Arial"/>
          <w:color w:val="000000"/>
          <w:lang w:val="sr-Latn-CS"/>
        </w:rPr>
        <w:t>, sekretarka</w:t>
      </w:r>
    </w:p>
    <w:p>
      <w:pPr>
        <w:spacing w:after="0" w:line="240" w:lineRule="auto"/>
        <w:ind w:left="5664" w:firstLine="708"/>
        <w:rPr>
          <w:rFonts w:ascii="Arial" w:hAnsi="Arial" w:eastAsia="Calibri" w:cs="Arial"/>
          <w:i/>
          <w:iCs/>
          <w:color w:val="000000"/>
        </w:rPr>
      </w:pPr>
      <w:r>
        <w:rPr>
          <w:rFonts w:ascii="Arial" w:hAnsi="Arial" w:eastAsia="Calibri" w:cs="Arial"/>
          <w:i/>
          <w:iCs/>
          <w:color w:val="000000"/>
          <w:lang w:val="sr-Latn-CS"/>
        </w:rPr>
        <w:t xml:space="preserve">                   s.r.</w:t>
      </w:r>
    </w:p>
    <w:p>
      <w:pPr>
        <w:spacing w:after="0" w:line="240" w:lineRule="auto"/>
        <w:jc w:val="right"/>
        <w:rPr>
          <w:rFonts w:ascii="Arial" w:hAnsi="Arial" w:eastAsia="Calibri" w:cs="Arial"/>
          <w:color w:val="000000"/>
        </w:rPr>
      </w:pPr>
    </w:p>
    <w:p>
      <w:pPr>
        <w:tabs>
          <w:tab w:val="left" w:pos="8160"/>
        </w:tabs>
        <w:spacing w:after="0" w:line="240" w:lineRule="auto"/>
        <w:jc w:val="center"/>
        <w:rPr>
          <w:rFonts w:ascii="Arial" w:hAnsi="Arial" w:eastAsia="Calibri" w:cs="Arial"/>
          <w:i/>
          <w:color w:val="000000"/>
        </w:rPr>
      </w:pPr>
    </w:p>
    <w:p>
      <w:pPr>
        <w:tabs>
          <w:tab w:val="left" w:pos="8160"/>
        </w:tabs>
        <w:spacing w:after="0" w:line="240" w:lineRule="auto"/>
        <w:jc w:val="center"/>
        <w:rPr>
          <w:rFonts w:ascii="Arial" w:hAnsi="Arial" w:eastAsia="Calibri" w:cs="Arial"/>
          <w:i/>
          <w:color w:val="000000"/>
        </w:rPr>
      </w:pPr>
    </w:p>
    <w:p>
      <w:pPr>
        <w:tabs>
          <w:tab w:val="left" w:pos="6405"/>
        </w:tabs>
        <w:spacing w:after="0" w:line="240" w:lineRule="auto"/>
        <w:rPr>
          <w:rFonts w:ascii="Arial" w:hAnsi="Arial" w:eastAsia="Calibri" w:cs="Arial"/>
          <w:color w:val="000000"/>
        </w:rPr>
      </w:pPr>
      <w:r>
        <w:rPr>
          <w:rFonts w:ascii="Arial" w:hAnsi="Arial" w:eastAsia="Calibri" w:cs="Arial"/>
          <w:color w:val="000000"/>
        </w:rPr>
        <w:t>Lica koja su učestvovala u planiranju javne nabavke:</w:t>
      </w:r>
    </w:p>
    <w:p>
      <w:pPr>
        <w:tabs>
          <w:tab w:val="left" w:pos="6405"/>
        </w:tabs>
        <w:spacing w:after="0" w:line="240" w:lineRule="auto"/>
        <w:rPr>
          <w:rFonts w:ascii="Arial" w:hAnsi="Arial" w:eastAsia="Calibri" w:cs="Arial"/>
          <w:color w:val="000000"/>
        </w:rPr>
      </w:pPr>
    </w:p>
    <w:p>
      <w:pPr>
        <w:tabs>
          <w:tab w:val="left" w:pos="6405"/>
        </w:tabs>
        <w:spacing w:after="0" w:line="240" w:lineRule="auto"/>
        <w:rPr>
          <w:rFonts w:ascii="Arial" w:hAnsi="Arial" w:eastAsia="Calibri" w:cs="Arial"/>
          <w:color w:val="000000"/>
          <w:lang w:val="it-IT"/>
        </w:rPr>
      </w:pPr>
      <w:r>
        <w:rPr>
          <w:rFonts w:ascii="Arial" w:hAnsi="Arial" w:eastAsia="Calibri" w:cs="Arial"/>
          <w:color w:val="000000"/>
        </w:rPr>
        <w:t xml:space="preserve">                                                                  </w:t>
      </w:r>
      <w:r>
        <w:rPr>
          <w:rFonts w:hint="default" w:ascii="Arial" w:hAnsi="Arial" w:eastAsia="Calibri" w:cs="Arial"/>
          <w:color w:val="000000"/>
          <w:lang w:val="sr-Latn-RS"/>
        </w:rPr>
        <w:t xml:space="preserve">     </w:t>
      </w:r>
      <w:r>
        <w:rPr>
          <w:rFonts w:hint="default" w:ascii="Arial" w:hAnsi="Arial" w:eastAsia="Calibri" w:cs="Arial"/>
          <w:color w:val="000000"/>
          <w:lang w:val="sr-Latn-ME"/>
        </w:rPr>
        <w:t xml:space="preserve"> </w:t>
      </w:r>
      <w:r>
        <w:rPr>
          <w:rFonts w:ascii="Arial" w:hAnsi="Arial" w:eastAsia="Calibri" w:cs="Arial"/>
          <w:color w:val="000000"/>
        </w:rPr>
        <w:t>G</w:t>
      </w:r>
      <w:r>
        <w:rPr>
          <w:rFonts w:ascii="Arial" w:hAnsi="Arial" w:eastAsia="Calibri" w:cs="Arial"/>
          <w:color w:val="000000"/>
          <w:lang w:val="it-IT"/>
        </w:rPr>
        <w:t>eneralni direktor Direktorata državnog trezora</w:t>
      </w:r>
    </w:p>
    <w:p>
      <w:pPr>
        <w:tabs>
          <w:tab w:val="left" w:pos="6405"/>
          <w:tab w:val="left" w:pos="8235"/>
          <w:tab w:val="right" w:pos="9360"/>
        </w:tabs>
        <w:spacing w:after="0" w:line="240" w:lineRule="auto"/>
        <w:rPr>
          <w:rFonts w:hint="default" w:ascii="Arial" w:hAnsi="Arial" w:eastAsia="Calibri" w:cs="Arial"/>
          <w:color w:val="000000"/>
          <w:lang w:val="sr-Latn-ME"/>
        </w:rPr>
      </w:pPr>
      <w:r>
        <w:rPr>
          <w:rFonts w:ascii="Arial" w:hAnsi="Arial" w:eastAsia="Calibri" w:cs="Arial"/>
          <w:color w:val="000000"/>
          <w:lang w:val="it-IT"/>
        </w:rPr>
        <w:t xml:space="preserve">                                                                                                                         </w:t>
      </w:r>
      <w:r>
        <w:rPr>
          <w:rFonts w:hint="default" w:ascii="Arial" w:hAnsi="Arial" w:eastAsia="Calibri" w:cs="Arial"/>
          <w:color w:val="000000"/>
          <w:lang w:val="sr-Latn-ME"/>
        </w:rPr>
        <w:t>Dragan Darmanović</w:t>
      </w:r>
    </w:p>
    <w:p>
      <w:pPr>
        <w:tabs>
          <w:tab w:val="left" w:pos="6405"/>
          <w:tab w:val="left" w:pos="6480"/>
          <w:tab w:val="left" w:pos="7200"/>
        </w:tabs>
        <w:spacing w:after="0" w:line="240" w:lineRule="auto"/>
        <w:rPr>
          <w:rFonts w:ascii="Arial" w:hAnsi="Arial" w:eastAsia="Calibri" w:cs="Arial"/>
          <w:i/>
          <w:color w:val="000000"/>
          <w:lang w:val="it-IT"/>
        </w:rPr>
      </w:pP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i/>
          <w:color w:val="000000"/>
          <w:lang w:val="it-IT"/>
        </w:rPr>
        <w:t>s.r.</w:t>
      </w:r>
    </w:p>
    <w:p>
      <w:pPr>
        <w:tabs>
          <w:tab w:val="left" w:pos="6405"/>
          <w:tab w:val="left" w:pos="6480"/>
          <w:tab w:val="left" w:pos="7200"/>
        </w:tabs>
        <w:spacing w:after="0" w:line="240" w:lineRule="auto"/>
        <w:rPr>
          <w:rFonts w:ascii="Arial" w:hAnsi="Arial" w:eastAsia="Calibri" w:cs="Arial"/>
          <w:i/>
          <w:color w:val="000000"/>
          <w:lang w:val="it-IT"/>
        </w:rPr>
      </w:pPr>
    </w:p>
    <w:p>
      <w:pPr>
        <w:tabs>
          <w:tab w:val="left" w:pos="6405"/>
        </w:tabs>
        <w:spacing w:after="0" w:line="240" w:lineRule="auto"/>
        <w:rPr>
          <w:rFonts w:ascii="Arial" w:hAnsi="Arial" w:eastAsia="Calibri" w:cs="Arial"/>
          <w:i/>
          <w:iCs/>
          <w:color w:val="000000"/>
          <w:lang w:val="sr-Latn-CS"/>
        </w:rPr>
      </w:pPr>
      <w:r>
        <w:rPr>
          <w:rFonts w:ascii="Arial" w:hAnsi="Arial" w:eastAsia="Calibri" w:cs="Arial"/>
          <w:color w:val="000000"/>
          <w:lang w:val="it-IT"/>
        </w:rPr>
        <w:t xml:space="preserve">                                                                                                 </w:t>
      </w:r>
    </w:p>
    <w:p>
      <w:pPr>
        <w:tabs>
          <w:tab w:val="left" w:pos="3290"/>
        </w:tabs>
        <w:spacing w:after="0" w:line="240" w:lineRule="auto"/>
        <w:rPr>
          <w:rFonts w:ascii="Arial" w:hAnsi="Arial" w:eastAsia="Times New Roman" w:cs="Arial"/>
          <w:iCs/>
          <w:color w:val="000000"/>
          <w:sz w:val="24"/>
          <w:szCs w:val="24"/>
        </w:rPr>
      </w:pP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Zorica Tadić, predsjednik </w:t>
      </w:r>
    </w:p>
    <w:p>
      <w:pPr>
        <w:tabs>
          <w:tab w:val="left" w:pos="3290"/>
        </w:tabs>
        <w:spacing w:after="0" w:line="240" w:lineRule="auto"/>
        <w:rPr>
          <w:rFonts w:hint="default" w:ascii="Arial" w:hAnsi="Arial" w:eastAsia="Times New Roman" w:cs="Arial"/>
          <w:iCs/>
          <w:color w:val="000000"/>
          <w:lang w:val="sr-Latn-RS"/>
        </w:rPr>
      </w:pPr>
      <w:r>
        <w:rPr>
          <w:rFonts w:hint="default" w:ascii="Arial" w:hAnsi="Arial" w:eastAsia="Times New Roman" w:cs="Arial"/>
          <w:iCs/>
          <w:color w:val="000000"/>
          <w:lang w:val="sr-Latn-RS"/>
        </w:rPr>
        <w:t xml:space="preserve">                                                                                                      </w:t>
      </w:r>
      <w:r>
        <w:rPr>
          <w:rFonts w:hint="default" w:ascii="Arial" w:hAnsi="Arial" w:eastAsia="Times New Roman"/>
          <w:i/>
          <w:iCs w:val="0"/>
          <w:color w:val="000000"/>
          <w:lang w:val="sr-Latn-RS"/>
        </w:rPr>
        <w:t xml:space="preserve">  s.r.</w:t>
      </w:r>
    </w:p>
    <w:p>
      <w:pPr>
        <w:tabs>
          <w:tab w:val="left" w:pos="3290"/>
        </w:tabs>
        <w:spacing w:after="0" w:line="240" w:lineRule="auto"/>
        <w:rPr>
          <w:rFonts w:ascii="Arial" w:hAnsi="Arial" w:eastAsia="Times New Roman" w:cs="Arial"/>
          <w:i/>
          <w:iCs/>
          <w:color w:val="000000"/>
          <w:sz w:val="20"/>
          <w:szCs w:val="20"/>
        </w:rPr>
      </w:pPr>
      <w:r>
        <w:rPr>
          <w:rFonts w:ascii="Arial" w:hAnsi="Arial" w:eastAsia="Times New Roman" w:cs="Arial"/>
          <w:iCs/>
          <w:color w:val="000000"/>
        </w:rPr>
        <w:t xml:space="preserve">        </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e: Ljeposava Pavlović,</w:t>
      </w:r>
      <w:r>
        <w:rPr>
          <w:rFonts w:hint="default" w:ascii="Arial" w:hAnsi="Arial" w:eastAsia="Times New Roman" w:cs="Arial"/>
          <w:iCs/>
          <w:color w:val="000000"/>
          <w:lang w:val="sr-Latn-ME"/>
        </w:rPr>
        <w:t xml:space="preserve"> </w:t>
      </w:r>
      <w:r>
        <w:rPr>
          <w:rFonts w:ascii="Arial" w:hAnsi="Arial" w:eastAsia="Times New Roman" w:cs="Arial"/>
          <w:iCs/>
          <w:color w:val="000000"/>
        </w:rPr>
        <w:t xml:space="preserve">član   </w:t>
      </w:r>
    </w:p>
    <w:p>
      <w:pPr>
        <w:tabs>
          <w:tab w:val="left" w:pos="3290"/>
        </w:tabs>
        <w:spacing w:after="0" w:line="480" w:lineRule="auto"/>
        <w:rPr>
          <w:rFonts w:hint="default" w:ascii="Arial" w:hAnsi="Arial" w:eastAsia="Times New Roman" w:cs="Arial"/>
          <w:iCs/>
          <w:color w:val="000000"/>
          <w:lang w:val="sr-Latn-RS"/>
        </w:rPr>
      </w:pPr>
      <w:r>
        <w:rPr>
          <w:rFonts w:ascii="Arial" w:hAnsi="Arial" w:eastAsia="Times New Roman" w:cs="Arial"/>
          <w:iCs/>
          <w:color w:val="000000"/>
        </w:rPr>
        <w:t xml:space="preserve">      </w:t>
      </w: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w:t>
      </w:r>
      <w:r>
        <w:rPr>
          <w:rFonts w:hint="default" w:ascii="Arial" w:hAnsi="Arial" w:eastAsia="Times New Roman" w:cs="Arial"/>
          <w:iCs/>
          <w:color w:val="000000"/>
          <w:lang w:val="sr-Latn-ME"/>
        </w:rPr>
        <w:t xml:space="preserve">Dragan Prenkić, </w:t>
      </w:r>
      <w:r>
        <w:rPr>
          <w:rFonts w:ascii="Arial" w:hAnsi="Arial" w:eastAsia="Times New Roman" w:cs="Arial"/>
          <w:iCs/>
          <w:color w:val="000000"/>
        </w:rPr>
        <w:t xml:space="preserve">član, </w:t>
      </w:r>
    </w:p>
    <w:p>
      <w:pPr>
        <w:tabs>
          <w:tab w:val="left" w:pos="3290"/>
        </w:tabs>
        <w:spacing w:after="0" w:line="480" w:lineRule="auto"/>
        <w:rPr>
          <w:rFonts w:ascii="Arial" w:hAnsi="Arial" w:eastAsia="Times New Roman" w:cs="Arial"/>
          <w:iCs/>
          <w:color w:val="000000"/>
        </w:rPr>
      </w:pP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tabs>
          <w:tab w:val="left" w:pos="3290"/>
        </w:tabs>
        <w:spacing w:after="0" w:line="480" w:lineRule="auto"/>
        <w:rPr>
          <w:rFonts w:ascii="Arial" w:hAnsi="Arial" w:eastAsia="Times New Roman" w:cs="Arial"/>
          <w:iCs/>
          <w:color w:val="000000"/>
        </w:rPr>
      </w:pPr>
    </w:p>
    <w:p>
      <w:pPr>
        <w:tabs>
          <w:tab w:val="left" w:pos="3290"/>
        </w:tabs>
        <w:spacing w:after="0" w:line="480" w:lineRule="auto"/>
        <w:rPr>
          <w:rFonts w:ascii="Arial" w:hAnsi="Arial" w:eastAsia="Times New Roman" w:cs="Arial"/>
          <w:iCs/>
          <w:color w:val="000000"/>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5"/>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0"/>
        <w:jc w:val="both"/>
        <w:rPr>
          <w:rFonts w:ascii="Arial" w:hAnsi="Arial" w:cs="Arial"/>
          <w:sz w:val="16"/>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0"/>
        <w:jc w:val="both"/>
        <w:rPr>
          <w:rFonts w:ascii="Arial" w:hAnsi="Arial" w:cs="Arial"/>
          <w:sz w:val="14"/>
          <w:szCs w:val="14"/>
          <w:lang w:val="sr-Latn-ME"/>
        </w:rPr>
      </w:pPr>
      <w:r>
        <w:rPr>
          <w:rStyle w:val="9"/>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9"/>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D84397"/>
    <w:multiLevelType w:val="multilevel"/>
    <w:tmpl w:val="32D84397"/>
    <w:lvl w:ilvl="0" w:tentative="0">
      <w:start w:val="12"/>
      <w:numFmt w:val="bullet"/>
      <w:lvlText w:val="-"/>
      <w:lvlJc w:val="right"/>
      <w:pPr>
        <w:ind w:left="360" w:hanging="360"/>
      </w:pPr>
      <w:rPr>
        <w:rFonts w:hint="default" w:ascii="Verdana" w:hAnsi="Verdana"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3"/>
  </w:num>
  <w:num w:numId="3">
    <w:abstractNumId w:val="4"/>
  </w:num>
  <w:num w:numId="4">
    <w:abstractNumId w:val="5"/>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61B98"/>
    <w:rsid w:val="00064CB2"/>
    <w:rsid w:val="000829C9"/>
    <w:rsid w:val="00094244"/>
    <w:rsid w:val="00094A08"/>
    <w:rsid w:val="00095E6A"/>
    <w:rsid w:val="000A1F38"/>
    <w:rsid w:val="000A2E6B"/>
    <w:rsid w:val="000B1411"/>
    <w:rsid w:val="000D2EA3"/>
    <w:rsid w:val="000E5130"/>
    <w:rsid w:val="00102DCC"/>
    <w:rsid w:val="00105D04"/>
    <w:rsid w:val="00113ECC"/>
    <w:rsid w:val="001165B3"/>
    <w:rsid w:val="001252CA"/>
    <w:rsid w:val="001629FC"/>
    <w:rsid w:val="001637BB"/>
    <w:rsid w:val="00194F62"/>
    <w:rsid w:val="00195423"/>
    <w:rsid w:val="0019789B"/>
    <w:rsid w:val="001A02EB"/>
    <w:rsid w:val="001A654C"/>
    <w:rsid w:val="001A7608"/>
    <w:rsid w:val="001B5949"/>
    <w:rsid w:val="001C00F8"/>
    <w:rsid w:val="001C1C59"/>
    <w:rsid w:val="001C1D54"/>
    <w:rsid w:val="001D3749"/>
    <w:rsid w:val="001D431F"/>
    <w:rsid w:val="001D64EA"/>
    <w:rsid w:val="001E1808"/>
    <w:rsid w:val="001F54F1"/>
    <w:rsid w:val="00240916"/>
    <w:rsid w:val="00246961"/>
    <w:rsid w:val="0025046E"/>
    <w:rsid w:val="0026331D"/>
    <w:rsid w:val="0027298D"/>
    <w:rsid w:val="00272FFB"/>
    <w:rsid w:val="002812FB"/>
    <w:rsid w:val="0028395A"/>
    <w:rsid w:val="0028478F"/>
    <w:rsid w:val="002847D2"/>
    <w:rsid w:val="00285E8F"/>
    <w:rsid w:val="002A4077"/>
    <w:rsid w:val="002B070B"/>
    <w:rsid w:val="00301AA0"/>
    <w:rsid w:val="00306EE1"/>
    <w:rsid w:val="003137DB"/>
    <w:rsid w:val="00341AA6"/>
    <w:rsid w:val="00347864"/>
    <w:rsid w:val="0037540C"/>
    <w:rsid w:val="00380130"/>
    <w:rsid w:val="003A2AF7"/>
    <w:rsid w:val="003B0FA7"/>
    <w:rsid w:val="003D252F"/>
    <w:rsid w:val="003E0703"/>
    <w:rsid w:val="003E4931"/>
    <w:rsid w:val="00412386"/>
    <w:rsid w:val="00413720"/>
    <w:rsid w:val="00416A86"/>
    <w:rsid w:val="00443ADF"/>
    <w:rsid w:val="00445F5A"/>
    <w:rsid w:val="0045709C"/>
    <w:rsid w:val="00457C21"/>
    <w:rsid w:val="00462222"/>
    <w:rsid w:val="00463E1B"/>
    <w:rsid w:val="00477459"/>
    <w:rsid w:val="0049582A"/>
    <w:rsid w:val="004A0CF7"/>
    <w:rsid w:val="004A2F64"/>
    <w:rsid w:val="004A6D3C"/>
    <w:rsid w:val="004B7984"/>
    <w:rsid w:val="004C2D42"/>
    <w:rsid w:val="004E5ED9"/>
    <w:rsid w:val="004E7352"/>
    <w:rsid w:val="00527DC2"/>
    <w:rsid w:val="00545B4A"/>
    <w:rsid w:val="0055551F"/>
    <w:rsid w:val="0057236B"/>
    <w:rsid w:val="005811D6"/>
    <w:rsid w:val="005A1673"/>
    <w:rsid w:val="005A2A82"/>
    <w:rsid w:val="005B30E9"/>
    <w:rsid w:val="005C26DD"/>
    <w:rsid w:val="005C2C04"/>
    <w:rsid w:val="005E379F"/>
    <w:rsid w:val="006123FC"/>
    <w:rsid w:val="00653D15"/>
    <w:rsid w:val="00657AE4"/>
    <w:rsid w:val="006A212B"/>
    <w:rsid w:val="006B7DA8"/>
    <w:rsid w:val="0076725F"/>
    <w:rsid w:val="0078302A"/>
    <w:rsid w:val="007867ED"/>
    <w:rsid w:val="00793085"/>
    <w:rsid w:val="00795128"/>
    <w:rsid w:val="007959B1"/>
    <w:rsid w:val="007B326E"/>
    <w:rsid w:val="007F016B"/>
    <w:rsid w:val="007F064D"/>
    <w:rsid w:val="007F0910"/>
    <w:rsid w:val="007F099B"/>
    <w:rsid w:val="007F35AF"/>
    <w:rsid w:val="007F7336"/>
    <w:rsid w:val="00830ED1"/>
    <w:rsid w:val="0083691F"/>
    <w:rsid w:val="00844ED0"/>
    <w:rsid w:val="00871A3A"/>
    <w:rsid w:val="0089368B"/>
    <w:rsid w:val="008C7411"/>
    <w:rsid w:val="008C76B4"/>
    <w:rsid w:val="008D1F99"/>
    <w:rsid w:val="008D568B"/>
    <w:rsid w:val="00910581"/>
    <w:rsid w:val="00930A55"/>
    <w:rsid w:val="00935A3C"/>
    <w:rsid w:val="00957E51"/>
    <w:rsid w:val="00964B62"/>
    <w:rsid w:val="00964E08"/>
    <w:rsid w:val="009673A6"/>
    <w:rsid w:val="00971177"/>
    <w:rsid w:val="009722D6"/>
    <w:rsid w:val="00977C56"/>
    <w:rsid w:val="00977F8F"/>
    <w:rsid w:val="0098135C"/>
    <w:rsid w:val="0098197B"/>
    <w:rsid w:val="009B5283"/>
    <w:rsid w:val="009C4391"/>
    <w:rsid w:val="009E0AF6"/>
    <w:rsid w:val="009F2E7F"/>
    <w:rsid w:val="009F3410"/>
    <w:rsid w:val="00A03E4A"/>
    <w:rsid w:val="00A06A1D"/>
    <w:rsid w:val="00A1397F"/>
    <w:rsid w:val="00A369BE"/>
    <w:rsid w:val="00A44B78"/>
    <w:rsid w:val="00A54BE0"/>
    <w:rsid w:val="00A64D03"/>
    <w:rsid w:val="00A70B71"/>
    <w:rsid w:val="00A81CC3"/>
    <w:rsid w:val="00A967CE"/>
    <w:rsid w:val="00AA41D8"/>
    <w:rsid w:val="00AB48E5"/>
    <w:rsid w:val="00AC73A6"/>
    <w:rsid w:val="00AD4B09"/>
    <w:rsid w:val="00AD6ECA"/>
    <w:rsid w:val="00AD6F80"/>
    <w:rsid w:val="00AE7923"/>
    <w:rsid w:val="00AF385F"/>
    <w:rsid w:val="00B02F55"/>
    <w:rsid w:val="00B17AFD"/>
    <w:rsid w:val="00B21242"/>
    <w:rsid w:val="00B22AF1"/>
    <w:rsid w:val="00B4041F"/>
    <w:rsid w:val="00B436A8"/>
    <w:rsid w:val="00B43933"/>
    <w:rsid w:val="00B45485"/>
    <w:rsid w:val="00B50606"/>
    <w:rsid w:val="00B76CEA"/>
    <w:rsid w:val="00B9733D"/>
    <w:rsid w:val="00BD62E4"/>
    <w:rsid w:val="00BE0BBC"/>
    <w:rsid w:val="00BE2F98"/>
    <w:rsid w:val="00BF221D"/>
    <w:rsid w:val="00BF2E70"/>
    <w:rsid w:val="00BF51E2"/>
    <w:rsid w:val="00C20B4D"/>
    <w:rsid w:val="00C24E48"/>
    <w:rsid w:val="00C25853"/>
    <w:rsid w:val="00C4104E"/>
    <w:rsid w:val="00C4628F"/>
    <w:rsid w:val="00C47618"/>
    <w:rsid w:val="00C52248"/>
    <w:rsid w:val="00C5658A"/>
    <w:rsid w:val="00C56723"/>
    <w:rsid w:val="00C93719"/>
    <w:rsid w:val="00C97CCD"/>
    <w:rsid w:val="00CA129B"/>
    <w:rsid w:val="00CC1376"/>
    <w:rsid w:val="00CC7355"/>
    <w:rsid w:val="00CD769D"/>
    <w:rsid w:val="00CF1D21"/>
    <w:rsid w:val="00CF380C"/>
    <w:rsid w:val="00D16305"/>
    <w:rsid w:val="00D4539F"/>
    <w:rsid w:val="00D55B8E"/>
    <w:rsid w:val="00D56CA8"/>
    <w:rsid w:val="00DC37E9"/>
    <w:rsid w:val="00DC4DE2"/>
    <w:rsid w:val="00DD4AD8"/>
    <w:rsid w:val="00DD4F37"/>
    <w:rsid w:val="00DE34BF"/>
    <w:rsid w:val="00DE37A4"/>
    <w:rsid w:val="00E03B04"/>
    <w:rsid w:val="00E15A9C"/>
    <w:rsid w:val="00E270ED"/>
    <w:rsid w:val="00E369E8"/>
    <w:rsid w:val="00E53679"/>
    <w:rsid w:val="00E60A6A"/>
    <w:rsid w:val="00E62B12"/>
    <w:rsid w:val="00EA30DD"/>
    <w:rsid w:val="00EA7F59"/>
    <w:rsid w:val="00EE1B13"/>
    <w:rsid w:val="00EE261E"/>
    <w:rsid w:val="00EE5AFE"/>
    <w:rsid w:val="00F202B3"/>
    <w:rsid w:val="00F42FAB"/>
    <w:rsid w:val="00F47A85"/>
    <w:rsid w:val="00F57EB9"/>
    <w:rsid w:val="00F80A87"/>
    <w:rsid w:val="00F909A3"/>
    <w:rsid w:val="00FC6EE6"/>
    <w:rsid w:val="00FD4599"/>
    <w:rsid w:val="0D9C5D55"/>
    <w:rsid w:val="10AC3A28"/>
    <w:rsid w:val="1D342716"/>
    <w:rsid w:val="208C0D13"/>
    <w:rsid w:val="267915B6"/>
    <w:rsid w:val="2DFF3C7B"/>
    <w:rsid w:val="3ABB79B8"/>
    <w:rsid w:val="58996A7E"/>
    <w:rsid w:val="63581F08"/>
    <w:rsid w:val="6719299D"/>
    <w:rsid w:val="69613CEF"/>
    <w:rsid w:val="6CD67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6"/>
    <w:semiHidden/>
    <w:unhideWhenUsed/>
    <w:qFormat/>
    <w:uiPriority w:val="99"/>
    <w:pPr>
      <w:spacing w:line="240" w:lineRule="auto"/>
    </w:pPr>
    <w:rPr>
      <w:sz w:val="20"/>
      <w:szCs w:val="20"/>
    </w:rPr>
  </w:style>
  <w:style w:type="paragraph" w:styleId="7">
    <w:name w:val="annotation subject"/>
    <w:basedOn w:val="6"/>
    <w:next w:val="6"/>
    <w:link w:val="17"/>
    <w:semiHidden/>
    <w:unhideWhenUsed/>
    <w:qFormat/>
    <w:uiPriority w:val="99"/>
    <w:rPr>
      <w:b/>
      <w:bCs/>
    </w:rPr>
  </w:style>
  <w:style w:type="paragraph" w:styleId="8">
    <w:name w:val="footer"/>
    <w:basedOn w:val="1"/>
    <w:link w:val="15"/>
    <w:unhideWhenUsed/>
    <w:qFormat/>
    <w:uiPriority w:val="99"/>
    <w:pPr>
      <w:tabs>
        <w:tab w:val="center" w:pos="4680"/>
        <w:tab w:val="right" w:pos="9360"/>
      </w:tabs>
      <w:spacing w:after="0" w:line="240" w:lineRule="auto"/>
    </w:pPr>
  </w:style>
  <w:style w:type="character" w:styleId="9">
    <w:name w:val="footnote reference"/>
    <w:unhideWhenUsed/>
    <w:qFormat/>
    <w:uiPriority w:val="99"/>
    <w:rPr>
      <w:vertAlign w:val="superscript"/>
    </w:rPr>
  </w:style>
  <w:style w:type="paragraph" w:styleId="10">
    <w:name w:val="footnote text"/>
    <w:basedOn w:val="1"/>
    <w:link w:val="12"/>
    <w:unhideWhenUsed/>
    <w:uiPriority w:val="99"/>
    <w:pPr>
      <w:spacing w:after="0" w:line="240" w:lineRule="auto"/>
    </w:pPr>
    <w:rPr>
      <w:rFonts w:ascii="Calibri" w:hAnsi="Calibri" w:eastAsia="Calibri" w:cs="Times New Roman"/>
      <w:sz w:val="20"/>
      <w:szCs w:val="20"/>
    </w:rPr>
  </w:style>
  <w:style w:type="paragraph" w:styleId="11">
    <w:name w:val="header"/>
    <w:basedOn w:val="1"/>
    <w:link w:val="14"/>
    <w:unhideWhenUsed/>
    <w:qFormat/>
    <w:uiPriority w:val="99"/>
    <w:pPr>
      <w:tabs>
        <w:tab w:val="center" w:pos="4680"/>
        <w:tab w:val="right" w:pos="9360"/>
      </w:tabs>
      <w:spacing w:after="0" w:line="240" w:lineRule="auto"/>
    </w:pPr>
  </w:style>
  <w:style w:type="character" w:customStyle="1" w:styleId="12">
    <w:name w:val="Footnote Text Char"/>
    <w:basedOn w:val="2"/>
    <w:link w:val="10"/>
    <w:qFormat/>
    <w:uiPriority w:val="99"/>
    <w:rPr>
      <w:rFonts w:ascii="Calibri" w:hAnsi="Calibri" w:eastAsia="Calibri" w:cs="Times New Roman"/>
      <w:sz w:val="20"/>
      <w:szCs w:val="20"/>
    </w:rPr>
  </w:style>
  <w:style w:type="paragraph" w:styleId="13">
    <w:name w:val="List Paragraph"/>
    <w:basedOn w:val="1"/>
    <w:qFormat/>
    <w:uiPriority w:val="34"/>
    <w:pPr>
      <w:ind w:left="720"/>
      <w:contextualSpacing/>
    </w:pPr>
  </w:style>
  <w:style w:type="character" w:customStyle="1" w:styleId="14">
    <w:name w:val="Header Char"/>
    <w:basedOn w:val="2"/>
    <w:link w:val="11"/>
    <w:qFormat/>
    <w:uiPriority w:val="99"/>
  </w:style>
  <w:style w:type="character" w:customStyle="1" w:styleId="15">
    <w:name w:val="Footer Char"/>
    <w:basedOn w:val="2"/>
    <w:link w:val="8"/>
    <w:qFormat/>
    <w:uiPriority w:val="99"/>
  </w:style>
  <w:style w:type="character" w:customStyle="1" w:styleId="16">
    <w:name w:val="Comment Text Char"/>
    <w:basedOn w:val="2"/>
    <w:link w:val="6"/>
    <w:semiHidden/>
    <w:qFormat/>
    <w:uiPriority w:val="99"/>
    <w:rPr>
      <w:sz w:val="20"/>
      <w:szCs w:val="20"/>
    </w:rPr>
  </w:style>
  <w:style w:type="character" w:customStyle="1" w:styleId="17">
    <w:name w:val="Comment Subject Char"/>
    <w:basedOn w:val="16"/>
    <w:link w:val="7"/>
    <w:semiHidden/>
    <w:qFormat/>
    <w:uiPriority w:val="99"/>
    <w:rPr>
      <w:b/>
      <w:bCs/>
      <w:sz w:val="20"/>
      <w:szCs w:val="20"/>
    </w:rPr>
  </w:style>
  <w:style w:type="character" w:customStyle="1" w:styleId="18">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4165</Words>
  <Characters>23741</Characters>
  <Lines>197</Lines>
  <Paragraphs>55</Paragraphs>
  <TotalTime>12</TotalTime>
  <ScaleCrop>false</ScaleCrop>
  <LinksUpToDate>false</LinksUpToDate>
  <CharactersWithSpaces>27851</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Milica i Dragan</cp:lastModifiedBy>
  <cp:lastPrinted>2025-03-27T07:28:00Z</cp:lastPrinted>
  <dcterms:modified xsi:type="dcterms:W3CDTF">2025-04-07T07:38:02Z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A0D6B63388204F7B9D54484D7458342E</vt:lpwstr>
  </property>
</Properties>
</file>