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C7055">
      <w:pPr>
        <w:jc w:val="right"/>
        <w:rPr>
          <w:rFonts w:ascii="Arial" w:hAnsi="Arial" w:cs="Arial"/>
          <w:b/>
          <w:color w:val="000000"/>
        </w:rPr>
      </w:pPr>
      <w:r>
        <w:rPr>
          <w:rFonts w:ascii="Arial" w:hAnsi="Arial" w:cs="Arial"/>
          <w:b/>
          <w:color w:val="000000"/>
        </w:rPr>
        <w:t xml:space="preserve">OBRAZAC 1  </w:t>
      </w:r>
    </w:p>
    <w:p w14:paraId="0DEE49DE">
      <w:pPr>
        <w:rPr>
          <w:rFonts w:ascii="Arial" w:hAnsi="Arial" w:cs="Arial"/>
          <w:color w:val="000000"/>
        </w:rPr>
      </w:pPr>
    </w:p>
    <w:p w14:paraId="09948D16">
      <w:pPr>
        <w:tabs>
          <w:tab w:val="left" w:pos="1701"/>
          <w:tab w:val="left" w:pos="4820"/>
        </w:tabs>
        <w:jc w:val="both"/>
        <w:rPr>
          <w:rFonts w:ascii="Arial" w:hAnsi="Arial" w:cs="Arial"/>
          <w:color w:val="000000"/>
        </w:rPr>
      </w:pPr>
      <w:r>
        <w:rPr>
          <w:rFonts w:ascii="Arial" w:hAnsi="Arial" w:cs="Arial"/>
          <w:color w:val="000000"/>
        </w:rPr>
        <w:t>Putevi d.o.o. Podgorica</w:t>
      </w:r>
    </w:p>
    <w:p w14:paraId="22F54AC1">
      <w:pPr>
        <w:tabs>
          <w:tab w:val="left" w:pos="1701"/>
          <w:tab w:val="left" w:pos="4820"/>
        </w:tabs>
        <w:jc w:val="both"/>
        <w:rPr>
          <w:rFonts w:hint="default" w:ascii="Arial" w:hAnsi="Arial" w:cs="Arial"/>
          <w:lang w:val="en-US"/>
        </w:rPr>
      </w:pPr>
      <w:r>
        <w:rPr>
          <w:rFonts w:ascii="Arial" w:hAnsi="Arial" w:cs="Arial"/>
        </w:rPr>
        <w:t xml:space="preserve">Broj iz evidencije postupaka javnih nabavki: </w:t>
      </w:r>
      <w:r>
        <w:rPr>
          <w:rFonts w:hint="default" w:ascii="Arial" w:hAnsi="Arial" w:cs="Arial"/>
          <w:lang w:val="en-US"/>
        </w:rPr>
        <w:t>0</w:t>
      </w:r>
      <w:r>
        <w:rPr>
          <w:rFonts w:hint="default" w:ascii="Arial" w:hAnsi="Arial" w:cs="Arial"/>
          <w:lang w:val="sr-Latn-ME"/>
        </w:rPr>
        <w:t>3</w:t>
      </w:r>
      <w:r>
        <w:rPr>
          <w:rFonts w:ascii="Arial" w:hAnsi="Arial" w:cs="Arial"/>
          <w:lang w:val="sr-Latn-ME"/>
        </w:rPr>
        <w:t>/</w:t>
      </w:r>
      <w:r>
        <w:rPr>
          <w:rFonts w:hint="default" w:ascii="Arial" w:hAnsi="Arial" w:cs="Arial"/>
          <w:lang w:val="en-US"/>
        </w:rPr>
        <w:t>25</w:t>
      </w:r>
    </w:p>
    <w:p w14:paraId="374185B6">
      <w:pPr>
        <w:jc w:val="both"/>
        <w:rPr>
          <w:rFonts w:hint="default" w:ascii="Arial" w:hAnsi="Arial" w:cs="Arial"/>
          <w:color w:val="000000"/>
          <w:lang w:val="en-US"/>
        </w:rPr>
      </w:pPr>
      <w:r>
        <w:rPr>
          <w:rFonts w:ascii="Arial" w:hAnsi="Arial" w:cs="Arial"/>
          <w:color w:val="000000"/>
        </w:rPr>
        <w:t>Redni broj iz Plana javnih nabavki:</w:t>
      </w:r>
      <w:r>
        <w:rPr>
          <w:rFonts w:hint="default" w:ascii="Arial" w:hAnsi="Arial" w:cs="Arial"/>
          <w:color w:val="000000"/>
          <w:lang w:val="en-US"/>
        </w:rPr>
        <w:t xml:space="preserve"> 14</w:t>
      </w:r>
    </w:p>
    <w:p w14:paraId="67B3686A">
      <w:pPr>
        <w:jc w:val="both"/>
        <w:rPr>
          <w:rFonts w:ascii="Arial" w:hAnsi="Arial" w:cs="Arial"/>
          <w:b/>
          <w:bCs/>
          <w:color w:val="000000"/>
        </w:rPr>
      </w:pPr>
      <w:r>
        <w:rPr>
          <w:rFonts w:ascii="Arial" w:hAnsi="Arial" w:cs="Arial"/>
          <w:color w:val="000000"/>
        </w:rPr>
        <w:t xml:space="preserve">Mjesto i datum: </w:t>
      </w:r>
      <w:r>
        <w:rPr>
          <w:rFonts w:hint="default" w:ascii="Arial" w:hAnsi="Arial" w:cs="Arial"/>
          <w:color w:val="000000"/>
          <w:lang w:val="sr-Latn-ME"/>
        </w:rPr>
        <w:t>05.03.</w:t>
      </w:r>
      <w:r>
        <w:rPr>
          <w:rFonts w:hint="default" w:ascii="Arial" w:hAnsi="Arial" w:cs="Arial"/>
          <w:color w:val="000000"/>
          <w:lang w:val="en-US"/>
        </w:rPr>
        <w:t>2025.</w:t>
      </w:r>
      <w:r>
        <w:rPr>
          <w:rFonts w:ascii="Arial" w:hAnsi="Arial" w:cs="Arial"/>
          <w:color w:val="000000"/>
        </w:rPr>
        <w:t xml:space="preserve"> godine</w:t>
      </w:r>
    </w:p>
    <w:p w14:paraId="68B9876B">
      <w:pPr>
        <w:rPr>
          <w:rFonts w:ascii="Arial" w:hAnsi="Arial" w:cs="Arial"/>
        </w:rPr>
      </w:pPr>
    </w:p>
    <w:p w14:paraId="308CF6B4">
      <w:pPr>
        <w:rPr>
          <w:rFonts w:ascii="Arial" w:hAnsi="Arial" w:cs="Arial"/>
        </w:rPr>
      </w:pPr>
    </w:p>
    <w:p w14:paraId="2AE12146">
      <w:pPr>
        <w:tabs>
          <w:tab w:val="left" w:pos="1276"/>
          <w:tab w:val="left" w:pos="3261"/>
        </w:tabs>
        <w:jc w:val="both"/>
        <w:rPr>
          <w:rFonts w:ascii="Arial" w:hAnsi="Arial" w:cs="Arial"/>
          <w:b/>
          <w:bCs/>
          <w:color w:val="000000"/>
        </w:rPr>
      </w:pPr>
      <w:r>
        <w:rPr>
          <w:rFonts w:ascii="Arial" w:hAnsi="Arial" w:cs="Arial"/>
        </w:rPr>
        <w:t>Na osnovu člana 93 stav 1 Zakona o javnim nabavkama („Službeni list CG“, br. 074/19</w:t>
      </w:r>
      <w:r>
        <w:rPr>
          <w:rFonts w:ascii="Arial" w:hAnsi="Arial" w:cs="Arial"/>
          <w:lang w:val="sr-Latn-ME"/>
        </w:rPr>
        <w:t xml:space="preserve">, 03/23,011/23), </w:t>
      </w:r>
      <w:r>
        <w:rPr>
          <w:rFonts w:ascii="Arial" w:hAnsi="Arial" w:cs="Arial"/>
        </w:rPr>
        <w:t>Putevi d.o.o. Podgorica objavljuje</w:t>
      </w:r>
      <w:r>
        <w:rPr>
          <w:rFonts w:ascii="Arial" w:hAnsi="Arial" w:cs="Arial"/>
          <w:b/>
          <w:bCs/>
          <w:color w:val="000000"/>
        </w:rPr>
        <w:t xml:space="preserve">        </w:t>
      </w:r>
    </w:p>
    <w:p w14:paraId="19C631A8">
      <w:pPr>
        <w:tabs>
          <w:tab w:val="left" w:pos="1276"/>
          <w:tab w:val="left" w:pos="3261"/>
        </w:tabs>
        <w:jc w:val="both"/>
        <w:rPr>
          <w:rFonts w:ascii="Arial" w:hAnsi="Arial" w:cs="Arial"/>
          <w:b/>
          <w:bCs/>
          <w:color w:val="000000"/>
        </w:rPr>
      </w:pPr>
    </w:p>
    <w:p w14:paraId="636BA87C">
      <w:pPr>
        <w:tabs>
          <w:tab w:val="left" w:pos="1276"/>
          <w:tab w:val="left" w:pos="3261"/>
        </w:tabs>
        <w:jc w:val="both"/>
        <w:rPr>
          <w:rFonts w:ascii="Arial" w:hAnsi="Arial" w:cs="Arial"/>
          <w:b/>
          <w:bCs/>
          <w:color w:val="000000"/>
        </w:rPr>
      </w:pPr>
    </w:p>
    <w:p w14:paraId="342B8E90">
      <w:pPr>
        <w:tabs>
          <w:tab w:val="left" w:pos="1276"/>
          <w:tab w:val="left" w:pos="3261"/>
        </w:tabs>
        <w:jc w:val="both"/>
        <w:rPr>
          <w:rFonts w:ascii="Arial" w:hAnsi="Arial" w:cs="Arial"/>
          <w:b/>
          <w:bCs/>
          <w:color w:val="000000"/>
        </w:rPr>
      </w:pPr>
    </w:p>
    <w:p w14:paraId="06090B46">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14:paraId="2402318E">
      <w:pPr>
        <w:keepNext/>
        <w:jc w:val="center"/>
        <w:outlineLvl w:val="0"/>
        <w:rPr>
          <w:rFonts w:ascii="Arial" w:hAnsi="Arial" w:cs="Arial"/>
          <w:b/>
          <w:bCs/>
          <w:color w:val="000000"/>
        </w:rPr>
      </w:pPr>
    </w:p>
    <w:p w14:paraId="0333E61D">
      <w:pPr>
        <w:jc w:val="center"/>
        <w:rPr>
          <w:rFonts w:ascii="Arial" w:hAnsi="Arial" w:cs="Arial"/>
          <w:b/>
          <w:bCs/>
          <w:color w:val="000000"/>
        </w:rPr>
      </w:pPr>
      <w:r>
        <w:rPr>
          <w:rFonts w:ascii="Arial" w:hAnsi="Arial" w:cs="Arial"/>
          <w:b/>
          <w:bCs/>
          <w:color w:val="000000"/>
        </w:rPr>
        <w:t>TENDERSKU DOKUMENTACIJU</w:t>
      </w:r>
    </w:p>
    <w:p w14:paraId="790F8B9F">
      <w:pPr>
        <w:jc w:val="center"/>
        <w:rPr>
          <w:rFonts w:ascii="Arial" w:hAnsi="Arial" w:cs="Arial"/>
          <w:b/>
          <w:bCs/>
          <w:color w:val="000000"/>
        </w:rPr>
      </w:pPr>
      <w:r>
        <w:rPr>
          <w:rFonts w:ascii="Arial" w:hAnsi="Arial" w:cs="Arial"/>
          <w:b/>
          <w:bCs/>
          <w:color w:val="000000"/>
        </w:rPr>
        <w:t>ZA OTVORENI POSTUPAK JAVNE NABAVKE</w:t>
      </w:r>
    </w:p>
    <w:p w14:paraId="646C4F98">
      <w:pPr>
        <w:jc w:val="center"/>
        <w:rPr>
          <w:rFonts w:ascii="Arial" w:hAnsi="Arial" w:cs="Arial"/>
          <w:b/>
          <w:bCs/>
          <w:color w:val="000000"/>
        </w:rPr>
      </w:pPr>
    </w:p>
    <w:p w14:paraId="027FC6E6">
      <w:pPr>
        <w:jc w:val="center"/>
        <w:rPr>
          <w:rFonts w:ascii="Arial" w:hAnsi="Arial" w:cs="Arial"/>
        </w:rPr>
      </w:pPr>
      <w:r>
        <w:rPr>
          <w:rFonts w:ascii="Arial" w:hAnsi="Arial" w:cs="Arial"/>
          <w:color w:val="000000"/>
        </w:rPr>
        <w:t>za nabavku robe</w:t>
      </w:r>
      <w:r>
        <w:rPr>
          <w:rFonts w:hint="default" w:ascii="Arial" w:hAnsi="Arial" w:cs="Arial"/>
          <w:color w:val="000000"/>
          <w:lang w:val="sr-Latn-ME"/>
        </w:rPr>
        <w:t xml:space="preserve"> </w:t>
      </w:r>
      <w:r>
        <w:rPr>
          <w:rFonts w:ascii="Arial" w:hAnsi="Arial" w:cs="Arial"/>
          <w:color w:val="000000"/>
        </w:rPr>
        <w:t>- Nabavka i isporuka bitumena</w:t>
      </w:r>
    </w:p>
    <w:p w14:paraId="579AA399">
      <w:pPr>
        <w:jc w:val="both"/>
        <w:rPr>
          <w:rFonts w:ascii="Arial" w:hAnsi="Arial" w:cs="Arial"/>
          <w:color w:val="000000"/>
        </w:rPr>
      </w:pPr>
    </w:p>
    <w:p w14:paraId="59108841">
      <w:pPr>
        <w:jc w:val="both"/>
        <w:rPr>
          <w:rFonts w:ascii="Arial" w:hAnsi="Arial" w:cs="Arial"/>
          <w:color w:val="000000"/>
        </w:rPr>
      </w:pPr>
    </w:p>
    <w:p w14:paraId="7AFE1F9F">
      <w:pPr>
        <w:jc w:val="both"/>
        <w:rPr>
          <w:rFonts w:ascii="Arial" w:hAnsi="Arial" w:cs="Arial"/>
          <w:color w:val="000000"/>
        </w:rPr>
      </w:pPr>
      <w:r>
        <w:rPr>
          <w:rFonts w:ascii="Arial" w:hAnsi="Arial" w:cs="Arial"/>
          <w:color w:val="000000"/>
        </w:rPr>
        <w:t>Predmet nabavke se nabavlja:</w:t>
      </w:r>
    </w:p>
    <w:p w14:paraId="02100E34">
      <w:pPr>
        <w:jc w:val="both"/>
        <w:rPr>
          <w:rFonts w:ascii="Arial" w:hAnsi="Arial" w:cs="Arial"/>
          <w:color w:val="000000"/>
        </w:rPr>
      </w:pPr>
    </w:p>
    <w:p w14:paraId="3CFD999D">
      <w:pPr>
        <w:jc w:val="both"/>
        <w:rPr>
          <w:rFonts w:ascii="Arial" w:hAnsi="Arial" w:cs="Arial"/>
          <w:color w:val="000000"/>
          <w:lang w:val="sr-Latn-ME"/>
        </w:rPr>
      </w:pPr>
      <w:r>
        <w:rPr>
          <w:rFonts w:ascii="Arial" w:hAnsi="Arial" w:cs="Arial"/>
          <w:color w:val="000000"/>
        </w:rPr>
        <w:sym w:font="Wingdings" w:char="00A8"/>
      </w:r>
      <w:r>
        <w:rPr>
          <w:rFonts w:ascii="Arial" w:hAnsi="Arial" w:cs="Arial"/>
          <w:color w:val="000000"/>
        </w:rPr>
        <w:t xml:space="preserve"> </w:t>
      </w:r>
      <w:r>
        <w:rPr>
          <w:rFonts w:ascii="Arial" w:hAnsi="Arial" w:cs="Arial"/>
          <w:color w:val="000000"/>
          <w:lang w:val="sr-Latn-ME"/>
        </w:rPr>
        <w:t>kao cjelina</w:t>
      </w:r>
    </w:p>
    <w:p w14:paraId="67FAE2C5">
      <w:pPr>
        <w:rPr>
          <w:rFonts w:ascii="Arial" w:hAnsi="Arial" w:cs="Arial"/>
          <w:color w:val="000000"/>
        </w:rPr>
      </w:pPr>
    </w:p>
    <w:p w14:paraId="1EDA7C08">
      <w:pPr>
        <w:rPr>
          <w:rFonts w:ascii="Arial" w:hAnsi="Arial" w:cs="Arial"/>
          <w:color w:val="000000"/>
        </w:rPr>
      </w:pPr>
    </w:p>
    <w:p w14:paraId="3ED4F7ED">
      <w:pPr>
        <w:rPr>
          <w:rFonts w:ascii="Arial" w:hAnsi="Arial" w:cs="Arial"/>
          <w:color w:val="000000"/>
        </w:rPr>
      </w:pPr>
    </w:p>
    <w:p w14:paraId="0B3821B5">
      <w:pPr>
        <w:rPr>
          <w:rFonts w:ascii="Arial" w:hAnsi="Arial" w:cs="Arial"/>
          <w:color w:val="000000"/>
        </w:rPr>
      </w:pPr>
    </w:p>
    <w:p w14:paraId="0371D1BB">
      <w:pPr>
        <w:rPr>
          <w:rFonts w:ascii="Arial" w:hAnsi="Arial" w:cs="Arial"/>
          <w:color w:val="000000"/>
        </w:rPr>
      </w:pPr>
    </w:p>
    <w:p w14:paraId="4087B685">
      <w:pPr>
        <w:rPr>
          <w:rFonts w:ascii="Arial" w:hAnsi="Arial" w:cs="Arial"/>
          <w:color w:val="000000"/>
        </w:rPr>
      </w:pPr>
    </w:p>
    <w:p w14:paraId="3171E003">
      <w:pPr>
        <w:rPr>
          <w:rFonts w:ascii="Arial" w:hAnsi="Arial" w:cs="Arial"/>
          <w:color w:val="000000"/>
        </w:rPr>
      </w:pPr>
    </w:p>
    <w:p w14:paraId="78ABA8CE">
      <w:pPr>
        <w:rPr>
          <w:rFonts w:ascii="Arial" w:hAnsi="Arial" w:cs="Arial"/>
          <w:color w:val="000000"/>
        </w:rPr>
      </w:pPr>
    </w:p>
    <w:p w14:paraId="6C77DF3E">
      <w:pPr>
        <w:rPr>
          <w:rFonts w:ascii="Arial" w:hAnsi="Arial" w:cs="Arial"/>
          <w:color w:val="000000"/>
        </w:rPr>
      </w:pPr>
    </w:p>
    <w:p w14:paraId="4DBC49D4">
      <w:pPr>
        <w:rPr>
          <w:rFonts w:ascii="Arial" w:hAnsi="Arial" w:cs="Arial"/>
          <w:color w:val="000000"/>
        </w:rPr>
      </w:pPr>
    </w:p>
    <w:p w14:paraId="4B69310B">
      <w:pPr>
        <w:rPr>
          <w:rFonts w:ascii="Arial" w:hAnsi="Arial" w:cs="Arial"/>
          <w:color w:val="000000"/>
        </w:rPr>
      </w:pPr>
    </w:p>
    <w:p w14:paraId="1D8B4379">
      <w:pPr>
        <w:rPr>
          <w:rFonts w:ascii="Arial" w:hAnsi="Arial" w:cs="Arial"/>
          <w:color w:val="000000"/>
        </w:rPr>
      </w:pPr>
    </w:p>
    <w:p w14:paraId="02A82F95">
      <w:pPr>
        <w:rPr>
          <w:rFonts w:ascii="Arial" w:hAnsi="Arial" w:cs="Arial"/>
          <w:color w:val="000000"/>
        </w:rPr>
      </w:pPr>
    </w:p>
    <w:p w14:paraId="09362A91">
      <w:pPr>
        <w:rPr>
          <w:rFonts w:ascii="Arial" w:hAnsi="Arial" w:cs="Arial"/>
          <w:color w:val="000000"/>
        </w:rPr>
      </w:pPr>
    </w:p>
    <w:p w14:paraId="7E0BC26F">
      <w:pPr>
        <w:rPr>
          <w:rFonts w:ascii="Arial" w:hAnsi="Arial" w:cs="Arial"/>
          <w:color w:val="000000"/>
        </w:rPr>
      </w:pPr>
    </w:p>
    <w:p w14:paraId="242F1148">
      <w:pPr>
        <w:rPr>
          <w:rFonts w:ascii="Arial" w:hAnsi="Arial" w:cs="Arial"/>
          <w:color w:val="000000"/>
        </w:rPr>
      </w:pPr>
    </w:p>
    <w:p w14:paraId="3CB6B02D">
      <w:pPr>
        <w:rPr>
          <w:rFonts w:ascii="Arial" w:hAnsi="Arial" w:cs="Arial"/>
          <w:color w:val="000000"/>
        </w:rPr>
      </w:pPr>
    </w:p>
    <w:p w14:paraId="479190F4">
      <w:pPr>
        <w:rPr>
          <w:rFonts w:ascii="Arial" w:hAnsi="Arial" w:cs="Arial"/>
          <w:color w:val="000000"/>
        </w:rPr>
      </w:pPr>
    </w:p>
    <w:p w14:paraId="3672BBFB">
      <w:pPr>
        <w:rPr>
          <w:rFonts w:ascii="Arial" w:hAnsi="Arial" w:cs="Arial"/>
          <w:color w:val="000000"/>
        </w:rPr>
      </w:pPr>
    </w:p>
    <w:p w14:paraId="6AA24FC4">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rPr>
      </w:pPr>
      <w:bookmarkStart w:id="0" w:name="_Toc62730553"/>
      <w:r>
        <w:rPr>
          <w:rFonts w:ascii="Arial" w:hAnsi="Arial" w:cs="Arial"/>
          <w:b/>
          <w:color w:val="000000"/>
        </w:rPr>
        <w:t>POZIV ZA NADMETANJE</w:t>
      </w:r>
      <w:r>
        <w:rPr>
          <w:rFonts w:ascii="Arial" w:hAnsi="Arial" w:cs="Arial"/>
          <w:b/>
          <w:color w:val="000000"/>
          <w:vertAlign w:val="superscript"/>
        </w:rPr>
        <w:footnoteReference w:id="0"/>
      </w:r>
      <w:bookmarkEnd w:id="0"/>
      <w:r>
        <w:rPr>
          <w:rFonts w:ascii="Arial" w:hAnsi="Arial" w:cs="Arial"/>
          <w:b/>
          <w:color w:val="000000"/>
        </w:rPr>
        <w:t xml:space="preserve"> </w:t>
      </w:r>
    </w:p>
    <w:p w14:paraId="6FDB0C42">
      <w:pPr>
        <w:rPr>
          <w:rFonts w:ascii="Arial" w:hAnsi="Arial" w:cs="Arial"/>
          <w:b/>
          <w:bCs/>
          <w:color w:val="000000"/>
        </w:rPr>
      </w:pPr>
      <w:r>
        <w:rPr>
          <w:rFonts w:ascii="Arial" w:hAnsi="Arial" w:cs="Arial"/>
          <w:b/>
          <w:bCs/>
          <w:color w:val="000000"/>
        </w:rPr>
        <w:tab/>
      </w:r>
    </w:p>
    <w:p w14:paraId="41723C0F">
      <w:pPr>
        <w:ind w:left="360"/>
        <w:jc w:val="center"/>
        <w:rPr>
          <w:rFonts w:ascii="Arial" w:hAnsi="Arial" w:cs="Arial"/>
          <w:b/>
          <w:bCs/>
          <w:color w:val="000000"/>
        </w:rPr>
      </w:pPr>
    </w:p>
    <w:p w14:paraId="5676DD7F">
      <w:pPr>
        <w:numPr>
          <w:ilvl w:val="0"/>
          <w:numId w:val="2"/>
        </w:numPr>
        <w:spacing w:after="160" w:line="259" w:lineRule="auto"/>
        <w:contextualSpacing/>
        <w:rPr>
          <w:rFonts w:ascii="Arial" w:hAnsi="Arial" w:eastAsia="Calibri" w:cs="Arial"/>
          <w:color w:val="000000"/>
        </w:rPr>
      </w:pPr>
      <w:r>
        <w:rPr>
          <w:rFonts w:ascii="Arial" w:hAnsi="Arial" w:eastAsia="Calibri" w:cs="Arial"/>
          <w:color w:val="000000"/>
        </w:rPr>
        <w:t>Podaci o naručiocu;</w:t>
      </w:r>
    </w:p>
    <w:p w14:paraId="291C2702">
      <w:pPr>
        <w:numPr>
          <w:ilvl w:val="0"/>
          <w:numId w:val="2"/>
        </w:numPr>
        <w:spacing w:after="160" w:line="259" w:lineRule="auto"/>
        <w:contextualSpacing/>
        <w:rPr>
          <w:rFonts w:ascii="Arial" w:hAnsi="Arial" w:eastAsia="Calibri" w:cs="Arial"/>
          <w:color w:val="000000"/>
        </w:rPr>
      </w:pPr>
      <w:r>
        <w:rPr>
          <w:rFonts w:ascii="Arial" w:hAnsi="Arial" w:eastAsia="Calibri" w:cs="Arial"/>
          <w:color w:val="000000"/>
        </w:rPr>
        <w:t xml:space="preserve">Podaci o postupku i predmetu javne nabavke: </w:t>
      </w:r>
    </w:p>
    <w:p w14:paraId="38113159">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Vrsta postupka,</w:t>
      </w:r>
    </w:p>
    <w:p w14:paraId="069EF0F6">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Predmet javne nabavke (vrsta predmeta, naziv i opis predmeta),</w:t>
      </w:r>
    </w:p>
    <w:p w14:paraId="1A8EC7BD">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Procijenjena vrijednost predmeta nabavke</w:t>
      </w:r>
      <w:r>
        <w:rPr>
          <w:rFonts w:ascii="Arial" w:hAnsi="Arial" w:eastAsia="Calibri" w:cs="Arial"/>
          <w:color w:val="000000"/>
          <w:vertAlign w:val="superscript"/>
        </w:rPr>
        <w:footnoteReference w:id="1"/>
      </w:r>
      <w:r>
        <w:rPr>
          <w:rFonts w:ascii="Arial" w:hAnsi="Arial" w:eastAsia="Calibri" w:cs="Arial"/>
          <w:color w:val="000000"/>
        </w:rPr>
        <w:t>,</w:t>
      </w:r>
    </w:p>
    <w:p w14:paraId="7291643D">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 xml:space="preserve">Način nabavke: </w:t>
      </w:r>
    </w:p>
    <w:p w14:paraId="4EBF7C68">
      <w:pPr>
        <w:numPr>
          <w:ilvl w:val="0"/>
          <w:numId w:val="3"/>
        </w:numPr>
        <w:spacing w:after="160" w:line="259" w:lineRule="auto"/>
        <w:contextualSpacing/>
        <w:rPr>
          <w:rFonts w:ascii="Arial" w:hAnsi="Arial" w:eastAsia="Calibri" w:cs="Arial"/>
          <w:color w:val="000000"/>
        </w:rPr>
      </w:pPr>
      <w:r>
        <w:rPr>
          <w:rFonts w:ascii="Arial" w:hAnsi="Arial" w:eastAsia="Calibri" w:cs="Arial"/>
          <w:color w:val="000000"/>
        </w:rPr>
        <w:t>Cjelina, po partijama,</w:t>
      </w:r>
    </w:p>
    <w:p w14:paraId="2314928D">
      <w:pPr>
        <w:numPr>
          <w:ilvl w:val="0"/>
          <w:numId w:val="3"/>
        </w:numPr>
        <w:spacing w:after="160" w:line="259" w:lineRule="auto"/>
        <w:contextualSpacing/>
        <w:rPr>
          <w:rFonts w:ascii="Arial" w:hAnsi="Arial" w:eastAsia="Calibri" w:cs="Arial"/>
          <w:color w:val="000000"/>
        </w:rPr>
      </w:pPr>
      <w:r>
        <w:rPr>
          <w:rFonts w:ascii="Arial" w:hAnsi="Arial" w:eastAsia="Calibri" w:cs="Arial"/>
          <w:color w:val="000000"/>
        </w:rPr>
        <w:t>Zajednička nabavka,</w:t>
      </w:r>
    </w:p>
    <w:p w14:paraId="6746ECDC">
      <w:pPr>
        <w:numPr>
          <w:ilvl w:val="0"/>
          <w:numId w:val="3"/>
        </w:numPr>
        <w:spacing w:after="160" w:line="259" w:lineRule="auto"/>
        <w:contextualSpacing/>
        <w:rPr>
          <w:rFonts w:ascii="Arial" w:hAnsi="Arial" w:eastAsia="Calibri" w:cs="Arial"/>
          <w:color w:val="000000"/>
        </w:rPr>
      </w:pPr>
      <w:r>
        <w:rPr>
          <w:rFonts w:ascii="Arial" w:hAnsi="Arial" w:eastAsia="Calibri" w:cs="Arial"/>
          <w:color w:val="000000"/>
        </w:rPr>
        <w:t>Centralizovana nabavka,</w:t>
      </w:r>
    </w:p>
    <w:p w14:paraId="26F99242">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Posebni oblik nabavke:</w:t>
      </w:r>
    </w:p>
    <w:p w14:paraId="4F6CBBC0">
      <w:pPr>
        <w:numPr>
          <w:ilvl w:val="0"/>
          <w:numId w:val="4"/>
        </w:numPr>
        <w:spacing w:after="160" w:line="259" w:lineRule="auto"/>
        <w:contextualSpacing/>
        <w:rPr>
          <w:rFonts w:ascii="Arial" w:hAnsi="Arial" w:eastAsia="Calibri" w:cs="Arial"/>
          <w:color w:val="000000"/>
        </w:rPr>
      </w:pPr>
      <w:r>
        <w:rPr>
          <w:rFonts w:ascii="Arial" w:hAnsi="Arial" w:eastAsia="Calibri" w:cs="Arial"/>
          <w:color w:val="000000"/>
        </w:rPr>
        <w:t>Okvirni sporazum,</w:t>
      </w:r>
    </w:p>
    <w:p w14:paraId="196BA36C">
      <w:pPr>
        <w:numPr>
          <w:ilvl w:val="0"/>
          <w:numId w:val="4"/>
        </w:numPr>
        <w:spacing w:after="160" w:line="259" w:lineRule="auto"/>
        <w:contextualSpacing/>
        <w:rPr>
          <w:rFonts w:ascii="Arial" w:hAnsi="Arial" w:eastAsia="Calibri" w:cs="Arial"/>
          <w:color w:val="000000"/>
        </w:rPr>
      </w:pPr>
      <w:r>
        <w:rPr>
          <w:rFonts w:ascii="Arial" w:hAnsi="Arial" w:eastAsia="Calibri" w:cs="Arial"/>
          <w:color w:val="000000"/>
        </w:rPr>
        <w:t>Dinamički sistem nabavki,</w:t>
      </w:r>
    </w:p>
    <w:p w14:paraId="51692493">
      <w:pPr>
        <w:numPr>
          <w:ilvl w:val="0"/>
          <w:numId w:val="4"/>
        </w:numPr>
        <w:spacing w:after="160" w:line="259" w:lineRule="auto"/>
        <w:contextualSpacing/>
        <w:rPr>
          <w:rFonts w:ascii="Arial" w:hAnsi="Arial" w:eastAsia="Calibri" w:cs="Arial"/>
          <w:color w:val="000000"/>
        </w:rPr>
      </w:pPr>
      <w:r>
        <w:rPr>
          <w:rFonts w:ascii="Arial" w:hAnsi="Arial" w:eastAsia="Calibri" w:cs="Arial"/>
          <w:color w:val="000000"/>
        </w:rPr>
        <w:t>Elektronska aukcija,</w:t>
      </w:r>
    </w:p>
    <w:p w14:paraId="49ACFA09">
      <w:pPr>
        <w:numPr>
          <w:ilvl w:val="0"/>
          <w:numId w:val="4"/>
        </w:numPr>
        <w:spacing w:after="160" w:line="259" w:lineRule="auto"/>
        <w:contextualSpacing/>
        <w:rPr>
          <w:rFonts w:ascii="Arial" w:hAnsi="Arial" w:eastAsia="Calibri" w:cs="Arial"/>
          <w:color w:val="000000"/>
        </w:rPr>
      </w:pPr>
      <w:r>
        <w:rPr>
          <w:rFonts w:ascii="Arial" w:hAnsi="Arial" w:eastAsia="Calibri" w:cs="Arial"/>
          <w:color w:val="000000"/>
        </w:rPr>
        <w:t>Elektronski katalog,</w:t>
      </w:r>
    </w:p>
    <w:p w14:paraId="0C0114EC">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Uslovi za učešće u postupku javne nabavke i posebni osnovi za isključenje,</w:t>
      </w:r>
    </w:p>
    <w:p w14:paraId="208C598F">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Kriterijum za izbor najpovoljnije ponude,</w:t>
      </w:r>
    </w:p>
    <w:p w14:paraId="435482CA">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Način, mjesto i vrijeme podnošenja ponuda i otvaranja ponuda,</w:t>
      </w:r>
    </w:p>
    <w:p w14:paraId="1C2A4FEF">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Rok za donošenje odluke o izboru,</w:t>
      </w:r>
    </w:p>
    <w:p w14:paraId="1E49416B">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Rok važenja ponude,</w:t>
      </w:r>
    </w:p>
    <w:p w14:paraId="7B5F652F">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Garancija ponude</w:t>
      </w:r>
    </w:p>
    <w:p w14:paraId="15B9A893">
      <w:pPr>
        <w:rPr>
          <w:rFonts w:ascii="Arial" w:hAnsi="Arial" w:eastAsia="Calibri" w:cs="Arial"/>
          <w:color w:val="000000"/>
        </w:rPr>
      </w:pPr>
    </w:p>
    <w:p w14:paraId="0E84C37B">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rPr>
      </w:pPr>
      <w:bookmarkStart w:id="1" w:name="_Toc62730554"/>
      <w:r>
        <w:rPr>
          <w:rFonts w:ascii="Arial" w:hAnsi="Arial" w:cs="Arial"/>
          <w:b/>
          <w:color w:val="000000"/>
        </w:rPr>
        <w:t>TEHNIČKA SPECIFIKACIJA PREDMETA JAVNE NABAVKE</w:t>
      </w:r>
      <w:r>
        <w:rPr>
          <w:rFonts w:ascii="Arial" w:hAnsi="Arial" w:cs="Arial"/>
          <w:b/>
          <w:color w:val="000000"/>
          <w:vertAlign w:val="superscript"/>
        </w:rPr>
        <w:footnoteReference w:id="2"/>
      </w:r>
      <w:bookmarkEnd w:id="1"/>
    </w:p>
    <w:p w14:paraId="164C0261">
      <w:pPr>
        <w:rPr>
          <w:rFonts w:ascii="Arial" w:hAnsi="Arial" w:eastAsia="Calibri" w:cs="Arial"/>
          <w:color w:val="000000"/>
        </w:rPr>
      </w:pPr>
    </w:p>
    <w:p w14:paraId="7D03FBA8">
      <w:pPr>
        <w:numPr>
          <w:ilvl w:val="0"/>
          <w:numId w:val="5"/>
        </w:numPr>
        <w:spacing w:after="160" w:line="259" w:lineRule="auto"/>
        <w:contextualSpacing/>
        <w:jc w:val="both"/>
        <w:rPr>
          <w:rFonts w:ascii="Arial" w:hAnsi="Arial" w:eastAsia="Calibri" w:cs="Arial"/>
          <w:color w:val="000000"/>
        </w:rPr>
      </w:pPr>
      <w:r>
        <w:rPr>
          <w:rFonts w:ascii="Arial" w:hAnsi="Arial" w:eastAsia="Calibri" w:cs="Arial"/>
          <w:color w:val="000000"/>
        </w:rPr>
        <w:t>Naziv i opis predmeta nabavke u cjelini, po partijama i stavkama sa bitnim karakteristikama</w:t>
      </w:r>
    </w:p>
    <w:p w14:paraId="1CDA539F">
      <w:pPr>
        <w:numPr>
          <w:ilvl w:val="0"/>
          <w:numId w:val="5"/>
        </w:numPr>
        <w:spacing w:after="160" w:line="259" w:lineRule="auto"/>
        <w:contextualSpacing/>
        <w:jc w:val="both"/>
        <w:rPr>
          <w:rFonts w:ascii="Arial" w:hAnsi="Arial" w:eastAsia="Calibri" w:cs="Arial"/>
          <w:color w:val="000000"/>
        </w:rPr>
      </w:pPr>
      <w:r>
        <w:rPr>
          <w:rFonts w:ascii="Arial" w:hAnsi="Arial" w:eastAsia="Calibri" w:cs="Arial"/>
          <w:color w:val="000000"/>
        </w:rPr>
        <w:t>Zahtjevi u pogledu načina izvršavanja predmeta nabavke koji su od značaja za sačinjavanje ponude i izvršenje ugovora</w:t>
      </w:r>
    </w:p>
    <w:p w14:paraId="7EC6AA56">
      <w:pPr>
        <w:rPr>
          <w:rFonts w:ascii="Arial" w:hAnsi="Arial" w:eastAsia="Calibri" w:cs="Arial"/>
          <w:color w:val="000000"/>
        </w:rPr>
      </w:pPr>
    </w:p>
    <w:p w14:paraId="2681B28F">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color w:val="000000"/>
        </w:rPr>
      </w:pPr>
      <w:bookmarkStart w:id="2" w:name="_Toc62730555"/>
      <w:r>
        <w:rPr>
          <w:rFonts w:ascii="Arial" w:hAnsi="Arial" w:cs="Arial"/>
          <w:b/>
          <w:color w:val="000000"/>
        </w:rPr>
        <w:t>DODATNE INFORMACIJE O PREDMETU I POSTUPKU NABAVKE</w:t>
      </w:r>
      <w:r>
        <w:rPr>
          <w:rFonts w:ascii="Arial" w:hAnsi="Arial" w:cs="Arial"/>
          <w:b/>
          <w:color w:val="000000"/>
          <w:vertAlign w:val="superscript"/>
        </w:rPr>
        <w:footnoteReference w:id="3"/>
      </w:r>
      <w:bookmarkEnd w:id="2"/>
    </w:p>
    <w:p w14:paraId="58ABE19A">
      <w:pPr>
        <w:jc w:val="both"/>
        <w:rPr>
          <w:rFonts w:ascii="Arial" w:hAnsi="Arial" w:cs="Arial"/>
          <w:b/>
          <w:bCs/>
          <w:color w:val="000000"/>
        </w:rPr>
      </w:pPr>
    </w:p>
    <w:p w14:paraId="54FABFFD">
      <w:pPr>
        <w:pBdr>
          <w:top w:val="single" w:color="auto" w:sz="4" w:space="1"/>
          <w:left w:val="single" w:color="auto" w:sz="4" w:space="4"/>
          <w:bottom w:val="single" w:color="auto" w:sz="4" w:space="1"/>
          <w:right w:val="single" w:color="auto" w:sz="4" w:space="4"/>
        </w:pBdr>
        <w:shd w:val="clear" w:color="auto" w:fill="D9D9D9"/>
        <w:spacing w:after="160" w:line="259" w:lineRule="auto"/>
        <w:rPr>
          <w:rFonts w:ascii="Arial" w:hAnsi="Arial" w:eastAsia="Calibri" w:cs="Arial"/>
          <w:b/>
          <w:bCs/>
          <w:color w:val="000000"/>
        </w:rPr>
      </w:pPr>
      <w:r>
        <w:rPr>
          <w:rFonts w:ascii="Arial" w:hAnsi="Arial" w:eastAsia="Calibri" w:cs="Arial"/>
          <w:b/>
          <w:bCs/>
          <w:color w:val="000000"/>
        </w:rPr>
        <w:t>Procijenjena vrijednost predment</w:t>
      </w:r>
      <w:r>
        <w:rPr>
          <w:rFonts w:ascii="Arial" w:hAnsi="Arial" w:eastAsia="Calibri" w:cs="Arial"/>
          <w:b/>
          <w:bCs/>
          <w:color w:val="000000"/>
          <w:lang w:val="sr-Latn-ME"/>
        </w:rPr>
        <w:t xml:space="preserve">e </w:t>
      </w:r>
      <w:r>
        <w:rPr>
          <w:rFonts w:ascii="Arial" w:hAnsi="Arial" w:eastAsia="Calibri" w:cs="Arial"/>
          <w:b/>
          <w:bCs/>
          <w:color w:val="000000"/>
        </w:rPr>
        <w:t>nabavke:</w:t>
      </w:r>
      <w:r>
        <w:rPr>
          <w:rFonts w:ascii="Arial" w:hAnsi="Arial" w:eastAsia="Calibri" w:cs="Arial"/>
          <w:b/>
          <w:bCs/>
          <w:color w:val="000000"/>
          <w:vertAlign w:val="superscript"/>
        </w:rPr>
        <w:footnoteReference w:id="4"/>
      </w:r>
    </w:p>
    <w:p w14:paraId="32A42E18">
      <w:pPr>
        <w:spacing w:after="160" w:line="259" w:lineRule="auto"/>
        <w:jc w:val="both"/>
        <w:rPr>
          <w:rFonts w:ascii="Arial" w:hAnsi="Arial" w:eastAsia="Calibri" w:cs="Arial"/>
          <w:color w:val="000000"/>
        </w:rPr>
      </w:pPr>
    </w:p>
    <w:p w14:paraId="5F8918BF">
      <w:pPr>
        <w:spacing w:after="160" w:line="259" w:lineRule="auto"/>
        <w:jc w:val="both"/>
        <w:rPr>
          <w:rFonts w:ascii="Arial" w:hAnsi="Arial" w:eastAsia="Calibri" w:cs="Arial"/>
          <w:b/>
          <w:bCs/>
          <w:color w:val="000000"/>
        </w:rPr>
      </w:pPr>
      <w:r>
        <w:rPr>
          <w:rFonts w:ascii="Arial" w:hAnsi="Arial" w:eastAsia="Calibri" w:cs="Arial"/>
          <w:color w:val="000000"/>
        </w:rPr>
        <w:sym w:font="Wingdings" w:char="F0A8"/>
      </w:r>
      <w:r>
        <w:rPr>
          <w:rFonts w:ascii="Arial" w:hAnsi="Arial" w:eastAsia="Calibri" w:cs="Arial"/>
          <w:color w:val="000000"/>
        </w:rPr>
        <w:t xml:space="preserve"> </w:t>
      </w:r>
      <w:r>
        <w:rPr>
          <w:rFonts w:ascii="Arial" w:hAnsi="Arial" w:eastAsia="Calibri" w:cs="Arial"/>
          <w:b/>
          <w:bCs/>
          <w:color w:val="000000"/>
        </w:rPr>
        <w:t>Procijenjena vrijednost predmeta nabavke bez zaključivanja okvirnog sporazuma</w:t>
      </w:r>
      <w:r>
        <w:rPr>
          <w:rFonts w:ascii="Arial" w:hAnsi="Arial" w:eastAsia="Calibri" w:cs="Arial"/>
          <w:color w:val="000000"/>
        </w:rPr>
        <w:t>:</w:t>
      </w:r>
    </w:p>
    <w:p w14:paraId="298742E9">
      <w:pPr>
        <w:spacing w:after="160" w:line="259" w:lineRule="auto"/>
        <w:jc w:val="both"/>
        <w:rPr>
          <w:rFonts w:ascii="Arial" w:hAnsi="Arial" w:cs="Arial"/>
          <w:color w:val="000000"/>
          <w:sz w:val="22"/>
          <w:szCs w:val="22"/>
          <w:lang w:val="sr-Latn-ME"/>
        </w:rPr>
      </w:pPr>
      <w:r>
        <w:rPr>
          <w:rFonts w:ascii="Arial" w:hAnsi="Arial" w:eastAsia="Calibri" w:cs="Arial"/>
          <w:color w:val="000000"/>
          <w:sz w:val="22"/>
          <w:szCs w:val="22"/>
        </w:rPr>
        <w:sym w:font="Wingdings" w:char="00FE"/>
      </w:r>
      <w:r>
        <w:rPr>
          <w:rFonts w:ascii="Arial" w:hAnsi="Arial" w:eastAsia="Calibri" w:cs="Arial"/>
          <w:color w:val="000000"/>
          <w:sz w:val="22"/>
          <w:szCs w:val="22"/>
        </w:rPr>
        <w:t xml:space="preserve"> </w:t>
      </w:r>
      <w:r>
        <w:rPr>
          <w:rFonts w:ascii="Arial" w:hAnsi="Arial" w:eastAsia="Calibri" w:cs="Arial"/>
          <w:color w:val="000000"/>
          <w:sz w:val="22"/>
          <w:szCs w:val="22"/>
          <w:lang w:val="sr-Latn-ME"/>
        </w:rPr>
        <w:t xml:space="preserve">kao cjeline je </w:t>
      </w:r>
      <w:r>
        <w:rPr>
          <w:rFonts w:hint="default" w:ascii="Arial" w:hAnsi="Arial" w:cs="Arial"/>
          <w:color w:val="000000"/>
          <w:sz w:val="22"/>
          <w:szCs w:val="22"/>
          <w:lang w:val="en-US"/>
        </w:rPr>
        <w:t xml:space="preserve">1.000.000,00 </w:t>
      </w:r>
      <w:r>
        <w:rPr>
          <w:rFonts w:ascii="Arial" w:hAnsi="Arial" w:cs="Arial"/>
          <w:color w:val="000000"/>
          <w:sz w:val="22"/>
          <w:szCs w:val="22"/>
          <w:lang w:val="sr-Latn-ME"/>
        </w:rPr>
        <w:t>eura bez PDV-a</w:t>
      </w:r>
    </w:p>
    <w:p w14:paraId="451EB139">
      <w:pPr>
        <w:jc w:val="both"/>
        <w:rPr>
          <w:rFonts w:ascii="Arial" w:hAnsi="Arial" w:cs="Arial"/>
          <w:color w:val="000000"/>
        </w:rPr>
      </w:pPr>
    </w:p>
    <w:p w14:paraId="4581A39C">
      <w:pPr>
        <w:pBdr>
          <w:top w:val="single" w:color="auto" w:sz="4" w:space="1"/>
          <w:left w:val="single" w:color="auto" w:sz="4" w:space="4"/>
          <w:bottom w:val="single" w:color="auto" w:sz="4" w:space="1"/>
          <w:right w:val="single" w:color="auto" w:sz="4" w:space="4"/>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5"/>
      </w:r>
    </w:p>
    <w:p w14:paraId="196E7197">
      <w:pPr>
        <w:jc w:val="both"/>
        <w:rPr>
          <w:rFonts w:ascii="Arial" w:hAnsi="Arial" w:cs="Arial"/>
          <w:color w:val="000000"/>
        </w:rPr>
      </w:pPr>
    </w:p>
    <w:p w14:paraId="3D086022">
      <w:pPr>
        <w:pBdr>
          <w:top w:val="single" w:color="auto" w:sz="4" w:space="1"/>
          <w:left w:val="single" w:color="auto" w:sz="4" w:space="4"/>
          <w:bottom w:val="single" w:color="auto" w:sz="4" w:space="1"/>
          <w:right w:val="single" w:color="auto" w:sz="4" w:space="4"/>
        </w:pBdr>
        <w:shd w:val="clear" w:color="auto" w:fill="F2F2F2"/>
        <w:jc w:val="both"/>
        <w:rPr>
          <w:rFonts w:ascii="Arial" w:hAnsi="Arial" w:cs="Arial"/>
          <w:color w:val="000000"/>
        </w:rPr>
      </w:pPr>
      <w:r>
        <w:rPr>
          <w:rFonts w:ascii="Arial" w:hAnsi="Arial" w:cs="Arial"/>
          <w:color w:val="000000"/>
        </w:rPr>
        <w:t>Zaključiće se okvirni sporazum:</w:t>
      </w:r>
    </w:p>
    <w:p w14:paraId="055CCDA0">
      <w:pPr>
        <w:jc w:val="both"/>
        <w:rPr>
          <w:rFonts w:ascii="Arial" w:hAnsi="Arial" w:cs="Arial"/>
          <w:color w:val="000000"/>
        </w:rPr>
      </w:pPr>
    </w:p>
    <w:p w14:paraId="54491B5C">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14:paraId="13AB8705">
      <w:pPr>
        <w:jc w:val="both"/>
        <w:rPr>
          <w:rFonts w:ascii="Arial" w:hAnsi="Arial" w:cs="Arial"/>
          <w:color w:val="000000"/>
        </w:rPr>
      </w:pPr>
    </w:p>
    <w:p w14:paraId="36678230">
      <w:pPr>
        <w:pBdr>
          <w:top w:val="single" w:color="auto" w:sz="4" w:space="1"/>
          <w:left w:val="single" w:color="auto" w:sz="4" w:space="4"/>
          <w:bottom w:val="single" w:color="auto" w:sz="4" w:space="1"/>
          <w:right w:val="single" w:color="auto" w:sz="4" w:space="4"/>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14:paraId="3BFA4E32">
      <w:pPr>
        <w:jc w:val="both"/>
        <w:rPr>
          <w:rFonts w:ascii="Arial" w:hAnsi="Arial" w:cs="Arial"/>
          <w:color w:val="000000"/>
        </w:rPr>
      </w:pPr>
    </w:p>
    <w:p w14:paraId="0C969714">
      <w:pPr>
        <w:jc w:val="both"/>
        <w:rPr>
          <w:rFonts w:ascii="Arial" w:hAnsi="Arial" w:cs="Arial"/>
          <w:color w:val="000000"/>
        </w:rPr>
      </w:pPr>
      <w:r>
        <w:rPr>
          <w:rFonts w:ascii="Arial" w:hAnsi="Arial" w:cs="Arial"/>
          <w:color w:val="000000"/>
        </w:rPr>
        <w:t xml:space="preserve">Zajednička nabavka se sprovodi za; </w:t>
      </w:r>
      <w:r>
        <w:rPr>
          <w:rFonts w:ascii="Arial" w:hAnsi="Arial" w:cs="Arial"/>
          <w:b/>
          <w:color w:val="000000"/>
          <w:u w:val="single"/>
        </w:rPr>
        <w:t>Nije primjenivo.</w:t>
      </w:r>
    </w:p>
    <w:p w14:paraId="082E959D">
      <w:pPr>
        <w:jc w:val="both"/>
        <w:rPr>
          <w:rFonts w:ascii="Arial" w:hAnsi="Arial" w:cs="Arial"/>
          <w:color w:val="000000"/>
        </w:rPr>
      </w:pPr>
    </w:p>
    <w:p w14:paraId="7E2E561D">
      <w:pPr>
        <w:pBdr>
          <w:top w:val="single" w:color="auto" w:sz="4" w:space="1"/>
          <w:left w:val="single" w:color="auto" w:sz="4" w:space="0"/>
          <w:bottom w:val="single" w:color="auto" w:sz="4" w:space="1"/>
          <w:right w:val="single" w:color="auto" w:sz="4" w:space="4"/>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14:paraId="52AA8B93">
      <w:pPr>
        <w:jc w:val="both"/>
        <w:rPr>
          <w:rFonts w:ascii="Arial" w:hAnsi="Arial" w:cs="Arial"/>
        </w:rPr>
      </w:pPr>
    </w:p>
    <w:p w14:paraId="73B955C0">
      <w:pPr>
        <w:jc w:val="both"/>
        <w:rPr>
          <w:rFonts w:ascii="Arial" w:hAnsi="Arial" w:cs="Arial"/>
        </w:rPr>
      </w:pPr>
      <w:r>
        <w:rPr>
          <w:rFonts w:ascii="Arial" w:hAnsi="Arial" w:cs="Arial"/>
        </w:rPr>
        <w:t>Centralizovana nabavka se sprovodi za</w:t>
      </w:r>
      <w:r>
        <w:rPr>
          <w:rFonts w:ascii="Arial" w:hAnsi="Arial" w:cs="Arial"/>
          <w:b/>
          <w:color w:val="000000"/>
          <w:u w:val="single"/>
        </w:rPr>
        <w:t xml:space="preserve"> Nije primjenivo.</w:t>
      </w:r>
    </w:p>
    <w:p w14:paraId="281B8E4D">
      <w:pPr>
        <w:jc w:val="both"/>
        <w:rPr>
          <w:rFonts w:ascii="Arial" w:hAnsi="Arial" w:cs="Arial"/>
        </w:rPr>
      </w:pPr>
    </w:p>
    <w:p w14:paraId="442EFB03">
      <w:pPr>
        <w:pBdr>
          <w:top w:val="single" w:color="auto" w:sz="4" w:space="1"/>
          <w:left w:val="single" w:color="auto" w:sz="4" w:space="4"/>
          <w:bottom w:val="single" w:color="auto" w:sz="4" w:space="1"/>
          <w:right w:val="single" w:color="auto" w:sz="4" w:space="4"/>
        </w:pBdr>
        <w:shd w:val="clear" w:color="auto" w:fill="D9D9D9"/>
        <w:rPr>
          <w:rFonts w:ascii="Arial" w:hAnsi="Arial" w:cs="Arial"/>
          <w:b/>
        </w:rPr>
      </w:pPr>
      <w:r>
        <w:rPr>
          <w:rFonts w:ascii="Arial" w:hAnsi="Arial" w:cs="Arial"/>
          <w:b/>
        </w:rPr>
        <w:t>NAČIN SPROVOĐENJA ELEKTRONSKE AUKCIJE</w:t>
      </w:r>
    </w:p>
    <w:p w14:paraId="5960702A">
      <w:pPr>
        <w:jc w:val="both"/>
        <w:rPr>
          <w:rFonts w:ascii="Arial" w:hAnsi="Arial" w:cs="Arial"/>
        </w:rPr>
      </w:pPr>
    </w:p>
    <w:p w14:paraId="63BBDF6F">
      <w:pPr>
        <w:jc w:val="both"/>
        <w:rPr>
          <w:rFonts w:ascii="Arial" w:hAnsi="Arial" w:cs="Arial"/>
          <w:color w:val="222A35"/>
        </w:rPr>
      </w:pPr>
      <w:r>
        <w:rPr>
          <w:rFonts w:ascii="Arial" w:hAnsi="Arial" w:cs="Arial"/>
          <w:color w:val="222A35"/>
        </w:rPr>
        <w:t>Elektronska aukcija će se sprovesti nakon ocjene ponuda, kao elektronski proces koji se ponavlja, radi postizanja nove (</w:t>
      </w:r>
      <w:r>
        <w:rPr>
          <w:rFonts w:ascii="Arial" w:hAnsi="Arial" w:cs="Arial"/>
          <w:u w:val="single"/>
        </w:rPr>
        <w:t>upisati kriterijum za koji se sprovodi elektronska aukcija)</w:t>
      </w:r>
      <w:r>
        <w:rPr>
          <w:rFonts w:ascii="Arial" w:hAnsi="Arial" w:cs="Arial"/>
          <w:color w:val="222A35"/>
        </w:rPr>
        <w:t>.</w:t>
      </w:r>
    </w:p>
    <w:p w14:paraId="39779FE8">
      <w:pPr>
        <w:jc w:val="both"/>
        <w:rPr>
          <w:rFonts w:ascii="Arial" w:hAnsi="Arial" w:cs="Arial"/>
          <w:color w:val="222A35"/>
        </w:rPr>
      </w:pPr>
    </w:p>
    <w:p w14:paraId="3D3E676A">
      <w:pPr>
        <w:jc w:val="both"/>
        <w:rPr>
          <w:rFonts w:ascii="Arial" w:hAnsi="Arial" w:cs="Arial"/>
          <w:color w:val="222A35"/>
        </w:rPr>
      </w:pPr>
      <w:r>
        <w:rPr>
          <w:rFonts w:ascii="Arial" w:hAnsi="Arial" w:cs="Arial"/>
          <w:color w:val="222A35"/>
        </w:rPr>
        <w:t xml:space="preserve"> </w:t>
      </w:r>
      <w:r>
        <w:rPr>
          <w:rFonts w:ascii="Arial" w:hAnsi="Arial" w:cs="Arial"/>
          <w:b/>
          <w:color w:val="000000"/>
          <w:u w:val="single"/>
        </w:rPr>
        <w:t>Nije primjenivo.</w:t>
      </w:r>
    </w:p>
    <w:p w14:paraId="1E122913">
      <w:pPr>
        <w:jc w:val="both"/>
        <w:rPr>
          <w:rFonts w:ascii="Arial" w:hAnsi="Arial" w:cs="Arial"/>
        </w:rPr>
      </w:pPr>
    </w:p>
    <w:p w14:paraId="39BE7008">
      <w:pPr>
        <w:pBdr>
          <w:top w:val="single" w:color="auto" w:sz="4" w:space="1"/>
          <w:left w:val="single" w:color="auto" w:sz="4" w:space="4"/>
          <w:bottom w:val="single" w:color="auto" w:sz="4" w:space="1"/>
          <w:right w:val="single" w:color="auto" w:sz="4" w:space="4"/>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14:paraId="59DCAA3D">
      <w:pPr>
        <w:jc w:val="both"/>
        <w:rPr>
          <w:rFonts w:ascii="Arial" w:hAnsi="Arial" w:cs="Arial"/>
          <w:color w:val="FF0000"/>
        </w:rPr>
      </w:pPr>
    </w:p>
    <w:p w14:paraId="017BBD02">
      <w:pPr>
        <w:jc w:val="both"/>
        <w:rPr>
          <w:rFonts w:ascii="Arial" w:hAnsi="Arial" w:cs="Arial"/>
          <w:color w:val="222A35"/>
        </w:rPr>
      </w:pPr>
      <w:r>
        <w:rPr>
          <w:rFonts w:ascii="Arial" w:hAnsi="Arial" w:cs="Arial"/>
          <w:color w:val="222A35"/>
        </w:rPr>
        <w:t xml:space="preserve">Elektronski katalog sastavlja ponuđač u skladu s tehničkim specifikacijama i u formi </w:t>
      </w:r>
    </w:p>
    <w:p w14:paraId="030E96D9">
      <w:pPr>
        <w:jc w:val="both"/>
        <w:rPr>
          <w:rFonts w:ascii="Arial" w:hAnsi="Arial" w:cs="Arial"/>
          <w:color w:val="222A35"/>
        </w:rPr>
      </w:pPr>
    </w:p>
    <w:p w14:paraId="61BDC13F">
      <w:pPr>
        <w:jc w:val="both"/>
        <w:rPr>
          <w:rFonts w:ascii="Arial" w:hAnsi="Arial" w:cs="Arial"/>
          <w:color w:val="222A35"/>
        </w:rPr>
      </w:pPr>
      <w:r>
        <w:rPr>
          <w:rFonts w:ascii="Arial" w:hAnsi="Arial" w:cs="Arial"/>
          <w:b/>
          <w:color w:val="000000"/>
          <w:u w:val="single"/>
        </w:rPr>
        <w:t>Nije primjenivo.</w:t>
      </w:r>
    </w:p>
    <w:p w14:paraId="47AB7EFD">
      <w:pPr>
        <w:jc w:val="both"/>
        <w:rPr>
          <w:rFonts w:ascii="Arial" w:hAnsi="Arial" w:cs="Arial"/>
          <w:color w:val="222A35"/>
        </w:rPr>
      </w:pPr>
    </w:p>
    <w:p w14:paraId="19338D20">
      <w:pPr>
        <w:jc w:val="both"/>
        <w:rPr>
          <w:rFonts w:ascii="Arial" w:hAnsi="Arial" w:cs="Arial"/>
          <w:color w:val="000000"/>
        </w:rPr>
      </w:pPr>
    </w:p>
    <w:p w14:paraId="69B9B69A">
      <w:pPr>
        <w:jc w:val="both"/>
        <w:rPr>
          <w:rFonts w:ascii="Arial" w:hAnsi="Arial" w:cs="Arial"/>
          <w:b/>
          <w:bCs/>
          <w:color w:val="FF0000"/>
        </w:rPr>
      </w:pPr>
    </w:p>
    <w:p w14:paraId="149F11B5">
      <w:pPr>
        <w:jc w:val="both"/>
        <w:rPr>
          <w:rFonts w:ascii="Arial" w:hAnsi="Arial" w:cs="Arial"/>
          <w:b/>
          <w:bCs/>
          <w:color w:val="FF0000"/>
        </w:rPr>
      </w:pPr>
    </w:p>
    <w:p w14:paraId="3577057A">
      <w:pPr>
        <w:pBdr>
          <w:top w:val="single" w:color="auto" w:sz="4" w:space="1"/>
          <w:left w:val="single" w:color="auto" w:sz="4" w:space="4"/>
          <w:bottom w:val="single" w:color="auto" w:sz="4" w:space="1"/>
          <w:right w:val="single" w:color="auto" w:sz="4" w:space="4"/>
        </w:pBdr>
        <w:shd w:val="clear" w:color="auto" w:fill="D9D9D9"/>
        <w:jc w:val="both"/>
        <w:rPr>
          <w:rFonts w:ascii="Arial" w:hAnsi="Arial" w:cs="Arial"/>
          <w:b/>
          <w:bCs/>
          <w:color w:val="FF0000"/>
        </w:rPr>
      </w:pPr>
      <w:r>
        <w:rPr>
          <w:rFonts w:ascii="Arial" w:hAnsi="Arial" w:cs="Arial"/>
          <w:b/>
        </w:rPr>
        <w:t>REZERVISANA NABAVKA</w:t>
      </w:r>
    </w:p>
    <w:p w14:paraId="3219E00E">
      <w:pPr>
        <w:jc w:val="both"/>
        <w:rPr>
          <w:rFonts w:ascii="Arial" w:hAnsi="Arial" w:cs="Arial"/>
          <w:b/>
          <w:bCs/>
          <w:color w:val="FF0000"/>
        </w:rPr>
      </w:pPr>
    </w:p>
    <w:p w14:paraId="25B53E8C">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14:paraId="352D42F2">
      <w:pPr>
        <w:jc w:val="both"/>
        <w:rPr>
          <w:rFonts w:ascii="Arial" w:hAnsi="Arial" w:cs="Arial"/>
          <w:b/>
          <w:bCs/>
          <w:color w:val="FF0000"/>
        </w:rPr>
      </w:pPr>
    </w:p>
    <w:p w14:paraId="246E1FB3">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jc w:val="both"/>
        <w:outlineLvl w:val="0"/>
        <w:rPr>
          <w:rFonts w:ascii="Arial" w:hAnsi="Arial" w:cs="Arial"/>
          <w:b/>
        </w:rPr>
      </w:pPr>
      <w:bookmarkStart w:id="3" w:name="_Toc62730556"/>
      <w:r>
        <w:rPr>
          <w:rFonts w:ascii="Arial" w:hAnsi="Arial" w:cs="Arial"/>
          <w:b/>
        </w:rPr>
        <w:t>NAČIN UTVRĐIVANJA EKVIVALENTNOSTI</w:t>
      </w:r>
      <w:bookmarkEnd w:id="3"/>
    </w:p>
    <w:p w14:paraId="2FC2CB14">
      <w:pPr>
        <w:jc w:val="both"/>
        <w:rPr>
          <w:rFonts w:ascii="Arial" w:hAnsi="Arial" w:cs="Arial"/>
          <w:bCs/>
          <w:color w:val="FF0000"/>
        </w:rPr>
      </w:pPr>
    </w:p>
    <w:p w14:paraId="5EF588D1">
      <w:pPr>
        <w:jc w:val="both"/>
        <w:rPr>
          <w:rFonts w:ascii="Arial" w:hAnsi="Arial" w:cs="Arial"/>
          <w:bCs/>
          <w:color w:val="000000"/>
        </w:rPr>
      </w:pPr>
      <w:r>
        <w:rPr>
          <w:rFonts w:ascii="Arial" w:hAnsi="Arial" w:cs="Arial"/>
          <w:bCs/>
          <w:color w:val="000000"/>
        </w:rPr>
        <w:t xml:space="preserve">Način utvrđivanja ekvivalentnosti: </w:t>
      </w:r>
      <w:r>
        <w:rPr>
          <w:rFonts w:ascii="Arial" w:hAnsi="Arial" w:cs="Arial"/>
          <w:b/>
          <w:color w:val="000000"/>
          <w:u w:val="single"/>
        </w:rPr>
        <w:t>Nije primjenivo.</w:t>
      </w:r>
    </w:p>
    <w:p w14:paraId="0C8EAFDE">
      <w:pPr>
        <w:jc w:val="both"/>
        <w:rPr>
          <w:rFonts w:ascii="Arial" w:hAnsi="Arial" w:cs="Arial"/>
          <w:bCs/>
          <w:color w:val="FF0000"/>
        </w:rPr>
      </w:pPr>
    </w:p>
    <w:p w14:paraId="58FD8760">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cs="Arial"/>
          <w:b/>
        </w:rPr>
      </w:pPr>
      <w:bookmarkStart w:id="4" w:name="_Toc62730557"/>
      <w:r>
        <w:rPr>
          <w:rFonts w:ascii="Arial" w:hAnsi="Arial" w:cs="Arial"/>
          <w:b/>
        </w:rPr>
        <w:t>OSNOVI ZA OBAVEZNO ISKLJUČENJE IZ POSTUPKA JAVNE NABAVKE</w:t>
      </w:r>
      <w:bookmarkEnd w:id="4"/>
    </w:p>
    <w:p w14:paraId="113F62C4">
      <w:pPr>
        <w:jc w:val="both"/>
        <w:rPr>
          <w:rFonts w:ascii="Arial" w:hAnsi="Arial" w:cs="Arial"/>
        </w:rPr>
      </w:pPr>
    </w:p>
    <w:p w14:paraId="47BCBA77">
      <w:pPr>
        <w:rPr>
          <w:rFonts w:ascii="Arial" w:hAnsi="Arial" w:cs="Arial"/>
          <w:lang w:val="sr-Latn-ME"/>
        </w:rPr>
      </w:pPr>
      <w:bookmarkStart w:id="5" w:name="_Toc62730558"/>
      <w:r>
        <w:rPr>
          <w:rFonts w:ascii="Arial" w:hAnsi="Arial" w:cs="Arial"/>
          <w:lang w:val="sr-Latn-ME"/>
        </w:rPr>
        <w:t xml:space="preserve">Privredni subjekat će se isključiti iz postupka javne nabavke, ako: </w:t>
      </w:r>
    </w:p>
    <w:p w14:paraId="2E4A4917">
      <w:pPr>
        <w:numPr>
          <w:ilvl w:val="0"/>
          <w:numId w:val="6"/>
        </w:numPr>
        <w:rPr>
          <w:rFonts w:ascii="Arial" w:hAnsi="Arial" w:cs="Arial"/>
          <w:lang w:val="sr-Latn-ME"/>
        </w:rPr>
      </w:pPr>
      <w:r>
        <w:rPr>
          <w:rFonts w:ascii="Arial" w:hAnsi="Arial" w:cs="Arial"/>
          <w:lang w:val="sr-Latn-ME"/>
        </w:rPr>
        <w:t>je vršio neprimjeren uticaj u smislu člana 38 stav 2 tačka 1 ovog zakona;</w:t>
      </w:r>
    </w:p>
    <w:p w14:paraId="72E2B35F">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7E08304E">
      <w:pPr>
        <w:numPr>
          <w:ilvl w:val="0"/>
          <w:numId w:val="6"/>
        </w:numPr>
        <w:rPr>
          <w:rFonts w:ascii="Arial" w:hAnsi="Arial" w:cs="Arial"/>
          <w:lang w:val="sr-Latn-ME"/>
        </w:rPr>
      </w:pPr>
      <w:r>
        <w:rPr>
          <w:rFonts w:ascii="Arial" w:hAnsi="Arial" w:cs="Arial"/>
          <w:lang w:val="sr-Latn-ME"/>
        </w:rPr>
        <w:t>ne ispunjava uslov iz člana 99 ovog zakona;</w:t>
      </w:r>
    </w:p>
    <w:p w14:paraId="1B3216A6">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6B9BB0F3">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4EE04187">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0C3EBD93">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DFB6899">
      <w:pPr>
        <w:numPr>
          <w:ilvl w:val="0"/>
          <w:numId w:val="6"/>
        </w:numPr>
        <w:rPr>
          <w:rFonts w:ascii="Arial" w:hAnsi="Arial" w:cs="Arial"/>
          <w:lang w:val="sr-Latn-ME"/>
        </w:rPr>
      </w:pPr>
      <w:r>
        <w:rPr>
          <w:rFonts w:ascii="Arial" w:hAnsi="Arial" w:cs="Arial"/>
          <w:lang w:val="sr-Latn-ME"/>
        </w:rPr>
        <w:t>postoji drugi razlog propisan ovim zakonom.</w:t>
      </w:r>
    </w:p>
    <w:p w14:paraId="10E89844">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cs="Arial"/>
          <w:b/>
        </w:rPr>
      </w:pPr>
      <w:r>
        <w:rPr>
          <w:rFonts w:ascii="Arial" w:hAnsi="Arial" w:cs="Arial"/>
          <w:b/>
        </w:rPr>
        <w:t>SREDSTVA FINANSIJSKOG OBEZBJEĐENJA UGOVORA O JAVNOJ NABAVCI</w:t>
      </w:r>
      <w:bookmarkEnd w:id="5"/>
    </w:p>
    <w:p w14:paraId="462624A5">
      <w:pPr>
        <w:jc w:val="both"/>
        <w:rPr>
          <w:rFonts w:ascii="Arial" w:hAnsi="Arial" w:cs="Arial"/>
          <w:color w:val="000000"/>
        </w:rPr>
      </w:pPr>
    </w:p>
    <w:p w14:paraId="4058B3C5">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14:paraId="25F560A3">
      <w:pPr>
        <w:jc w:val="both"/>
        <w:rPr>
          <w:rFonts w:hint="default" w:ascii="Arial" w:hAnsi="Arial" w:cs="Arial"/>
          <w:color w:val="auto"/>
          <w:sz w:val="22"/>
          <w:szCs w:val="22"/>
        </w:rPr>
      </w:pPr>
      <w:r>
        <w:rPr>
          <w:rFonts w:ascii="Arial" w:hAnsi="Arial" w:cs="Arial"/>
          <w:color w:val="000000"/>
        </w:rPr>
        <w:sym w:font="Wingdings" w:char="F0A8"/>
      </w:r>
      <w:r>
        <w:rPr>
          <w:rFonts w:ascii="Arial" w:hAnsi="Arial" w:cs="Arial"/>
          <w:color w:val="000000"/>
        </w:rPr>
        <w:t xml:space="preserve"> </w:t>
      </w:r>
      <w:r>
        <w:rPr>
          <w:rFonts w:hint="default" w:ascii="Arial" w:hAnsi="Arial" w:eastAsia="sans-serif" w:cs="Arial"/>
          <w:i w:val="0"/>
          <w:iCs w:val="0"/>
          <w:caps w:val="0"/>
          <w:color w:val="auto"/>
          <w:spacing w:val="0"/>
          <w:sz w:val="22"/>
          <w:szCs w:val="22"/>
          <w:shd w:val="clear" w:color="auto" w:fill="auto"/>
        </w:rPr>
        <w:t>neopozivu i bezuslovno plativu na prvi poziv garanciju za dobro izvršenje ugovora, za slučaj povrede ugovorenih obaveza u iznosu od 10 % od vrijednosti ugovora, sa rokom vazenja 10 dana dužim od ugovorenog roka.</w:t>
      </w:r>
    </w:p>
    <w:p w14:paraId="51891F69">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630"/>
        <w:outlineLvl w:val="0"/>
        <w:rPr>
          <w:rFonts w:ascii="Arial" w:hAnsi="Arial" w:cs="Arial"/>
          <w:b/>
          <w:color w:val="000000"/>
        </w:rPr>
      </w:pPr>
      <w:bookmarkStart w:id="6" w:name="_Toc62730559"/>
      <w:r>
        <w:rPr>
          <w:rFonts w:ascii="Arial" w:hAnsi="Arial" w:cs="Arial"/>
          <w:b/>
        </w:rPr>
        <w:t>METODOLOGIJA VREDNOVANJA PONUDA</w:t>
      </w:r>
      <w:bookmarkEnd w:id="6"/>
    </w:p>
    <w:p w14:paraId="1486E2F4">
      <w:pPr>
        <w:rPr>
          <w:rFonts w:ascii="Arial" w:hAnsi="Arial" w:cs="Arial"/>
        </w:rPr>
      </w:pPr>
    </w:p>
    <w:p w14:paraId="15BD5C05">
      <w:pPr>
        <w:jc w:val="both"/>
        <w:rPr>
          <w:rFonts w:ascii="Arial" w:hAnsi="Arial" w:cs="Arial"/>
        </w:rPr>
      </w:pPr>
      <w:r>
        <w:rPr>
          <w:rFonts w:ascii="Arial" w:hAnsi="Arial" w:cs="Arial"/>
        </w:rPr>
        <w:t>Naručilac će u postupku javne nabavki izabrati ekonomski najpovoljniju ponudu, primjenom pristupa isplativosti, po osnovu kriterijuma</w:t>
      </w:r>
      <w:r>
        <w:rPr>
          <w:rFonts w:ascii="Arial" w:hAnsi="Arial" w:cs="Arial"/>
          <w:vertAlign w:val="superscript"/>
        </w:rPr>
        <w:footnoteReference w:id="6"/>
      </w:r>
      <w:r>
        <w:rPr>
          <w:rFonts w:ascii="Arial" w:hAnsi="Arial" w:cs="Arial"/>
        </w:rPr>
        <w:t xml:space="preserve">: </w:t>
      </w:r>
    </w:p>
    <w:p w14:paraId="74AE037D">
      <w:pPr>
        <w:rPr>
          <w:rFonts w:ascii="Arial" w:hAnsi="Arial" w:cs="Arial"/>
          <w:i/>
          <w:color w:val="000000"/>
        </w:rPr>
      </w:pPr>
      <w:r>
        <w:rPr>
          <w:rFonts w:ascii="Arial" w:hAnsi="Arial" w:cs="Arial"/>
          <w:color w:val="000000"/>
        </w:rPr>
        <w:sym w:font="Wingdings" w:char="F0A8"/>
      </w:r>
      <w:r>
        <w:rPr>
          <w:rFonts w:ascii="Arial" w:hAnsi="Arial" w:cs="Arial"/>
          <w:color w:val="000000"/>
        </w:rPr>
        <w:t xml:space="preserve"> </w:t>
      </w:r>
      <w:r>
        <w:rPr>
          <w:rFonts w:ascii="Arial" w:hAnsi="Arial" w:cs="Arial"/>
        </w:rPr>
        <w:t xml:space="preserve">odnos cijene i kvaliteta </w:t>
      </w:r>
    </w:p>
    <w:p w14:paraId="52C8BC82">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Naručilac se opredijelio za vrednovanje ponuda po kriterijumu odnos cijene i kvaliteta, koje će se vršiti na osnovu sljedećih parametara:</w:t>
      </w:r>
    </w:p>
    <w:p w14:paraId="79F4A8DB">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1. Parametar: Cijena (C) ..................maksimalan broj bodova 90</w:t>
      </w:r>
    </w:p>
    <w:p w14:paraId="39FECD66">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2. Parametar: Kvalitet (K) ...............maksimalan broj bodova 10 </w:t>
      </w:r>
    </w:p>
    <w:p w14:paraId="7F1A94FF">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Ukupan broj bodova = broj bodova za ponuđenu cijenu (C) + broj bodova za kvalitet (K) </w:t>
      </w:r>
    </w:p>
    <w:p w14:paraId="39D2FDC3">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1. 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6E5DF6E2">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Broj bodova(C)= (najniža ponuđena cijena bez PDV / ponuđena cijena bez PDV) ×90 </w:t>
      </w:r>
    </w:p>
    <w:p w14:paraId="25D51C29">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i/>
          <w:color w:val="000000"/>
          <w:lang w:val="fr-FR"/>
        </w:rPr>
        <w:t xml:space="preserve">Ako je ponuđena cijena 0,00 EUR-a prilikom vrednovanja te cijene po parametru najniža ponuđena cijena uzima se da je ponuđena cijena 0,01 EUR. </w:t>
      </w:r>
    </w:p>
    <w:p w14:paraId="7BA625A3">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i/>
          <w:color w:val="000000"/>
          <w:lang w:val="fr-FR"/>
        </w:rPr>
        <w:t>2. Parametar kvalitet (K) vrednovaće se na sljedeći način: max 10 bodova za izbor najpovoljnije ponude primjenom parametra kvalitet, kao osnova za vrednovanje uzima se:</w:t>
      </w:r>
    </w:p>
    <w:p w14:paraId="2FFEC8C4">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color w:val="000000"/>
        </w:rPr>
        <w:sym w:font="Wingdings" w:char="F078"/>
      </w:r>
      <w:r>
        <w:rPr>
          <w:rFonts w:ascii="Arial" w:hAnsi="Arial" w:cs="Arial"/>
          <w:color w:val="000000"/>
          <w:lang w:val="fr-FR"/>
        </w:rPr>
        <w:t xml:space="preserve"> </w:t>
      </w:r>
      <w:r>
        <w:rPr>
          <w:rFonts w:ascii="Arial" w:hAnsi="Arial" w:cs="Arial"/>
          <w:i/>
          <w:color w:val="000000"/>
          <w:lang w:val="fr-FR"/>
        </w:rPr>
        <w:t>rok isporuke robe</w:t>
      </w:r>
    </w:p>
    <w:p w14:paraId="5C68C611">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i/>
          <w:color w:val="000000"/>
          <w:lang w:val="fr-FR"/>
        </w:rPr>
        <w:t xml:space="preserve">Ponuđač sa najkraćim ponuđenim rokom isporuke robe dobija maksimalni broj bodova u skladu sa ovim parametrom, a drugi ponuđači dobijaju proporcionalno manji broj bodova po formuli: </w:t>
      </w:r>
    </w:p>
    <w:p w14:paraId="3A83633A">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Broj bodova(K)= (najkraći ponuđeni rok isporuke robe/ ponuđeni rok)x10</w:t>
      </w:r>
    </w:p>
    <w:p w14:paraId="37E36C71">
      <w:pPr>
        <w:pBdr>
          <w:top w:val="single" w:color="auto" w:sz="4" w:space="1"/>
          <w:left w:val="single" w:color="auto" w:sz="4" w:space="4"/>
          <w:bottom w:val="single" w:color="auto" w:sz="4" w:space="1"/>
          <w:right w:val="single" w:color="auto" w:sz="4" w:space="4"/>
        </w:pBdr>
        <w:jc w:val="both"/>
        <w:rPr>
          <w:rFonts w:hint="default" w:ascii="Arial" w:hAnsi="Arial" w:cs="Arial"/>
          <w:i/>
          <w:color w:val="000000"/>
          <w:sz w:val="24"/>
          <w:szCs w:val="24"/>
        </w:rPr>
      </w:pPr>
      <w:r>
        <w:rPr>
          <w:rFonts w:hint="default" w:ascii="Arial" w:hAnsi="Arial" w:cs="Arial"/>
          <w:i/>
          <w:color w:val="000000"/>
          <w:sz w:val="24"/>
          <w:szCs w:val="24"/>
        </w:rPr>
        <w:t xml:space="preserve">Napomena: Najniži ponuđeni rok ne može biti kraći od </w:t>
      </w:r>
      <w:r>
        <w:rPr>
          <w:rFonts w:hint="default" w:ascii="Arial" w:hAnsi="Arial" w:cs="Arial"/>
          <w:i/>
          <w:color w:val="000000"/>
          <w:sz w:val="24"/>
          <w:szCs w:val="24"/>
          <w:lang w:val="sr-Latn-ME"/>
        </w:rPr>
        <w:t>24</w:t>
      </w:r>
      <w:r>
        <w:rPr>
          <w:rFonts w:hint="default" w:ascii="Arial" w:hAnsi="Arial" w:cs="Arial"/>
          <w:i/>
          <w:color w:val="000000"/>
          <w:sz w:val="24"/>
          <w:szCs w:val="24"/>
        </w:rPr>
        <w:t>h i duži od 48h od dostavljanja pisanog zahtjeva za pojedinačnu isporuku od strane  Naručioca.</w:t>
      </w:r>
    </w:p>
    <w:p w14:paraId="2AC3FD06">
      <w:pPr>
        <w:pBdr>
          <w:top w:val="single" w:color="auto" w:sz="4" w:space="1"/>
          <w:left w:val="single" w:color="auto" w:sz="4" w:space="4"/>
          <w:bottom w:val="single" w:color="auto" w:sz="4" w:space="1"/>
          <w:right w:val="single" w:color="auto" w:sz="4" w:space="4"/>
        </w:pBdr>
        <w:jc w:val="both"/>
        <w:rPr>
          <w:rFonts w:hint="default" w:ascii="Arial" w:hAnsi="Arial" w:cs="Arial"/>
          <w:i/>
          <w:color w:val="000000"/>
          <w:sz w:val="24"/>
          <w:szCs w:val="24"/>
          <w:lang w:val="sr-Latn-ME"/>
        </w:rPr>
      </w:pPr>
      <w:r>
        <w:rPr>
          <w:rFonts w:hint="default" w:ascii="Arial" w:hAnsi="Arial" w:cs="Arial"/>
          <w:i/>
          <w:color w:val="000000"/>
          <w:sz w:val="24"/>
          <w:szCs w:val="24"/>
          <w:lang w:val="sr-Latn-ME"/>
        </w:rPr>
        <w:t>Rok isporuke iskazuje se u satima.</w:t>
      </w:r>
    </w:p>
    <w:p w14:paraId="3AB69E25">
      <w:pPr>
        <w:jc w:val="both"/>
        <w:rPr>
          <w:rFonts w:ascii="Arial" w:hAnsi="Arial" w:cs="Arial"/>
          <w:color w:val="000000"/>
        </w:rPr>
      </w:pPr>
    </w:p>
    <w:p w14:paraId="606449F1">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rPr>
      </w:pPr>
      <w:bookmarkStart w:id="7" w:name="_Toc62730560"/>
      <w:r>
        <w:rPr>
          <w:rFonts w:ascii="Arial" w:hAnsi="Arial" w:cs="Arial"/>
          <w:b/>
        </w:rPr>
        <w:t>JEZIK PONUDE</w:t>
      </w:r>
      <w:bookmarkEnd w:id="7"/>
    </w:p>
    <w:p w14:paraId="02759A97">
      <w:pPr>
        <w:jc w:val="both"/>
        <w:rPr>
          <w:rFonts w:ascii="Arial" w:hAnsi="Arial" w:cs="Arial"/>
          <w:b/>
          <w:bCs/>
          <w:color w:val="000000"/>
        </w:rPr>
      </w:pPr>
    </w:p>
    <w:p w14:paraId="74B845E1">
      <w:pPr>
        <w:jc w:val="both"/>
        <w:rPr>
          <w:rFonts w:ascii="Arial" w:hAnsi="Arial" w:cs="Arial"/>
          <w:color w:val="000000"/>
        </w:rPr>
      </w:pPr>
      <w:r>
        <w:rPr>
          <w:rFonts w:ascii="Arial" w:hAnsi="Arial" w:cs="Arial"/>
          <w:color w:val="000000"/>
        </w:rPr>
        <w:t>Ponuda se sačinjava na:</w:t>
      </w:r>
    </w:p>
    <w:p w14:paraId="5C5DBD54">
      <w:pPr>
        <w:jc w:val="both"/>
        <w:rPr>
          <w:rFonts w:ascii="Arial" w:hAnsi="Arial" w:cs="Arial"/>
          <w:b/>
          <w:bCs/>
          <w:color w:val="000000"/>
        </w:rPr>
      </w:pPr>
    </w:p>
    <w:p w14:paraId="13352259">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14:paraId="78737A35">
      <w:pPr>
        <w:jc w:val="both"/>
        <w:rPr>
          <w:rFonts w:ascii="Arial" w:hAnsi="Arial" w:cs="Arial"/>
          <w:color w:val="000000"/>
        </w:rPr>
      </w:pPr>
    </w:p>
    <w:p w14:paraId="01244735">
      <w:pPr>
        <w:jc w:val="both"/>
        <w:rPr>
          <w:rFonts w:ascii="Arial" w:hAnsi="Arial" w:cs="Arial"/>
          <w:lang w:val="sr-Latn-ME"/>
        </w:rPr>
      </w:pPr>
      <w:r>
        <w:rPr>
          <w:rFonts w:ascii="Arial" w:hAnsi="Arial" w:cs="Arial"/>
          <w:color w:val="000000"/>
        </w:rPr>
        <w:sym w:font="Wingdings" w:char="F0A8"/>
      </w:r>
      <w:r>
        <w:rPr>
          <w:rFonts w:ascii="Arial" w:hAnsi="Arial" w:cs="Arial"/>
          <w:color w:val="000000"/>
          <w:lang w:val="sr-Latn-ME"/>
        </w:rPr>
        <w:t xml:space="preserve"> </w:t>
      </w:r>
      <w:r>
        <w:rPr>
          <w:rFonts w:ascii="Arial" w:hAnsi="Arial" w:cs="Arial"/>
          <w:color w:val="000000"/>
        </w:rPr>
        <w:t>crnogorski jezik</w:t>
      </w:r>
      <w:r>
        <w:rPr>
          <w:rFonts w:ascii="Arial" w:hAnsi="Arial" w:cs="Arial"/>
          <w:color w:val="000000"/>
          <w:lang w:val="sr-Latn-ME"/>
        </w:rPr>
        <w:t xml:space="preserve"> za ponudu u cjelini.</w:t>
      </w:r>
    </w:p>
    <w:p w14:paraId="67CC6AC8">
      <w:pPr>
        <w:jc w:val="both"/>
        <w:rPr>
          <w:rFonts w:ascii="Arial" w:hAnsi="Arial" w:cs="Arial"/>
        </w:rPr>
      </w:pPr>
    </w:p>
    <w:p w14:paraId="28297325">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rPr>
      </w:pPr>
      <w:bookmarkStart w:id="8" w:name="_Toc62730561"/>
      <w:r>
        <w:rPr>
          <w:rFonts w:ascii="Arial" w:hAnsi="Arial" w:cs="Arial"/>
          <w:b/>
        </w:rPr>
        <w:t>NAČIN, MJESTO I VRIJEME PODNOŠENJA PONUDA I OTVARANJA PONUDA</w:t>
      </w:r>
      <w:bookmarkEnd w:id="8"/>
    </w:p>
    <w:p w14:paraId="59331461">
      <w:pPr>
        <w:jc w:val="both"/>
        <w:rPr>
          <w:rFonts w:ascii="Arial" w:hAnsi="Arial" w:cs="Arial"/>
          <w:b/>
          <w:bCs/>
          <w:color w:val="000000"/>
        </w:rPr>
      </w:pPr>
    </w:p>
    <w:p w14:paraId="17A1A116">
      <w:pPr>
        <w:jc w:val="both"/>
        <w:rPr>
          <w:rFonts w:ascii="Arial" w:hAnsi="Arial" w:cs="Arial"/>
          <w:color w:val="000000"/>
        </w:rPr>
      </w:pPr>
      <w:r>
        <w:rPr>
          <w:rFonts w:ascii="Arial" w:hAnsi="Arial" w:cs="Arial"/>
          <w:b/>
          <w:color w:val="000000"/>
        </w:rPr>
        <w:t>Ponude se podnose preko ESJN-a</w:t>
      </w:r>
      <w:r>
        <w:rPr>
          <w:rFonts w:hint="default" w:ascii="Arial" w:hAnsi="Arial" w:cs="Arial"/>
          <w:b/>
          <w:color w:val="000000"/>
          <w:lang w:val="en-US"/>
        </w:rPr>
        <w:t>,</w:t>
      </w:r>
      <w:r>
        <w:rPr>
          <w:rFonts w:ascii="Arial" w:hAnsi="Arial" w:cs="Arial"/>
          <w:b/>
          <w:color w:val="000000"/>
        </w:rPr>
        <w:t xml:space="preserve"> zaključno sa danom </w:t>
      </w:r>
      <w:r>
        <w:rPr>
          <w:rFonts w:hint="default" w:ascii="Arial" w:hAnsi="Arial" w:cs="Arial"/>
          <w:b/>
          <w:color w:val="000000"/>
          <w:lang w:val="sr-Latn-ME"/>
        </w:rPr>
        <w:t>28.03.2025</w:t>
      </w:r>
      <w:r>
        <w:rPr>
          <w:rFonts w:ascii="Arial" w:hAnsi="Arial" w:cs="Arial"/>
          <w:b/>
          <w:color w:val="000000"/>
        </w:rPr>
        <w:t>. godine do 1</w:t>
      </w:r>
      <w:r>
        <w:rPr>
          <w:rFonts w:hint="default" w:ascii="Arial" w:hAnsi="Arial" w:cs="Arial"/>
          <w:b/>
          <w:color w:val="000000"/>
          <w:lang w:val="en-US"/>
        </w:rPr>
        <w:t>2</w:t>
      </w:r>
      <w:r>
        <w:rPr>
          <w:rFonts w:ascii="Arial" w:hAnsi="Arial" w:cs="Arial"/>
          <w:b/>
          <w:color w:val="000000"/>
        </w:rPr>
        <w:t>:00 sati</w:t>
      </w:r>
      <w:r>
        <w:rPr>
          <w:rFonts w:ascii="Arial" w:hAnsi="Arial" w:cs="Arial"/>
          <w:color w:val="000000"/>
        </w:rPr>
        <w:t xml:space="preserve">. </w:t>
      </w:r>
    </w:p>
    <w:p w14:paraId="734AA582">
      <w:pPr>
        <w:jc w:val="both"/>
        <w:rPr>
          <w:rFonts w:ascii="Arial" w:hAnsi="Arial" w:cs="Arial"/>
          <w:color w:val="000000"/>
        </w:rPr>
      </w:pPr>
    </w:p>
    <w:p w14:paraId="11BC5B6C">
      <w:pPr>
        <w:jc w:val="both"/>
        <w:rPr>
          <w:rFonts w:ascii="Arial" w:hAnsi="Arial" w:cs="Arial"/>
          <w:color w:val="000000"/>
        </w:rPr>
      </w:pPr>
      <w:r>
        <w:rPr>
          <w:rFonts w:ascii="Arial" w:hAnsi="Arial" w:cs="Arial"/>
          <w:color w:val="000000"/>
        </w:rPr>
        <w:t xml:space="preserve">Otvaranje ponuda održaće se dana </w:t>
      </w:r>
      <w:r>
        <w:rPr>
          <w:rFonts w:hint="default" w:ascii="Arial" w:hAnsi="Arial" w:cs="Arial"/>
          <w:color w:val="000000"/>
          <w:lang w:val="sr-Latn-ME"/>
        </w:rPr>
        <w:t>28.03.2025</w:t>
      </w:r>
      <w:r>
        <w:rPr>
          <w:rFonts w:ascii="Arial" w:hAnsi="Arial" w:cs="Arial"/>
          <w:color w:val="000000"/>
        </w:rPr>
        <w:t>. godine u 1</w:t>
      </w:r>
      <w:r>
        <w:rPr>
          <w:rFonts w:hint="default" w:ascii="Arial" w:hAnsi="Arial" w:cs="Arial"/>
          <w:color w:val="000000"/>
          <w:lang w:val="en-US"/>
        </w:rPr>
        <w:t>2</w:t>
      </w:r>
      <w:r>
        <w:rPr>
          <w:rFonts w:ascii="Arial" w:hAnsi="Arial" w:cs="Arial"/>
          <w:color w:val="000000"/>
        </w:rPr>
        <w:t>:</w:t>
      </w:r>
      <w:r>
        <w:rPr>
          <w:rFonts w:hint="default" w:ascii="Arial" w:hAnsi="Arial" w:cs="Arial"/>
          <w:color w:val="000000"/>
          <w:lang w:val="sr-Latn-ME"/>
        </w:rPr>
        <w:t>3</w:t>
      </w:r>
      <w:r>
        <w:rPr>
          <w:rFonts w:ascii="Arial" w:hAnsi="Arial" w:cs="Arial"/>
          <w:color w:val="000000"/>
        </w:rPr>
        <w:t>0 sati.</w:t>
      </w:r>
    </w:p>
    <w:p w14:paraId="020C06FE">
      <w:pPr>
        <w:jc w:val="both"/>
        <w:rPr>
          <w:rFonts w:ascii="Arial" w:hAnsi="Arial" w:cs="Arial"/>
          <w:color w:val="000000"/>
        </w:rPr>
      </w:pPr>
      <w:r>
        <w:rPr>
          <w:rFonts w:ascii="Arial" w:hAnsi="Arial" w:cs="Arial"/>
          <w:color w:val="000000"/>
        </w:rPr>
        <w:t>Napomena: U skladu sa Zakonom o javnim nabavkama Izjava privrednog subjekta i garancija ponude podnose se u elektronskom obliku putem ESJN.</w:t>
      </w:r>
    </w:p>
    <w:p w14:paraId="22750010">
      <w:pPr>
        <w:jc w:val="both"/>
        <w:rPr>
          <w:rFonts w:ascii="Arial" w:hAnsi="Arial" w:cs="Arial"/>
          <w:color w:val="000000"/>
        </w:rPr>
      </w:pPr>
      <w:r>
        <w:rPr>
          <w:rFonts w:ascii="Arial" w:hAnsi="Arial" w:cs="Arial"/>
          <w:color w:val="000000"/>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7D902BB8">
      <w:pPr>
        <w:jc w:val="both"/>
        <w:rPr>
          <w:rFonts w:ascii="Arial" w:hAnsi="Arial" w:cs="Arial"/>
          <w:color w:val="000000"/>
        </w:rPr>
      </w:pPr>
    </w:p>
    <w:p w14:paraId="19F64374">
      <w:pPr>
        <w:jc w:val="both"/>
        <w:rPr>
          <w:rFonts w:hint="default" w:ascii="Arial" w:hAnsi="Arial" w:cs="Arial"/>
          <w:color w:val="000000"/>
          <w:lang w:val="sr-Latn-ME"/>
        </w:rPr>
      </w:pPr>
      <w:r>
        <w:rPr>
          <w:rFonts w:hint="default" w:ascii="Arial" w:hAnsi="Arial" w:cs="Arial"/>
          <w:color w:val="000000"/>
          <w:lang w:val="sr-Latn-ME"/>
        </w:rPr>
        <w:t>-</w:t>
      </w:r>
      <w:r>
        <w:rPr>
          <w:rFonts w:ascii="Arial" w:hAnsi="Arial" w:cs="Arial"/>
          <w:color w:val="000000"/>
        </w:rPr>
        <w:t>neposrednom podnošenjem na arhivi naručioca na adresi Zabjelo,</w:t>
      </w:r>
      <w:r>
        <w:rPr>
          <w:rFonts w:hint="default" w:ascii="Arial" w:hAnsi="Arial" w:cs="Arial"/>
          <w:color w:val="000000"/>
          <w:lang w:val="sr-Latn-ME"/>
        </w:rPr>
        <w:t xml:space="preserve"> Bulevar</w:t>
      </w:r>
      <w:r>
        <w:rPr>
          <w:rFonts w:ascii="Arial" w:hAnsi="Arial" w:cs="Arial"/>
          <w:color w:val="000000"/>
        </w:rPr>
        <w:t xml:space="preserve"> Zetskih Vladara 1/1</w:t>
      </w:r>
      <w:r>
        <w:rPr>
          <w:rFonts w:hint="default" w:ascii="Arial" w:hAnsi="Arial" w:cs="Arial"/>
          <w:color w:val="000000"/>
          <w:lang w:val="sr-Latn-ME"/>
        </w:rPr>
        <w:t>5</w:t>
      </w:r>
      <w:r>
        <w:rPr>
          <w:rFonts w:ascii="Arial" w:hAnsi="Arial" w:cs="Arial"/>
          <w:color w:val="000000"/>
        </w:rPr>
        <w:t xml:space="preserve"> </w:t>
      </w:r>
      <w:r>
        <w:rPr>
          <w:rFonts w:hint="default" w:ascii="Arial" w:hAnsi="Arial" w:cs="Arial"/>
          <w:color w:val="000000"/>
          <w:lang w:val="sr-Latn-ME"/>
        </w:rPr>
        <w:t>, Podgorica.</w:t>
      </w:r>
    </w:p>
    <w:p w14:paraId="1786783C">
      <w:pPr>
        <w:jc w:val="both"/>
        <w:rPr>
          <w:rFonts w:ascii="Arial" w:hAnsi="Arial" w:cs="Arial"/>
          <w:color w:val="000000"/>
        </w:rPr>
      </w:pPr>
      <w:r>
        <w:rPr>
          <w:rFonts w:hint="default" w:ascii="Arial" w:hAnsi="Arial" w:cs="Arial"/>
          <w:color w:val="000000"/>
          <w:lang w:val="sr-Latn-ME"/>
        </w:rPr>
        <w:t>-</w:t>
      </w:r>
      <w:r>
        <w:rPr>
          <w:rFonts w:ascii="Arial" w:hAnsi="Arial" w:cs="Arial"/>
          <w:color w:val="000000"/>
        </w:rPr>
        <w:t xml:space="preserve"> preporučenom pošiljkom sa povratnicom na adresi Zabjelo, </w:t>
      </w:r>
      <w:r>
        <w:rPr>
          <w:rFonts w:hint="default" w:ascii="Arial" w:hAnsi="Arial" w:cs="Arial"/>
          <w:color w:val="000000"/>
          <w:lang w:val="sr-Latn-ME"/>
        </w:rPr>
        <w:t>Bulevar</w:t>
      </w:r>
      <w:r>
        <w:rPr>
          <w:rFonts w:hint="default" w:ascii="Arial" w:hAnsi="Arial" w:cs="Arial"/>
          <w:color w:val="000000"/>
          <w:lang w:val="en-US"/>
        </w:rPr>
        <w:t xml:space="preserve"> </w:t>
      </w:r>
      <w:bookmarkStart w:id="18" w:name="_GoBack"/>
      <w:bookmarkEnd w:id="18"/>
      <w:r>
        <w:rPr>
          <w:rFonts w:ascii="Arial" w:hAnsi="Arial" w:cs="Arial"/>
          <w:color w:val="000000"/>
        </w:rPr>
        <w:t>Zetskih Vladara 1/1</w:t>
      </w:r>
      <w:r>
        <w:rPr>
          <w:rFonts w:hint="default" w:ascii="Arial" w:hAnsi="Arial" w:cs="Arial"/>
          <w:color w:val="000000"/>
          <w:lang w:val="sr-Latn-ME"/>
        </w:rPr>
        <w:t>5</w:t>
      </w:r>
      <w:r>
        <w:rPr>
          <w:rFonts w:ascii="Arial" w:hAnsi="Arial" w:cs="Arial"/>
          <w:color w:val="000000"/>
        </w:rPr>
        <w:t xml:space="preserve">  </w:t>
      </w:r>
      <w:r>
        <w:rPr>
          <w:rFonts w:hint="default" w:ascii="Arial" w:hAnsi="Arial" w:cs="Arial"/>
          <w:color w:val="000000"/>
          <w:lang w:val="sr-Latn-ME"/>
        </w:rPr>
        <w:t>Podgorica</w:t>
      </w:r>
      <w:r>
        <w:rPr>
          <w:rFonts w:ascii="Arial" w:hAnsi="Arial" w:cs="Arial"/>
          <w:color w:val="000000"/>
        </w:rPr>
        <w:t>.</w:t>
      </w:r>
    </w:p>
    <w:p w14:paraId="1CBF4707">
      <w:pPr>
        <w:jc w:val="both"/>
        <w:rPr>
          <w:rFonts w:ascii="Arial" w:hAnsi="Arial" w:cs="Arial"/>
          <w:color w:val="000000"/>
        </w:rPr>
      </w:pPr>
    </w:p>
    <w:p w14:paraId="711497FB">
      <w:pPr>
        <w:jc w:val="both"/>
        <w:rPr>
          <w:rFonts w:ascii="Arial" w:hAnsi="Arial" w:cs="Arial"/>
          <w:color w:val="000000"/>
        </w:rPr>
      </w:pPr>
      <w:r>
        <w:rPr>
          <w:rFonts w:ascii="Arial" w:hAnsi="Arial" w:cs="Arial"/>
          <w:color w:val="000000"/>
        </w:rPr>
        <w:t>radnim danima od 8:00 do 16:00 sati, zaključno sa danom 2</w:t>
      </w:r>
      <w:r>
        <w:rPr>
          <w:rFonts w:hint="default" w:ascii="Arial" w:hAnsi="Arial" w:cs="Arial"/>
          <w:color w:val="000000"/>
          <w:lang w:val="sr-Latn-ME"/>
        </w:rPr>
        <w:t>8</w:t>
      </w:r>
      <w:r>
        <w:rPr>
          <w:rFonts w:ascii="Arial" w:hAnsi="Arial" w:cs="Arial"/>
          <w:color w:val="000000"/>
        </w:rPr>
        <w:t>.</w:t>
      </w:r>
      <w:r>
        <w:rPr>
          <w:rFonts w:hint="default" w:ascii="Arial" w:hAnsi="Arial" w:cs="Arial"/>
          <w:color w:val="000000"/>
          <w:lang w:val="sr-Latn-ME"/>
        </w:rPr>
        <w:t>03</w:t>
      </w:r>
      <w:r>
        <w:rPr>
          <w:rFonts w:ascii="Arial" w:hAnsi="Arial" w:cs="Arial"/>
          <w:color w:val="000000"/>
        </w:rPr>
        <w:t>.202</w:t>
      </w:r>
      <w:r>
        <w:rPr>
          <w:rFonts w:hint="default" w:ascii="Arial" w:hAnsi="Arial" w:cs="Arial"/>
          <w:color w:val="000000"/>
          <w:lang w:val="sr-Latn-ME"/>
        </w:rPr>
        <w:t>5</w:t>
      </w:r>
      <w:r>
        <w:rPr>
          <w:rFonts w:ascii="Arial" w:hAnsi="Arial" w:cs="Arial"/>
          <w:color w:val="000000"/>
        </w:rPr>
        <w:t>. godine do 1</w:t>
      </w:r>
      <w:r>
        <w:rPr>
          <w:rFonts w:hint="default" w:ascii="Arial" w:hAnsi="Arial" w:cs="Arial"/>
          <w:color w:val="000000"/>
          <w:lang w:val="en-US"/>
        </w:rPr>
        <w:t>2</w:t>
      </w:r>
      <w:r>
        <w:rPr>
          <w:rFonts w:ascii="Arial" w:hAnsi="Arial" w:cs="Arial"/>
          <w:color w:val="000000"/>
        </w:rPr>
        <w:t>:00 sati.</w:t>
      </w:r>
    </w:p>
    <w:p w14:paraId="42A94DC0">
      <w:pPr>
        <w:jc w:val="both"/>
        <w:rPr>
          <w:rFonts w:ascii="Arial" w:hAnsi="Arial" w:cs="Arial"/>
          <w:color w:val="000000"/>
        </w:rPr>
      </w:pPr>
    </w:p>
    <w:p w14:paraId="7418A33A">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Razlozi hitnosti za skraćenje roka za podnošenje ponuda:</w:t>
      </w:r>
    </w:p>
    <w:p w14:paraId="703AD829">
      <w:pPr>
        <w:jc w:val="both"/>
        <w:rPr>
          <w:rFonts w:ascii="Arial" w:hAnsi="Arial" w:cs="Arial"/>
        </w:rPr>
      </w:pPr>
    </w:p>
    <w:p w14:paraId="1C8392E9">
      <w:pPr>
        <w:jc w:val="both"/>
        <w:rPr>
          <w:rFonts w:ascii="Arial" w:hAnsi="Arial" w:cs="Arial"/>
          <w:lang w:val="sr-Latn-ME"/>
        </w:rPr>
      </w:pPr>
      <w:r>
        <w:rPr>
          <w:rFonts w:ascii="Arial" w:hAnsi="Arial" w:cs="Arial"/>
        </w:rPr>
        <w:t>Naručilac se opredijelio za skraćeni rok za dostavljanje ponuda</w:t>
      </w:r>
      <w:r>
        <w:rPr>
          <w:rFonts w:ascii="Arial" w:hAnsi="Arial" w:cs="Arial"/>
          <w:lang w:val="sr-Latn-ME"/>
        </w:rPr>
        <w:t xml:space="preserve"> iz sledećeg razloga:</w:t>
      </w:r>
    </w:p>
    <w:p w14:paraId="0167F93F">
      <w:pPr>
        <w:jc w:val="both"/>
        <w:rPr>
          <w:rFonts w:ascii="Arial" w:hAnsi="Arial" w:cs="Arial"/>
          <w:lang w:val="sr-Latn-ME"/>
        </w:rPr>
      </w:pPr>
      <w:r>
        <w:rPr>
          <w:rFonts w:ascii="Arial" w:hAnsi="Arial" w:cs="Arial"/>
          <w:color w:val="000000"/>
          <w:lang w:val="sr-Latn-ME"/>
        </w:rPr>
        <w:t>Imajući u vidu dinamiku izvođenja radova i preuzete poslove od javnog interesa (sanacija</w:t>
      </w:r>
      <w:r>
        <w:rPr>
          <w:rFonts w:hint="default" w:ascii="Arial" w:hAnsi="Arial" w:cs="Arial"/>
          <w:color w:val="000000"/>
          <w:lang w:val="sr-Latn-ME"/>
        </w:rPr>
        <w:t xml:space="preserve"> i rekonstrukcija</w:t>
      </w:r>
      <w:r>
        <w:rPr>
          <w:rFonts w:ascii="Arial" w:hAnsi="Arial" w:cs="Arial"/>
          <w:color w:val="000000"/>
          <w:lang w:val="sr-Latn-ME"/>
        </w:rPr>
        <w:t xml:space="preserve"> saobraćajnica, sanacija udarnih rupa na teritoriji Glavnog grada</w:t>
      </w:r>
      <w:r>
        <w:rPr>
          <w:rFonts w:hint="default" w:ascii="Arial" w:hAnsi="Arial" w:cs="Arial"/>
          <w:color w:val="000000"/>
          <w:lang w:val="sr-Latn-ME"/>
        </w:rPr>
        <w:t xml:space="preserve"> i drugi poslovi od javnog interesa</w:t>
      </w:r>
      <w:r>
        <w:rPr>
          <w:rFonts w:ascii="Arial" w:hAnsi="Arial" w:cs="Arial"/>
          <w:color w:val="000000"/>
          <w:lang w:val="sr-Latn-ME"/>
        </w:rPr>
        <w:t>), a samim tim i potrošnju predmetne robe</w:t>
      </w:r>
      <w:r>
        <w:rPr>
          <w:rFonts w:hint="default" w:ascii="Arial" w:hAnsi="Arial" w:cs="Arial"/>
          <w:color w:val="000000"/>
          <w:lang w:val="sr-Latn-ME"/>
        </w:rPr>
        <w:t xml:space="preserve"> po Ugovoru iz 2024. godine</w:t>
      </w:r>
      <w:r>
        <w:rPr>
          <w:rFonts w:ascii="Arial" w:hAnsi="Arial" w:cs="Arial"/>
          <w:color w:val="000000"/>
          <w:lang w:val="sr-Latn-ME"/>
        </w:rPr>
        <w:t xml:space="preserve">, a uzimajući u obzir potencijalni rok za odlučivanje u postupku i potpisivanje ugovora od </w:t>
      </w:r>
      <w:r>
        <w:rPr>
          <w:rFonts w:hint="default" w:ascii="Arial" w:hAnsi="Arial" w:cs="Arial"/>
          <w:color w:val="000000"/>
          <w:lang w:val="sr-Latn-ME"/>
        </w:rPr>
        <w:t>cca</w:t>
      </w:r>
      <w:r>
        <w:rPr>
          <w:rFonts w:ascii="Arial" w:hAnsi="Arial" w:cs="Arial"/>
          <w:color w:val="000000"/>
          <w:lang w:val="sr-Latn-ME"/>
        </w:rPr>
        <w:t xml:space="preserve"> 60 dana od dana objavljivanja predmetnog poziva u slučaju objavljivanja istog prema redovnim rokovima od 30 dana, naručilac se opredijelio za skraćeni rok za podnošenje ponuda, </w:t>
      </w:r>
      <w:r>
        <w:rPr>
          <w:rFonts w:ascii="Arial" w:hAnsi="Arial" w:cs="Arial"/>
        </w:rPr>
        <w:t xml:space="preserve">a sve u </w:t>
      </w:r>
      <w:r>
        <w:rPr>
          <w:rFonts w:ascii="Arial" w:hAnsi="Arial" w:cs="Arial"/>
          <w:lang w:val="sr-Latn-ME"/>
        </w:rPr>
        <w:t xml:space="preserve">cilju </w:t>
      </w:r>
      <w:r>
        <w:rPr>
          <w:rFonts w:ascii="Arial" w:hAnsi="Arial" w:cs="Arial"/>
        </w:rPr>
        <w:t>obezbjeđivanja kontinuirane isporuke predmetne robe</w:t>
      </w:r>
      <w:r>
        <w:rPr>
          <w:rFonts w:ascii="Arial" w:hAnsi="Arial" w:cs="Arial"/>
          <w:lang w:val="sr-Latn-ME"/>
        </w:rPr>
        <w:t>,</w:t>
      </w:r>
      <w:r>
        <w:rPr>
          <w:rFonts w:ascii="Arial" w:hAnsi="Arial" w:cs="Arial"/>
        </w:rPr>
        <w:t xml:space="preserve"> radi obavljanja primarne djelatnosti </w:t>
      </w:r>
      <w:r>
        <w:rPr>
          <w:rFonts w:ascii="Arial" w:hAnsi="Arial" w:cs="Arial"/>
          <w:lang w:val="sr-Latn-ME"/>
        </w:rPr>
        <w:t>D</w:t>
      </w:r>
      <w:r>
        <w:rPr>
          <w:rFonts w:ascii="Arial" w:hAnsi="Arial" w:cs="Arial"/>
        </w:rPr>
        <w:t>ruštva.</w:t>
      </w:r>
      <w:r>
        <w:rPr>
          <w:rFonts w:ascii="Arial" w:hAnsi="Arial" w:cs="Arial"/>
          <w:lang w:val="sr-Latn-ME"/>
        </w:rPr>
        <w:t xml:space="preserve"> </w:t>
      </w:r>
    </w:p>
    <w:p w14:paraId="0CD1A38E">
      <w:pPr>
        <w:jc w:val="both"/>
        <w:rPr>
          <w:rFonts w:ascii="Arial" w:hAnsi="Arial" w:cs="Arial"/>
          <w:color w:val="000000"/>
          <w:lang w:val="sr-Latn-ME"/>
        </w:rPr>
      </w:pPr>
    </w:p>
    <w:p w14:paraId="617C44DE">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rPr>
      </w:pPr>
      <w:bookmarkStart w:id="9" w:name="_Toc62730562"/>
      <w:r>
        <w:rPr>
          <w:rFonts w:ascii="Arial" w:hAnsi="Arial" w:cs="Arial"/>
          <w:b/>
        </w:rPr>
        <w:t>USLOVI ZA AKTIVIRANJE GARANCIJE PONUDE</w:t>
      </w:r>
      <w:r>
        <w:rPr>
          <w:rFonts w:ascii="Arial" w:hAnsi="Arial" w:cs="Arial"/>
          <w:b/>
          <w:vertAlign w:val="superscript"/>
        </w:rPr>
        <w:footnoteReference w:id="7"/>
      </w:r>
      <w:bookmarkEnd w:id="9"/>
    </w:p>
    <w:p w14:paraId="776AEC86">
      <w:pPr>
        <w:jc w:val="both"/>
        <w:rPr>
          <w:rFonts w:ascii="Arial" w:hAnsi="Arial" w:cs="Arial"/>
          <w:b/>
          <w:bCs/>
          <w:color w:val="000000"/>
        </w:rPr>
      </w:pPr>
    </w:p>
    <w:p w14:paraId="5C00BA2D">
      <w:pPr>
        <w:jc w:val="both"/>
        <w:rPr>
          <w:rFonts w:ascii="Arial" w:hAnsi="Arial" w:cs="Arial"/>
          <w:lang w:val="sr-Latn-ME"/>
        </w:rPr>
      </w:pPr>
      <w:bookmarkStart w:id="10" w:name="_Toc62730563"/>
      <w:r>
        <w:rPr>
          <w:rFonts w:ascii="Arial" w:hAnsi="Arial" w:cs="Arial"/>
          <w:lang w:val="sr-Latn-ME"/>
        </w:rPr>
        <w:t xml:space="preserve">Garancija ponude će se aktivirati ako ponuđač: </w:t>
      </w:r>
    </w:p>
    <w:p w14:paraId="22F346F6">
      <w:pPr>
        <w:pStyle w:val="11"/>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69F61372">
      <w:pPr>
        <w:pStyle w:val="11"/>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2054F294">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rPr>
      </w:pPr>
      <w:r>
        <w:rPr>
          <w:rFonts w:ascii="Arial" w:hAnsi="Arial" w:cs="Arial"/>
          <w:b/>
        </w:rPr>
        <w:t>TAJNOST PODATAKA</w:t>
      </w:r>
      <w:bookmarkEnd w:id="10"/>
    </w:p>
    <w:p w14:paraId="75EADC66">
      <w:pPr>
        <w:jc w:val="both"/>
        <w:rPr>
          <w:rFonts w:ascii="Arial" w:hAnsi="Arial" w:cs="Arial"/>
          <w:color w:val="000000"/>
        </w:rPr>
      </w:pPr>
      <w:r>
        <w:rPr>
          <w:rFonts w:ascii="Arial" w:hAnsi="Arial" w:cs="Arial"/>
          <w:color w:val="000000"/>
        </w:rPr>
        <w:t xml:space="preserve"> </w:t>
      </w:r>
    </w:p>
    <w:p w14:paraId="4E161D94">
      <w:pPr>
        <w:jc w:val="both"/>
        <w:rPr>
          <w:rFonts w:ascii="Arial" w:hAnsi="Arial" w:cs="Arial"/>
          <w:color w:val="000000"/>
        </w:rPr>
      </w:pPr>
      <w:r>
        <w:rPr>
          <w:rFonts w:ascii="Arial" w:hAnsi="Arial" w:cs="Arial"/>
          <w:color w:val="000000"/>
        </w:rPr>
        <w:t>Tenderska dokumentacija sadrži tajne podatke</w:t>
      </w:r>
    </w:p>
    <w:p w14:paraId="41799F97">
      <w:pPr>
        <w:jc w:val="both"/>
        <w:rPr>
          <w:rFonts w:ascii="Arial" w:hAnsi="Arial" w:cs="Arial"/>
          <w:color w:val="000000"/>
        </w:rPr>
      </w:pPr>
    </w:p>
    <w:p w14:paraId="71EC421D">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14:paraId="0FB13FB5">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rPr>
      </w:pPr>
      <w:bookmarkStart w:id="11" w:name="_Toc62730564"/>
      <w:r>
        <w:rPr>
          <w:rFonts w:ascii="Arial" w:hAnsi="Arial" w:cs="Arial"/>
          <w:b/>
        </w:rPr>
        <w:t>UPUTSTVO ZA SAČINJAVANJE PONUDE</w:t>
      </w:r>
      <w:bookmarkEnd w:id="11"/>
    </w:p>
    <w:p w14:paraId="1DE5CF42">
      <w:pPr>
        <w:rPr>
          <w:rFonts w:ascii="Arial" w:hAnsi="Arial" w:cs="Arial"/>
        </w:rPr>
      </w:pPr>
    </w:p>
    <w:p w14:paraId="144CDBEA">
      <w:pPr>
        <w:jc w:val="both"/>
        <w:rPr>
          <w:rFonts w:ascii="Arial" w:hAnsi="Arial" w:cs="Arial"/>
        </w:rPr>
      </w:pPr>
      <w:r>
        <w:rPr>
          <w:rFonts w:ascii="Arial" w:hAnsi="Arial" w:cs="Arial"/>
        </w:rPr>
        <w:t xml:space="preserve">Ponude se sačinjava u ESJN u skladu sa tenderskom dokumentacijom i važećim Pravilnikom o sadržaju ponude i uputstvu za sačinjavanje i podnošenje ponude. </w:t>
      </w:r>
    </w:p>
    <w:p w14:paraId="639D57AD">
      <w:pPr>
        <w:jc w:val="both"/>
        <w:rPr>
          <w:rFonts w:ascii="Arial" w:hAnsi="Arial" w:cs="Arial"/>
        </w:rPr>
      </w:pPr>
      <w:r>
        <w:rPr>
          <w:rFonts w:ascii="Arial" w:hAnsi="Arial" w:cs="Arial"/>
        </w:rPr>
        <w:t>Ispunjenost uslova za učešće u postupku javne nabavke dokazuje se izjavom privrednog subjekta, koja se sačinjava na obrascu datom u Pravilniku o obrascu izjave privrednog subjekta.</w:t>
      </w:r>
    </w:p>
    <w:p w14:paraId="2639867A">
      <w:pPr>
        <w:jc w:val="both"/>
        <w:rPr>
          <w:rFonts w:ascii="Arial" w:hAnsi="Arial" w:cs="Arial"/>
          <w:i/>
          <w:iCs/>
          <w:color w:val="000000"/>
        </w:rPr>
      </w:pPr>
      <w:r>
        <w:rPr>
          <w:rFonts w:ascii="Arial" w:hAnsi="Arial" w:cs="Arial"/>
        </w:rPr>
        <w:t xml:space="preserve">Ponuđač je dužan da tačno i nedvosmisleno popuni </w:t>
      </w:r>
      <w:r>
        <w:rPr>
          <w:rFonts w:ascii="Arial" w:hAnsi="Arial" w:eastAsia="Calibri" w:cs="Arial"/>
        </w:rPr>
        <w:t>Izjavu privrednog subjekta u skladu sa zahtjevima iz tenderske dokumentacije.</w:t>
      </w:r>
    </w:p>
    <w:p w14:paraId="07E8CF1D">
      <w:pPr>
        <w:jc w:val="both"/>
        <w:rPr>
          <w:rFonts w:ascii="Arial" w:hAnsi="Arial" w:cs="Arial"/>
          <w:b/>
          <w:bCs/>
          <w:color w:val="000000"/>
        </w:rPr>
      </w:pPr>
    </w:p>
    <w:p w14:paraId="095E4861">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rPr>
      </w:pPr>
      <w:bookmarkStart w:id="12" w:name="_Toc62730565"/>
      <w:r>
        <w:rPr>
          <w:rFonts w:ascii="Arial" w:hAnsi="Arial" w:cs="Arial"/>
          <w:b/>
        </w:rPr>
        <w:t>NAČIN ZAKLJUČIVANJA I IZMJENE UGOVORA O JAVNOJ NABAVCI</w:t>
      </w:r>
      <w:bookmarkEnd w:id="12"/>
    </w:p>
    <w:p w14:paraId="010B779A">
      <w:pPr>
        <w:jc w:val="both"/>
        <w:rPr>
          <w:rFonts w:ascii="Arial" w:hAnsi="Arial" w:cs="Arial"/>
          <w:i/>
        </w:rPr>
      </w:pPr>
    </w:p>
    <w:p w14:paraId="4F02652A">
      <w:pPr>
        <w:jc w:val="both"/>
        <w:rPr>
          <w:rFonts w:ascii="Arial" w:hAnsi="Arial" w:cs="Arial"/>
        </w:rPr>
      </w:pPr>
      <w:r>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29EFD666">
      <w:pPr>
        <w:jc w:val="both"/>
        <w:rPr>
          <w:rFonts w:ascii="Arial" w:hAnsi="Arial" w:cs="Arial"/>
        </w:rPr>
      </w:pPr>
    </w:p>
    <w:p w14:paraId="7100CE3C">
      <w:pPr>
        <w:jc w:val="both"/>
        <w:rPr>
          <w:rFonts w:ascii="Arial" w:hAnsi="Arial" w:cs="Arial"/>
        </w:rPr>
      </w:pPr>
      <w:r>
        <w:rPr>
          <w:rFonts w:ascii="Arial" w:hAnsi="Arial" w:cs="Arial"/>
        </w:rPr>
        <w:t>Ugovor o javnoj nabavci mora da bude u skladu sa uslovima utvrđenim tenderskom dokumentacijom, izabranom ponudom i odlukom o izboru najpovoljnije ponude, osim u pogledu iskazivanja PDV-a.</w:t>
      </w:r>
    </w:p>
    <w:p w14:paraId="46F4C311">
      <w:pPr>
        <w:jc w:val="both"/>
        <w:rPr>
          <w:rFonts w:ascii="Arial" w:hAnsi="Arial" w:cs="Arial"/>
        </w:rPr>
      </w:pPr>
    </w:p>
    <w:p w14:paraId="36EC32FA">
      <w:pPr>
        <w:jc w:val="both"/>
        <w:rPr>
          <w:rFonts w:ascii="Arial" w:hAnsi="Arial" w:cs="Arial"/>
          <w:color w:val="000000"/>
        </w:rPr>
      </w:pPr>
      <w:r>
        <w:rPr>
          <w:rFonts w:ascii="Arial" w:hAnsi="Arial" w:cs="Arial"/>
          <w:color w:val="000000"/>
        </w:rPr>
        <w:t>Ugovor između naručioca i ponuđača čija je ponuda izabrana kao najpovoljnija, pored uslova koji su propisani ovom tenderskom dokumentacijom, će sadržati i sljedeće:</w:t>
      </w:r>
      <w:r>
        <w:rPr>
          <w:rFonts w:ascii="Arial" w:hAnsi="Arial" w:cs="Arial"/>
          <w:color w:val="000000"/>
          <w:vertAlign w:val="superscript"/>
        </w:rPr>
        <w:footnoteReference w:id="8"/>
      </w:r>
    </w:p>
    <w:p w14:paraId="1E6C6575">
      <w:pPr>
        <w:jc w:val="both"/>
        <w:rPr>
          <w:rFonts w:ascii="Arial" w:hAnsi="Arial" w:cs="Arial"/>
          <w:color w:val="000000"/>
        </w:rPr>
      </w:pPr>
    </w:p>
    <w:p w14:paraId="3F7CFBAA">
      <w:pPr>
        <w:jc w:val="both"/>
        <w:rPr>
          <w:rFonts w:ascii="Arial" w:hAnsi="Arial" w:eastAsia="PMingLiU" w:cs="Arial"/>
          <w:lang w:val="sr-Latn-CS"/>
        </w:rPr>
      </w:pPr>
      <w:r>
        <w:rPr>
          <w:rFonts w:ascii="Arial" w:hAnsi="Arial" w:eastAsia="PMingLiU" w:cs="Arial"/>
          <w:lang w:val="sr-Latn-CS"/>
        </w:rPr>
        <w:t>Izabrani ponuđač se obavezuje da plati ugovornu kaznu u visini 2‰ za svaki dan kašnjenja u isporuci robe, a najviše 5% od ukupne vrijednosti ugovorenog posla.</w:t>
      </w:r>
    </w:p>
    <w:p w14:paraId="38CF9182">
      <w:pPr>
        <w:jc w:val="both"/>
        <w:rPr>
          <w:rFonts w:ascii="Arial" w:hAnsi="Arial" w:eastAsia="Calibri" w:cs="Arial"/>
        </w:rPr>
      </w:pPr>
      <w:r>
        <w:rPr>
          <w:rFonts w:ascii="Arial" w:hAnsi="Arial" w:eastAsia="Calibri" w:cs="Arial"/>
        </w:rPr>
        <w:t xml:space="preserve">Ugovorne strane su saglasne da do raskida Ugovora može doći ako Dobavljač ne bude izvršavao svoje obaveze u rokovima i na način predvidjen Ugovorom: </w:t>
      </w:r>
    </w:p>
    <w:p w14:paraId="0E0DFF85">
      <w:pPr>
        <w:jc w:val="both"/>
        <w:rPr>
          <w:rFonts w:ascii="Arial" w:hAnsi="Arial" w:eastAsia="Calibri" w:cs="Arial"/>
        </w:rPr>
      </w:pPr>
      <w:r>
        <w:rPr>
          <w:rFonts w:ascii="Arial" w:hAnsi="Arial" w:eastAsia="Calibri" w:cs="Arial"/>
        </w:rPr>
        <w:t xml:space="preserve">-U slučaju kada Naručilac ustanovi da roba koja je predmet ovog ugovora ili način na koje se isporučuje, odstupa od ponuđenog iz ponude Dobavljača. </w:t>
      </w:r>
    </w:p>
    <w:p w14:paraId="4A105C3F">
      <w:pPr>
        <w:jc w:val="both"/>
        <w:rPr>
          <w:rFonts w:ascii="Arial" w:hAnsi="Arial" w:eastAsia="Calibri" w:cs="Arial"/>
          <w:bCs/>
        </w:rPr>
      </w:pPr>
    </w:p>
    <w:p w14:paraId="70AFA8F0">
      <w:pPr>
        <w:jc w:val="both"/>
        <w:rPr>
          <w:rFonts w:ascii="Arial" w:hAnsi="Arial" w:eastAsia="Calibri" w:cs="Arial"/>
          <w:bCs/>
        </w:rPr>
      </w:pPr>
      <w:r>
        <w:rPr>
          <w:rFonts w:ascii="Arial" w:hAnsi="Arial" w:eastAsia="Calibri" w:cs="Arial"/>
          <w:bCs/>
        </w:rPr>
        <w:t xml:space="preserve">Naručilac će u slučaju </w:t>
      </w:r>
      <w:r>
        <w:rPr>
          <w:rFonts w:ascii="Arial" w:hAnsi="Arial" w:eastAsia="Calibri" w:cs="Arial"/>
          <w:bCs/>
          <w:lang w:val="sl-SI"/>
        </w:rPr>
        <w:t>uočavanja propusta u obavljanju posla</w:t>
      </w:r>
      <w:r>
        <w:rPr>
          <w:rFonts w:ascii="Arial" w:hAnsi="Arial" w:eastAsia="Calibri" w:cs="Arial"/>
          <w:bCs/>
        </w:rPr>
        <w:t xml:space="preserve"> pisanim putem da pozove Dobavljača i da putem Zapisnika zajednički konstatuju uzrok</w:t>
      </w:r>
      <w:r>
        <w:rPr>
          <w:rFonts w:ascii="Arial" w:hAnsi="Arial" w:eastAsia="Calibri" w:cs="Arial"/>
          <w:bCs/>
          <w:lang w:val="sl-SI"/>
        </w:rPr>
        <w:t xml:space="preserve"> i obim uočenih propusta</w:t>
      </w:r>
      <w:r>
        <w:rPr>
          <w:rFonts w:ascii="Arial" w:hAnsi="Arial" w:eastAsia="Calibri" w:cs="Arial"/>
          <w:bCs/>
        </w:rPr>
        <w:t>. Ukoliko se Dobavljač ne odazove pozivu Naručioca u roku od 48h, Naručilac ima pravo da raskine ugovor i aktivira garanciju za dobro izvršenje ugovora.</w:t>
      </w:r>
    </w:p>
    <w:p w14:paraId="1DF0E70A">
      <w:pPr>
        <w:jc w:val="both"/>
        <w:rPr>
          <w:rFonts w:ascii="Arial" w:hAnsi="Arial" w:cs="Arial"/>
          <w:b/>
          <w:bCs/>
          <w:color w:val="000000"/>
        </w:rPr>
      </w:pPr>
    </w:p>
    <w:p w14:paraId="3DDC3B2E">
      <w:pPr>
        <w:jc w:val="both"/>
        <w:rPr>
          <w:rFonts w:ascii="Arial" w:hAnsi="Arial" w:cs="Arial"/>
          <w:color w:val="000000"/>
        </w:rPr>
      </w:pPr>
    </w:p>
    <w:p w14:paraId="44D737AA">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Ugovor o javnoj nabavci tokom njegovog trajanja može da se izmijeni bez sprovođenja novog postupka javne nabavke u skladu sa članom 151 Zakona o javnim nabavkama: </w:t>
      </w:r>
    </w:p>
    <w:p w14:paraId="0F7F5A70">
      <w:pPr>
        <w:jc w:val="both"/>
        <w:rPr>
          <w:rFonts w:ascii="Arial" w:hAnsi="Arial" w:cs="Arial"/>
          <w:color w:val="000000"/>
        </w:rPr>
      </w:pPr>
    </w:p>
    <w:p w14:paraId="23BD40D3">
      <w:pPr>
        <w:numPr>
          <w:ilvl w:val="0"/>
          <w:numId w:val="7"/>
        </w:numPr>
        <w:jc w:val="both"/>
        <w:rPr>
          <w:rFonts w:ascii="Arial" w:hAnsi="Arial" w:cs="Arial"/>
          <w:color w:val="000000"/>
          <w:lang w:val="sr-Latn-ME"/>
        </w:rPr>
      </w:pPr>
      <w:r>
        <w:rPr>
          <w:rFonts w:ascii="Arial" w:hAnsi="Arial" w:cs="Arial"/>
          <w:color w:val="000000"/>
          <w:lang w:val="sr-Latn-ME"/>
        </w:rPr>
        <w:t>Ako su izmjene bez obzira na njihovu vrijednost izražene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2E6C92BB">
      <w:pPr>
        <w:jc w:val="both"/>
        <w:rPr>
          <w:rFonts w:ascii="Arial" w:hAnsi="Arial" w:cs="Arial"/>
          <w:color w:val="000000"/>
        </w:rPr>
      </w:pPr>
    </w:p>
    <w:p w14:paraId="1645CCA1">
      <w:pPr>
        <w:autoSpaceDE w:val="0"/>
        <w:autoSpaceDN w:val="0"/>
        <w:adjustRightInd w:val="0"/>
        <w:jc w:val="both"/>
        <w:rPr>
          <w:rFonts w:ascii="Arial" w:hAnsi="Arial" w:cs="Arial" w:eastAsiaTheme="minorHAnsi"/>
        </w:rPr>
      </w:pPr>
      <w:r>
        <w:rPr>
          <w:rFonts w:ascii="Arial" w:hAnsi="Arial" w:cs="Arial" w:eastAsiaTheme="minorHAnsi"/>
          <w:lang w:val="sr-Latn-ME"/>
        </w:rPr>
        <w:t>2</w:t>
      </w:r>
      <w:r>
        <w:rPr>
          <w:rFonts w:ascii="Arial" w:hAnsi="Arial" w:cs="Arial" w:eastAsiaTheme="minorHAnsi"/>
        </w:rPr>
        <w:t>)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0EC7F4EA">
      <w:pPr>
        <w:autoSpaceDE w:val="0"/>
        <w:autoSpaceDN w:val="0"/>
        <w:adjustRightInd w:val="0"/>
        <w:jc w:val="both"/>
        <w:rPr>
          <w:rFonts w:ascii="Arial" w:hAnsi="Arial" w:cs="Arial" w:eastAsiaTheme="minorHAnsi"/>
        </w:rPr>
      </w:pPr>
    </w:p>
    <w:p w14:paraId="280B5FDE">
      <w:pPr>
        <w:autoSpaceDE w:val="0"/>
        <w:autoSpaceDN w:val="0"/>
        <w:adjustRightInd w:val="0"/>
        <w:jc w:val="both"/>
        <w:rPr>
          <w:rFonts w:ascii="Arial" w:hAnsi="Arial" w:cs="Arial"/>
        </w:rPr>
      </w:pPr>
      <w:r>
        <w:rPr>
          <w:rFonts w:ascii="Arial" w:hAnsi="Arial" w:cs="Arial" w:eastAsiaTheme="minorHAnsi"/>
          <w:lang w:val="sr-Latn-ME"/>
        </w:rPr>
        <w:t>3)</w:t>
      </w:r>
      <w:r>
        <w:rPr>
          <w:rFonts w:ascii="Arial" w:hAnsi="Arial" w:cs="Arial" w:eastAsiaTheme="minorHAnsi"/>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57699D97">
      <w:pPr>
        <w:jc w:val="both"/>
        <w:rPr>
          <w:rFonts w:ascii="Arial" w:hAnsi="Arial" w:cs="Arial"/>
        </w:rPr>
      </w:pPr>
    </w:p>
    <w:p w14:paraId="09CF90D0">
      <w:pPr>
        <w:jc w:val="both"/>
        <w:rPr>
          <w:rFonts w:ascii="Arial" w:hAnsi="Arial" w:cs="Arial"/>
          <w:lang w:val="sr-Latn-ME"/>
        </w:rPr>
      </w:pPr>
      <w:r>
        <w:rPr>
          <w:rFonts w:ascii="Arial" w:hAnsi="Arial" w:cs="Arial"/>
        </w:rPr>
        <w:t>3</w:t>
      </w:r>
      <w:r>
        <w:rPr>
          <w:rFonts w:ascii="Arial" w:hAnsi="Arial" w:cs="Arial"/>
          <w:lang w:val="sr-Latn-ME"/>
        </w:rPr>
        <w:t xml:space="preserve"> a</w:t>
      </w:r>
      <w:r>
        <w:rPr>
          <w:rFonts w:ascii="Arial" w:hAnsi="Arial" w:cs="Arial"/>
        </w:rPr>
        <w:t xml:space="preserve">) kada je potreba za izmjenom ugovora nastala zbog okolnosti koje naručilac u vrijeme zaključivanja ugovora nije mogao da predvidi, a izmjenom se ne mijenja priroda ugovora </w:t>
      </w:r>
      <w:r>
        <w:rPr>
          <w:rFonts w:ascii="Arial" w:hAnsi="Arial" w:cs="Arial"/>
          <w:lang w:val="sr-Latn-ME"/>
        </w:rPr>
        <w:t>već se vrši samo smanjenje ugovorene vrijednosti.</w:t>
      </w:r>
    </w:p>
    <w:p w14:paraId="7AF31EB3">
      <w:pPr>
        <w:jc w:val="both"/>
        <w:rPr>
          <w:rFonts w:ascii="Arial" w:hAnsi="Arial" w:cs="Arial"/>
          <w:lang w:val="sr-Latn-ME"/>
        </w:rPr>
      </w:pPr>
      <w:r>
        <w:rPr>
          <w:rFonts w:ascii="Arial" w:hAnsi="Arial" w:cs="Arial"/>
          <w:lang w:val="sr-Latn-ME"/>
        </w:rPr>
        <w:t>3 b) kada se vrši zamjena podugovarača u skladu sa članom 128 st.10,11, i 12 Zakona.</w:t>
      </w:r>
    </w:p>
    <w:p w14:paraId="5BEDC07F">
      <w:pPr>
        <w:jc w:val="both"/>
        <w:rPr>
          <w:rFonts w:ascii="Arial" w:hAnsi="Arial" w:cs="Arial"/>
          <w:lang w:val="sr-Latn-ME"/>
        </w:rPr>
      </w:pPr>
    </w:p>
    <w:p w14:paraId="4AFEB18F">
      <w:pPr>
        <w:jc w:val="both"/>
        <w:rPr>
          <w:rFonts w:ascii="Arial" w:hAnsi="Arial" w:cs="Arial"/>
        </w:rPr>
      </w:pPr>
      <w:r>
        <w:rPr>
          <w:rFonts w:ascii="Arial" w:hAnsi="Arial" w:cs="Arial"/>
        </w:rPr>
        <w:t>4) ako privrednog subjekta nakon restrukturiranja, uključujući preuzimanje, spajanje, kupovinu ili stečaj,</w:t>
      </w:r>
      <w:r>
        <w:rPr>
          <w:rFonts w:ascii="Arial" w:hAnsi="Arial" w:cs="Arial"/>
          <w:lang w:val="sr-Latn-ME"/>
        </w:rPr>
        <w:t xml:space="preserve"> </w:t>
      </w:r>
      <w:r>
        <w:rPr>
          <w:rFonts w:ascii="Arial" w:hAnsi="Arial" w:cs="Arial"/>
        </w:rPr>
        <w:t>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27EEAA98">
      <w:pPr>
        <w:autoSpaceDE w:val="0"/>
        <w:autoSpaceDN w:val="0"/>
        <w:adjustRightInd w:val="0"/>
        <w:jc w:val="both"/>
        <w:rPr>
          <w:rFonts w:ascii="Arial" w:hAnsi="Arial" w:cs="Arial" w:eastAsiaTheme="minorHAnsi"/>
        </w:rPr>
      </w:pPr>
    </w:p>
    <w:p w14:paraId="0A13556D">
      <w:pPr>
        <w:jc w:val="both"/>
        <w:rPr>
          <w:rFonts w:ascii="Arial" w:hAnsi="Arial" w:eastAsia="sans-serif" w:cs="Arial"/>
        </w:rPr>
      </w:pPr>
      <w:r>
        <w:rPr>
          <w:rFonts w:ascii="Arial" w:hAnsi="Arial" w:eastAsia="sans-serif" w:cs="Arial"/>
        </w:rPr>
        <w:t>Izvođač je dužan da potpiše Ugovor u roku od 15 dana od dana dostavljanja, i u istom roku vrati Naručiocu potpisan ugovorzajedno sa garancijom za dobro izvršenje ugovora.</w:t>
      </w:r>
    </w:p>
    <w:p w14:paraId="22C0DFA9">
      <w:pPr>
        <w:jc w:val="both"/>
        <w:rPr>
          <w:rFonts w:ascii="Arial" w:hAnsi="Arial" w:eastAsia="sans-serif" w:cs="Arial"/>
        </w:rPr>
      </w:pPr>
    </w:p>
    <w:p w14:paraId="5C511E8D">
      <w:pPr>
        <w:jc w:val="both"/>
        <w:rPr>
          <w:rFonts w:ascii="Arial" w:hAnsi="Arial" w:eastAsia="sans-serif" w:cs="Arial"/>
        </w:rPr>
      </w:pPr>
      <w:r>
        <w:rPr>
          <w:rFonts w:ascii="Arial" w:hAnsi="Arial" w:eastAsia="sans-serif" w:cs="Arial"/>
        </w:rPr>
        <w:t>Ugovor o javnoj nabavci koji je zaključen uz kršenje antikorupcijskog pravila u skladu sa odredbama člana 38 ZJN (Sl.list Crne Gore br. 74/19, 03/23 i 11/23) ništav je.</w:t>
      </w:r>
    </w:p>
    <w:p w14:paraId="0148809F">
      <w:pPr>
        <w:autoSpaceDE w:val="0"/>
        <w:autoSpaceDN w:val="0"/>
        <w:adjustRightInd w:val="0"/>
        <w:jc w:val="both"/>
        <w:rPr>
          <w:rFonts w:ascii="Arial" w:hAnsi="Arial" w:cs="Arial" w:eastAsiaTheme="minorHAnsi"/>
        </w:rPr>
      </w:pPr>
    </w:p>
    <w:p w14:paraId="1C4423B5">
      <w:pPr>
        <w:jc w:val="both"/>
        <w:rPr>
          <w:rFonts w:ascii="Arial" w:hAnsi="Arial" w:eastAsia="sans-serif" w:cs="Arial"/>
        </w:rPr>
      </w:pPr>
      <w:r>
        <w:rPr>
          <w:rFonts w:ascii="Arial" w:hAnsi="Arial" w:eastAsia="sans-serif" w:cs="Arial"/>
        </w:rPr>
        <w:t>Ugovor se zaključuje na period od 1 (jedne) godine ili dostizanja procijenjene vrijednosti javne nabavke, zavisno koji od uslova bude ranije ispunjen. U skladu sa članom 149 stav 13 Zakona o javnim nabavkama, ponuđena cijena tokom navedenog perioda definisaće se u skladu sa formulom za formiranje cijene bitumena za sedmicu koja prethodi sedmici utovara. Napomena: ostali troškovi za formiranje cijene iz obrasca strukture ponuđene cijene, tokom trajanja ugovora ostaju nepromenjivi. NAPOMENA ZA FORMIRANJE CIJENE PONUĐENE ROBE : Ukoliko za vrijeme trajanja ugovora dođe do promjene parametara koji utiču na cijenu bitumena (Kurs US dolara i prosječna srednja kotacijska cijena za ulje za loženje), pri čemu će se koristiti formula: prosječna srednja kotacijska cijena za ulje za loženje (1.0 PCT prema PCT Platts European Marketscan kotacijama na paritetu FOB Med Italy), za sedmicu koja prethodi sedmici utovara, ponuđač je dužan dostaviti: -Kurs US dolara: dokaz o kretanju prosječnog prodajnog kursa US dolara, što se dokazuje izvještajem dobijenim od strane</w:t>
      </w:r>
      <w:r>
        <w:rPr>
          <w:rFonts w:ascii="Arial" w:hAnsi="Arial" w:eastAsia="sans-serif" w:cs="Arial"/>
          <w:lang w:val="sr-Latn-ME"/>
        </w:rPr>
        <w:t xml:space="preserve"> Centralne banke Crne Gore ili</w:t>
      </w:r>
      <w:r>
        <w:rPr>
          <w:rFonts w:ascii="Arial" w:hAnsi="Arial" w:eastAsia="sans-serif" w:cs="Arial"/>
        </w:rPr>
        <w:t xml:space="preserve"> poslovne banke iz Crne Gore , za sedmicu koja prethodi sedmici utovara. -prosječna srednja kotacijska cijena za ulje za loženje (1.0 PCT prema PCT Platts European Marketscan kotacijama na paritetu FOB Med Italy), za sedmicu koja prethodi sedmici utovara.</w:t>
      </w:r>
    </w:p>
    <w:p w14:paraId="2261AC9E">
      <w:pPr>
        <w:jc w:val="both"/>
        <w:rPr>
          <w:rFonts w:ascii="Arial" w:hAnsi="Arial" w:eastAsia="sans-serif" w:cs="Arial"/>
        </w:rPr>
      </w:pPr>
    </w:p>
    <w:p w14:paraId="1827F168">
      <w:pPr>
        <w:jc w:val="both"/>
        <w:rPr>
          <w:rFonts w:ascii="Arial" w:hAnsi="Arial" w:eastAsia="sans-serif" w:cs="Arial"/>
        </w:rPr>
      </w:pPr>
    </w:p>
    <w:p w14:paraId="4F64EB9C">
      <w:pPr>
        <w:jc w:val="both"/>
        <w:rPr>
          <w:rFonts w:ascii="Arial" w:hAnsi="Arial" w:eastAsia="sans-serif" w:cs="Arial"/>
        </w:rPr>
      </w:pPr>
    </w:p>
    <w:p w14:paraId="6DAFAECA">
      <w:pPr>
        <w:jc w:val="both"/>
        <w:rPr>
          <w:rFonts w:ascii="Arial" w:hAnsi="Arial" w:eastAsia="sans-serif" w:cs="Arial"/>
        </w:rPr>
      </w:pPr>
    </w:p>
    <w:p w14:paraId="07D16389">
      <w:pPr>
        <w:jc w:val="both"/>
        <w:rPr>
          <w:rFonts w:ascii="Arial" w:hAnsi="Arial" w:eastAsia="sans-serif" w:cs="Arial"/>
        </w:rPr>
      </w:pPr>
    </w:p>
    <w:tbl>
      <w:tblPr>
        <w:tblStyle w:val="3"/>
        <w:tblpPr w:leftFromText="180" w:rightFromText="180" w:vertAnchor="page" w:horzAnchor="page" w:tblpX="1104" w:tblpY="2343"/>
        <w:tblOverlap w:val="never"/>
        <w:tblW w:w="8800" w:type="dxa"/>
        <w:tblInd w:w="0" w:type="dxa"/>
        <w:tblLayout w:type="fixed"/>
        <w:tblCellMar>
          <w:top w:w="0" w:type="dxa"/>
          <w:left w:w="70" w:type="dxa"/>
          <w:bottom w:w="0" w:type="dxa"/>
          <w:right w:w="70" w:type="dxa"/>
        </w:tblCellMar>
      </w:tblPr>
      <w:tblGrid>
        <w:gridCol w:w="630"/>
        <w:gridCol w:w="2410"/>
        <w:gridCol w:w="5760"/>
      </w:tblGrid>
      <w:tr w14:paraId="44501839">
        <w:tblPrEx>
          <w:tblCellMar>
            <w:top w:w="0" w:type="dxa"/>
            <w:left w:w="70" w:type="dxa"/>
            <w:bottom w:w="0" w:type="dxa"/>
            <w:right w:w="70" w:type="dxa"/>
          </w:tblCellMar>
        </w:tblPrEx>
        <w:trPr>
          <w:trHeight w:val="1127" w:hRule="atLeast"/>
        </w:trPr>
        <w:tc>
          <w:tcPr>
            <w:tcW w:w="8800" w:type="dxa"/>
            <w:gridSpan w:val="3"/>
            <w:tcBorders>
              <w:top w:val="single" w:color="auto" w:sz="8" w:space="0"/>
              <w:left w:val="single" w:color="auto" w:sz="8" w:space="0"/>
              <w:bottom w:val="single" w:color="auto" w:sz="8" w:space="0"/>
              <w:right w:val="single" w:color="auto" w:sz="8" w:space="0"/>
            </w:tcBorders>
            <w:shd w:val="clear" w:color="auto" w:fill="D9D9D9"/>
          </w:tcPr>
          <w:p w14:paraId="06E444D5">
            <w:pPr>
              <w:rPr>
                <w:rFonts w:ascii="Arial" w:hAnsi="Arial" w:cs="Arial"/>
                <w:b/>
                <w:bCs/>
                <w:color w:val="000000"/>
                <w:lang w:val="sr-Latn-ME" w:eastAsia="sr-Latn-CS"/>
              </w:rPr>
            </w:pPr>
          </w:p>
          <w:p w14:paraId="7E314C7B">
            <w:pPr>
              <w:rPr>
                <w:rFonts w:ascii="Arial" w:hAnsi="Arial" w:cs="Arial"/>
                <w:b/>
                <w:bCs/>
                <w:color w:val="000000"/>
                <w:lang w:val="sr-Latn-ME" w:eastAsia="sr-Latn-CS"/>
              </w:rPr>
            </w:pPr>
            <w:r>
              <w:rPr>
                <w:rFonts w:ascii="Arial" w:hAnsi="Arial" w:cs="Arial"/>
                <w:b/>
                <w:bCs/>
                <w:color w:val="000000"/>
                <w:lang w:eastAsia="sr-Latn-CS"/>
              </w:rPr>
              <w:t>OBRAZAC STRUKTURE PONU</w:t>
            </w:r>
            <w:r>
              <w:rPr>
                <w:rFonts w:ascii="Arial" w:hAnsi="Arial" w:cs="Arial"/>
                <w:b/>
                <w:bCs/>
                <w:color w:val="000000"/>
                <w:lang w:val="sr-Latn-ME" w:eastAsia="sr-Latn-CS"/>
              </w:rPr>
              <w:t>ĐENE CIJENE BITUMENA 50/70  SA UPUTSTVOM ZA POPUNJAVAVANJE</w:t>
            </w:r>
          </w:p>
        </w:tc>
      </w:tr>
      <w:tr w14:paraId="4C0C3083">
        <w:tblPrEx>
          <w:tblCellMar>
            <w:top w:w="0" w:type="dxa"/>
            <w:left w:w="70" w:type="dxa"/>
            <w:bottom w:w="0" w:type="dxa"/>
            <w:right w:w="70" w:type="dxa"/>
          </w:tblCellMar>
        </w:tblPrEx>
        <w:trPr>
          <w:trHeight w:val="1127" w:hRule="atLeast"/>
        </w:trPr>
        <w:tc>
          <w:tcPr>
            <w:tcW w:w="8800" w:type="dxa"/>
            <w:gridSpan w:val="3"/>
            <w:tcBorders>
              <w:top w:val="single" w:color="auto" w:sz="8" w:space="0"/>
              <w:left w:val="single" w:color="auto" w:sz="8" w:space="0"/>
              <w:bottom w:val="single" w:color="auto" w:sz="8" w:space="0"/>
              <w:right w:val="single" w:color="auto" w:sz="4" w:space="0"/>
            </w:tcBorders>
            <w:shd w:val="clear" w:color="auto" w:fill="D9D9D9"/>
            <w:vAlign w:val="center"/>
          </w:tcPr>
          <w:p w14:paraId="4FBE2131">
            <w:pPr>
              <w:jc w:val="both"/>
              <w:rPr>
                <w:rFonts w:ascii="Arial" w:hAnsi="Arial" w:cs="Arial"/>
                <w:b/>
                <w:bCs/>
                <w:color w:val="000000"/>
                <w:lang w:val="sr-Latn-ME" w:eastAsia="sr-Latn-CS"/>
              </w:rPr>
            </w:pPr>
            <w:r>
              <w:rPr>
                <w:rFonts w:ascii="Arial" w:hAnsi="Arial" w:cs="Arial"/>
                <w:b/>
                <w:bCs/>
                <w:color w:val="000000"/>
                <w:lang w:eastAsia="sr-Latn-CS"/>
              </w:rPr>
              <w:t>P</w:t>
            </w:r>
            <w:r>
              <w:rPr>
                <w:rFonts w:ascii="Arial" w:hAnsi="Arial" w:cs="Arial"/>
                <w:b/>
                <w:bCs/>
                <w:color w:val="000000"/>
                <w:lang w:val="sr-Latn-CS" w:eastAsia="sr-Latn-CS"/>
              </w:rPr>
              <w:t>redmet nabavke</w:t>
            </w:r>
            <w:r>
              <w:rPr>
                <w:rFonts w:ascii="Arial" w:hAnsi="Arial" w:cs="Arial"/>
                <w:b/>
                <w:bCs/>
                <w:color w:val="000000"/>
                <w:lang w:val="sr-Latn-ME" w:eastAsia="sr-Latn-CS"/>
              </w:rPr>
              <w:t>: Bitumen tip/vrsta 50/70, DDP Asfaltna baza naručioca, Cijevna - Podgorica</w:t>
            </w:r>
          </w:p>
        </w:tc>
      </w:tr>
      <w:tr w14:paraId="20581B7F">
        <w:tblPrEx>
          <w:tblCellMar>
            <w:top w:w="0" w:type="dxa"/>
            <w:left w:w="70" w:type="dxa"/>
            <w:bottom w:w="0" w:type="dxa"/>
            <w:right w:w="70" w:type="dxa"/>
          </w:tblCellMar>
        </w:tblPrEx>
        <w:trPr>
          <w:trHeight w:val="1293" w:hRule="atLeast"/>
        </w:trPr>
        <w:tc>
          <w:tcPr>
            <w:tcW w:w="630" w:type="dxa"/>
            <w:tcBorders>
              <w:top w:val="single" w:color="auto" w:sz="8" w:space="0"/>
              <w:left w:val="single" w:color="auto" w:sz="8" w:space="0"/>
              <w:bottom w:val="single" w:color="auto" w:sz="8" w:space="0"/>
              <w:right w:val="single" w:color="auto" w:sz="8" w:space="0"/>
            </w:tcBorders>
            <w:shd w:val="clear" w:color="auto" w:fill="D9D9D9"/>
            <w:vAlign w:val="center"/>
          </w:tcPr>
          <w:p w14:paraId="0AADF805">
            <w:pPr>
              <w:jc w:val="center"/>
              <w:rPr>
                <w:rFonts w:ascii="Arial" w:hAnsi="Arial" w:cs="Arial"/>
                <w:b/>
                <w:bCs/>
                <w:color w:val="000000"/>
                <w:lang w:val="sr-Latn-ME" w:eastAsia="sr-Latn-CS"/>
              </w:rPr>
            </w:pPr>
            <w:r>
              <w:rPr>
                <w:rFonts w:ascii="Arial" w:hAnsi="Arial" w:cs="Arial"/>
                <w:b/>
                <w:bCs/>
                <w:color w:val="000000"/>
                <w:lang w:val="sr-Latn-ME" w:eastAsia="sr-Latn-CS"/>
              </w:rPr>
              <w:t>R.B.</w:t>
            </w:r>
          </w:p>
        </w:tc>
        <w:tc>
          <w:tcPr>
            <w:tcW w:w="2410" w:type="dxa"/>
            <w:tcBorders>
              <w:top w:val="single" w:color="auto" w:sz="8" w:space="0"/>
              <w:left w:val="nil"/>
              <w:bottom w:val="single" w:color="auto" w:sz="8" w:space="0"/>
              <w:right w:val="single" w:color="auto" w:sz="4" w:space="0"/>
            </w:tcBorders>
            <w:shd w:val="clear" w:color="auto" w:fill="D9D9D9"/>
            <w:vAlign w:val="center"/>
          </w:tcPr>
          <w:p w14:paraId="4F1096E8">
            <w:pPr>
              <w:jc w:val="center"/>
              <w:rPr>
                <w:rFonts w:ascii="Arial" w:hAnsi="Arial" w:cs="Arial"/>
                <w:b/>
                <w:bCs/>
                <w:color w:val="000000"/>
                <w:lang w:val="sr-Latn-ME" w:eastAsia="sr-Latn-CS"/>
              </w:rPr>
            </w:pPr>
            <w:r>
              <w:rPr>
                <w:rFonts w:ascii="Arial" w:hAnsi="Arial" w:cs="Arial"/>
                <w:b/>
                <w:bCs/>
                <w:color w:val="000000"/>
                <w:lang w:val="sr-Latn-ME" w:eastAsia="sr-Latn-CS"/>
              </w:rPr>
              <w:t>Vrsta troškova</w:t>
            </w:r>
          </w:p>
        </w:tc>
        <w:tc>
          <w:tcPr>
            <w:tcW w:w="5760" w:type="dxa"/>
            <w:tcBorders>
              <w:top w:val="single" w:color="auto" w:sz="8" w:space="0"/>
              <w:left w:val="single" w:color="auto" w:sz="4" w:space="0"/>
              <w:bottom w:val="single" w:color="auto" w:sz="8" w:space="0"/>
              <w:right w:val="single" w:color="auto" w:sz="4" w:space="0"/>
            </w:tcBorders>
            <w:shd w:val="clear" w:color="auto" w:fill="D9D9D9"/>
            <w:vAlign w:val="center"/>
          </w:tcPr>
          <w:p w14:paraId="4A7A19DF">
            <w:pPr>
              <w:jc w:val="center"/>
              <w:rPr>
                <w:rFonts w:ascii="Arial" w:hAnsi="Arial" w:cs="Arial"/>
                <w:b/>
                <w:bCs/>
                <w:color w:val="000000"/>
                <w:lang w:val="sr-Latn-ME" w:eastAsia="sr-Latn-CS"/>
              </w:rPr>
            </w:pPr>
            <w:r>
              <w:rPr>
                <w:rFonts w:ascii="Arial" w:hAnsi="Arial" w:cs="Arial"/>
                <w:b/>
                <w:bCs/>
                <w:color w:val="000000"/>
                <w:lang w:val="sr-Latn-ME" w:eastAsia="sr-Latn-CS"/>
              </w:rPr>
              <w:t>Cijena po jedinici mjere bez PDV-a</w:t>
            </w:r>
          </w:p>
        </w:tc>
      </w:tr>
      <w:tr w14:paraId="4D923325">
        <w:tblPrEx>
          <w:tblCellMar>
            <w:top w:w="0" w:type="dxa"/>
            <w:left w:w="108" w:type="dxa"/>
            <w:bottom w:w="0" w:type="dxa"/>
            <w:right w:w="108" w:type="dxa"/>
          </w:tblCellMar>
        </w:tblPrEx>
        <w:trPr>
          <w:trHeight w:val="623" w:hRule="atLeast"/>
        </w:trPr>
        <w:tc>
          <w:tcPr>
            <w:tcW w:w="630" w:type="dxa"/>
            <w:tcBorders>
              <w:top w:val="single" w:color="auto" w:sz="8" w:space="0"/>
              <w:left w:val="single" w:color="auto" w:sz="4" w:space="0"/>
              <w:bottom w:val="single" w:color="auto" w:sz="4" w:space="0"/>
              <w:right w:val="single" w:color="auto" w:sz="4" w:space="0"/>
            </w:tcBorders>
            <w:vAlign w:val="center"/>
          </w:tcPr>
          <w:p w14:paraId="6F239A1F">
            <w:pPr>
              <w:jc w:val="center"/>
              <w:rPr>
                <w:rFonts w:ascii="Arial" w:hAnsi="Arial" w:cs="Arial"/>
                <w:color w:val="000000"/>
              </w:rPr>
            </w:pPr>
            <w:r>
              <w:rPr>
                <w:rFonts w:ascii="Arial" w:hAnsi="Arial" w:cs="Arial"/>
                <w:color w:val="000000"/>
              </w:rPr>
              <w:t>1</w:t>
            </w:r>
          </w:p>
        </w:tc>
        <w:tc>
          <w:tcPr>
            <w:tcW w:w="2410" w:type="dxa"/>
            <w:tcBorders>
              <w:top w:val="single" w:color="auto" w:sz="8" w:space="0"/>
              <w:left w:val="nil"/>
              <w:bottom w:val="single" w:color="auto" w:sz="4" w:space="0"/>
              <w:right w:val="single" w:color="auto" w:sz="4" w:space="0"/>
            </w:tcBorders>
            <w:vAlign w:val="center"/>
          </w:tcPr>
          <w:p w14:paraId="43DC7FF0">
            <w:pPr>
              <w:textAlignment w:val="center"/>
              <w:rPr>
                <w:rFonts w:ascii="Arial" w:hAnsi="Arial" w:cs="Arial"/>
                <w:color w:val="000000"/>
                <w:lang w:val="sr-Latn-ME"/>
              </w:rPr>
            </w:pPr>
            <w:r>
              <w:rPr>
                <w:rFonts w:ascii="Arial" w:hAnsi="Arial" w:cs="Arial"/>
                <w:color w:val="000000"/>
                <w:lang w:val="sr-Latn-ME"/>
              </w:rPr>
              <w:t>Prosječna srednja kotacijska cijena za ulje za loženje (</w:t>
            </w:r>
            <w:r>
              <w:rPr>
                <w:rFonts w:ascii="Arial" w:hAnsi="Arial" w:cs="Arial"/>
                <w:color w:val="000000"/>
              </w:rPr>
              <w:t>1.0</w:t>
            </w:r>
            <w:r>
              <w:rPr>
                <w:rFonts w:ascii="Arial" w:hAnsi="Arial" w:cs="Arial"/>
                <w:color w:val="000000"/>
                <w:lang w:val="sr-Latn-ME"/>
              </w:rPr>
              <w:t xml:space="preserve"> PCT prema PCT Platts European Marketscan kotacijama na paritetu FOB Med Italy), za period od </w:t>
            </w:r>
            <w:r>
              <w:rPr>
                <w:rFonts w:hint="default" w:ascii="Arial" w:hAnsi="Arial" w:cs="Arial"/>
                <w:color w:val="000000"/>
                <w:lang w:val="sr-Latn-ME"/>
              </w:rPr>
              <w:t>17.03</w:t>
            </w:r>
            <w:r>
              <w:rPr>
                <w:rFonts w:ascii="Arial" w:hAnsi="Arial" w:cs="Arial"/>
                <w:color w:val="000000"/>
                <w:lang w:val="sr-Latn-ME"/>
              </w:rPr>
              <w:t>.202</w:t>
            </w:r>
            <w:r>
              <w:rPr>
                <w:rFonts w:hint="default" w:ascii="Arial" w:hAnsi="Arial" w:cs="Arial"/>
                <w:color w:val="000000"/>
                <w:lang w:val="sr-Latn-ME"/>
              </w:rPr>
              <w:t>5</w:t>
            </w:r>
            <w:r>
              <w:rPr>
                <w:rFonts w:ascii="Arial" w:hAnsi="Arial" w:cs="Arial"/>
                <w:color w:val="000000"/>
                <w:lang w:val="sr-Latn-ME"/>
              </w:rPr>
              <w:t>-</w:t>
            </w:r>
            <w:r>
              <w:rPr>
                <w:rFonts w:hint="default" w:ascii="Arial" w:hAnsi="Arial" w:cs="Arial"/>
                <w:color w:val="000000"/>
                <w:lang w:val="sr-Latn-ME"/>
              </w:rPr>
              <w:t>21.03.2025</w:t>
            </w:r>
            <w:r>
              <w:rPr>
                <w:rFonts w:ascii="Arial" w:hAnsi="Arial" w:cs="Arial"/>
                <w:color w:val="000000"/>
                <w:lang w:val="sr-Latn-ME"/>
              </w:rPr>
              <w:t xml:space="preserve">. godine, obračunata po prosječnom prodajnom kursu USD, za period od </w:t>
            </w:r>
            <w:r>
              <w:rPr>
                <w:rFonts w:hint="default" w:ascii="Arial" w:hAnsi="Arial" w:cs="Arial"/>
                <w:color w:val="000000"/>
                <w:lang w:val="sr-Latn-ME"/>
              </w:rPr>
              <w:t>17.03.2025</w:t>
            </w:r>
            <w:r>
              <w:rPr>
                <w:rFonts w:ascii="Arial" w:hAnsi="Arial" w:cs="Arial"/>
                <w:color w:val="000000"/>
                <w:lang w:val="sr-Latn-ME"/>
              </w:rPr>
              <w:t>-</w:t>
            </w:r>
            <w:r>
              <w:rPr>
                <w:rFonts w:hint="default" w:ascii="Arial" w:hAnsi="Arial" w:cs="Arial"/>
                <w:color w:val="000000"/>
                <w:lang w:val="sr-Latn-ME"/>
              </w:rPr>
              <w:t>21.03.2025</w:t>
            </w:r>
            <w:r>
              <w:rPr>
                <w:rFonts w:ascii="Arial" w:hAnsi="Arial" w:cs="Arial"/>
                <w:color w:val="000000"/>
                <w:lang w:val="sr-Latn-ME"/>
              </w:rPr>
              <w:t xml:space="preserve">. godine </w:t>
            </w:r>
          </w:p>
        </w:tc>
        <w:tc>
          <w:tcPr>
            <w:tcW w:w="5760" w:type="dxa"/>
            <w:tcBorders>
              <w:top w:val="single" w:color="auto" w:sz="8" w:space="0"/>
              <w:left w:val="nil"/>
              <w:bottom w:val="single" w:color="auto" w:sz="4" w:space="0"/>
              <w:right w:val="single" w:color="auto" w:sz="4" w:space="0"/>
            </w:tcBorders>
            <w:vAlign w:val="center"/>
          </w:tcPr>
          <w:p w14:paraId="7D24EA95">
            <w:pPr>
              <w:jc w:val="center"/>
              <w:textAlignment w:val="center"/>
              <w:rPr>
                <w:rFonts w:ascii="Arial" w:hAnsi="Arial" w:cs="Arial"/>
                <w:color w:val="000000"/>
              </w:rPr>
            </w:pPr>
          </w:p>
        </w:tc>
      </w:tr>
      <w:tr w14:paraId="2455A890">
        <w:tblPrEx>
          <w:tblCellMar>
            <w:top w:w="0" w:type="dxa"/>
            <w:left w:w="108" w:type="dxa"/>
            <w:bottom w:w="0" w:type="dxa"/>
            <w:right w:w="108" w:type="dxa"/>
          </w:tblCellMar>
        </w:tblPrEx>
        <w:trPr>
          <w:trHeight w:val="623" w:hRule="atLeast"/>
        </w:trPr>
        <w:tc>
          <w:tcPr>
            <w:tcW w:w="630" w:type="dxa"/>
            <w:tcBorders>
              <w:top w:val="single" w:color="auto" w:sz="4" w:space="0"/>
              <w:left w:val="single" w:color="auto" w:sz="4" w:space="0"/>
              <w:bottom w:val="single" w:color="auto" w:sz="4" w:space="0"/>
              <w:right w:val="single" w:color="auto" w:sz="4" w:space="0"/>
            </w:tcBorders>
            <w:vAlign w:val="center"/>
          </w:tcPr>
          <w:p w14:paraId="7CC0FE2F">
            <w:pPr>
              <w:jc w:val="center"/>
              <w:rPr>
                <w:rFonts w:ascii="Arial" w:hAnsi="Arial" w:cs="Arial"/>
                <w:color w:val="000000"/>
                <w:lang w:val="sr-Latn-ME"/>
              </w:rPr>
            </w:pPr>
            <w:r>
              <w:rPr>
                <w:rFonts w:ascii="Arial" w:hAnsi="Arial" w:cs="Arial"/>
                <w:color w:val="000000"/>
                <w:lang w:val="sr-Latn-ME"/>
              </w:rPr>
              <w:t>2</w:t>
            </w:r>
          </w:p>
        </w:tc>
        <w:tc>
          <w:tcPr>
            <w:tcW w:w="2410" w:type="dxa"/>
            <w:tcBorders>
              <w:top w:val="single" w:color="auto" w:sz="4" w:space="0"/>
              <w:left w:val="nil"/>
              <w:bottom w:val="single" w:color="auto" w:sz="4" w:space="0"/>
              <w:right w:val="single" w:color="auto" w:sz="4" w:space="0"/>
            </w:tcBorders>
            <w:vAlign w:val="center"/>
          </w:tcPr>
          <w:p w14:paraId="12E458EC">
            <w:pPr>
              <w:textAlignment w:val="center"/>
              <w:rPr>
                <w:rFonts w:ascii="Arial" w:hAnsi="Arial" w:cs="Arial"/>
                <w:color w:val="000000"/>
                <w:lang w:val="sr-Latn-ME"/>
              </w:rPr>
            </w:pPr>
            <w:r>
              <w:rPr>
                <w:rFonts w:ascii="Arial" w:hAnsi="Arial" w:cs="Arial"/>
                <w:color w:val="000000"/>
                <w:lang w:val="sr-Latn-ME"/>
              </w:rPr>
              <w:t>Ostali troškovi</w:t>
            </w:r>
          </w:p>
        </w:tc>
        <w:tc>
          <w:tcPr>
            <w:tcW w:w="5760" w:type="dxa"/>
            <w:tcBorders>
              <w:top w:val="single" w:color="auto" w:sz="4" w:space="0"/>
              <w:left w:val="nil"/>
              <w:bottom w:val="single" w:color="auto" w:sz="4" w:space="0"/>
              <w:right w:val="single" w:color="auto" w:sz="4" w:space="0"/>
            </w:tcBorders>
            <w:vAlign w:val="center"/>
          </w:tcPr>
          <w:p w14:paraId="5D341559">
            <w:pPr>
              <w:jc w:val="center"/>
              <w:textAlignment w:val="center"/>
              <w:rPr>
                <w:rFonts w:ascii="Arial" w:hAnsi="Arial" w:cs="Arial"/>
                <w:color w:val="000000"/>
              </w:rPr>
            </w:pPr>
          </w:p>
        </w:tc>
      </w:tr>
      <w:tr w14:paraId="4193678B">
        <w:tblPrEx>
          <w:tblCellMar>
            <w:top w:w="0" w:type="dxa"/>
            <w:left w:w="108" w:type="dxa"/>
            <w:bottom w:w="0" w:type="dxa"/>
            <w:right w:w="108" w:type="dxa"/>
          </w:tblCellMar>
        </w:tblPrEx>
        <w:trPr>
          <w:trHeight w:val="623" w:hRule="atLeast"/>
        </w:trPr>
        <w:tc>
          <w:tcPr>
            <w:tcW w:w="3040" w:type="dxa"/>
            <w:gridSpan w:val="2"/>
            <w:tcBorders>
              <w:top w:val="single" w:color="auto" w:sz="4" w:space="0"/>
              <w:left w:val="single" w:color="auto" w:sz="4" w:space="0"/>
              <w:bottom w:val="single" w:color="auto" w:sz="4" w:space="0"/>
              <w:right w:val="single" w:color="auto" w:sz="4" w:space="0"/>
            </w:tcBorders>
          </w:tcPr>
          <w:p w14:paraId="05305A82">
            <w:pPr>
              <w:textAlignment w:val="center"/>
              <w:rPr>
                <w:rFonts w:ascii="Arial" w:hAnsi="Arial" w:cs="Arial"/>
                <w:color w:val="000000"/>
                <w:lang w:val="sr-Latn-ME"/>
              </w:rPr>
            </w:pPr>
            <w:r>
              <w:rPr>
                <w:rFonts w:ascii="Arial" w:hAnsi="Arial" w:cs="Arial"/>
                <w:color w:val="000000"/>
                <w:lang w:val="sr-Latn-ME"/>
              </w:rPr>
              <w:t>Cijena po jednoj toni bitumena</w:t>
            </w:r>
            <w:r>
              <w:rPr>
                <w:rFonts w:hint="default" w:ascii="Arial" w:hAnsi="Arial" w:cs="Arial"/>
                <w:color w:val="000000"/>
                <w:lang w:val="sr-Latn-ME"/>
              </w:rPr>
              <w:t xml:space="preserve"> bez PDV-a,</w:t>
            </w:r>
            <w:r>
              <w:rPr>
                <w:rFonts w:ascii="Arial" w:hAnsi="Arial" w:cs="Arial"/>
                <w:color w:val="000000"/>
                <w:lang w:val="sr-Latn-ME"/>
              </w:rPr>
              <w:t xml:space="preserve"> sa svim uračunatim troškovima navedenim u tabeli:</w:t>
            </w:r>
          </w:p>
        </w:tc>
        <w:tc>
          <w:tcPr>
            <w:tcW w:w="5760" w:type="dxa"/>
            <w:tcBorders>
              <w:top w:val="single" w:color="auto" w:sz="4" w:space="0"/>
              <w:left w:val="single" w:color="auto" w:sz="4" w:space="0"/>
              <w:bottom w:val="single" w:color="auto" w:sz="4" w:space="0"/>
              <w:right w:val="single" w:color="auto" w:sz="4" w:space="0"/>
            </w:tcBorders>
            <w:vAlign w:val="center"/>
          </w:tcPr>
          <w:p w14:paraId="2B0CD790">
            <w:pPr>
              <w:jc w:val="center"/>
              <w:textAlignment w:val="center"/>
              <w:rPr>
                <w:rFonts w:ascii="Arial" w:hAnsi="Arial" w:cs="Arial"/>
                <w:color w:val="000000"/>
                <w:lang w:val="sr-Latn-ME"/>
              </w:rPr>
            </w:pPr>
          </w:p>
        </w:tc>
      </w:tr>
    </w:tbl>
    <w:p w14:paraId="4EF80661">
      <w:pPr>
        <w:jc w:val="both"/>
        <w:rPr>
          <w:rFonts w:ascii="Arial" w:hAnsi="Arial" w:cs="Arial"/>
          <w:color w:val="000000"/>
        </w:rPr>
      </w:pPr>
    </w:p>
    <w:p w14:paraId="1C198AA3">
      <w:pPr>
        <w:jc w:val="both"/>
        <w:rPr>
          <w:rFonts w:ascii="Arial" w:hAnsi="Arial" w:cs="Arial"/>
          <w:color w:val="000000"/>
        </w:rPr>
      </w:pPr>
    </w:p>
    <w:p w14:paraId="1AE84910">
      <w:pPr>
        <w:jc w:val="both"/>
        <w:rPr>
          <w:rFonts w:ascii="Arial" w:hAnsi="Arial" w:cs="Arial"/>
          <w:color w:val="000000"/>
        </w:rPr>
      </w:pPr>
    </w:p>
    <w:p w14:paraId="5C47A6FB">
      <w:pPr>
        <w:jc w:val="both"/>
        <w:rPr>
          <w:rFonts w:ascii="Arial" w:hAnsi="Arial" w:cs="Arial"/>
          <w:color w:val="000000"/>
        </w:rPr>
      </w:pPr>
    </w:p>
    <w:p w14:paraId="43DDBF8E">
      <w:pPr>
        <w:jc w:val="both"/>
        <w:rPr>
          <w:rFonts w:ascii="Arial" w:hAnsi="Arial" w:cs="Arial"/>
          <w:color w:val="000000"/>
        </w:rPr>
      </w:pPr>
    </w:p>
    <w:p w14:paraId="2D0A724B">
      <w:pPr>
        <w:jc w:val="both"/>
        <w:rPr>
          <w:rFonts w:ascii="Arial" w:hAnsi="Arial" w:cs="Arial"/>
          <w:color w:val="000000"/>
        </w:rPr>
      </w:pPr>
    </w:p>
    <w:p w14:paraId="04CF7A92">
      <w:pPr>
        <w:jc w:val="both"/>
        <w:rPr>
          <w:rFonts w:ascii="Arial" w:hAnsi="Arial" w:cs="Arial"/>
          <w:color w:val="000000"/>
        </w:rPr>
      </w:pPr>
    </w:p>
    <w:p w14:paraId="2902ED48">
      <w:pPr>
        <w:jc w:val="both"/>
        <w:rPr>
          <w:rFonts w:ascii="Arial" w:hAnsi="Arial" w:cs="Arial"/>
          <w:color w:val="000000"/>
        </w:rPr>
      </w:pPr>
    </w:p>
    <w:p w14:paraId="7055A40B">
      <w:pPr>
        <w:jc w:val="both"/>
        <w:rPr>
          <w:rFonts w:ascii="Arial" w:hAnsi="Arial" w:cs="Arial"/>
          <w:color w:val="000000"/>
        </w:rPr>
      </w:pPr>
    </w:p>
    <w:p w14:paraId="20831F60">
      <w:pPr>
        <w:jc w:val="both"/>
        <w:rPr>
          <w:rFonts w:ascii="Arial" w:hAnsi="Arial" w:cs="Arial"/>
          <w:color w:val="000000"/>
        </w:rPr>
      </w:pPr>
    </w:p>
    <w:p w14:paraId="61577692">
      <w:pPr>
        <w:jc w:val="both"/>
        <w:rPr>
          <w:rFonts w:ascii="Arial" w:hAnsi="Arial" w:cs="Arial"/>
          <w:color w:val="000000"/>
        </w:rPr>
      </w:pPr>
    </w:p>
    <w:p w14:paraId="736CB0ED">
      <w:pPr>
        <w:jc w:val="both"/>
        <w:rPr>
          <w:rFonts w:ascii="Arial" w:hAnsi="Arial" w:cs="Arial"/>
          <w:color w:val="000000"/>
        </w:rPr>
      </w:pPr>
    </w:p>
    <w:p w14:paraId="2BCC77E6">
      <w:pPr>
        <w:jc w:val="both"/>
        <w:rPr>
          <w:rFonts w:ascii="Arial" w:hAnsi="Arial" w:cs="Arial"/>
          <w:color w:val="000000"/>
        </w:rPr>
      </w:pPr>
    </w:p>
    <w:p w14:paraId="5E207983">
      <w:pPr>
        <w:jc w:val="both"/>
        <w:rPr>
          <w:rFonts w:ascii="Arial" w:hAnsi="Arial" w:cs="Arial"/>
          <w:color w:val="000000"/>
          <w:lang w:val="sr-Latn-ME"/>
        </w:rPr>
      </w:pPr>
      <w:r>
        <w:rPr>
          <w:rFonts w:ascii="Arial" w:hAnsi="Arial" w:cs="Arial"/>
          <w:color w:val="000000"/>
        </w:rPr>
        <w:t xml:space="preserve">                                                                           Ovla</w:t>
      </w:r>
      <w:r>
        <w:rPr>
          <w:rFonts w:ascii="Arial" w:hAnsi="Arial" w:cs="Arial"/>
          <w:color w:val="000000"/>
          <w:lang w:val="sr-Latn-ME"/>
        </w:rPr>
        <w:t>šćeno lice ponuđača:</w:t>
      </w:r>
    </w:p>
    <w:p w14:paraId="1EE270F5">
      <w:pPr>
        <w:jc w:val="both"/>
        <w:rPr>
          <w:rFonts w:ascii="Arial" w:hAnsi="Arial" w:cs="Arial"/>
          <w:color w:val="000000"/>
          <w:lang w:val="sr-Latn-ME"/>
        </w:rPr>
      </w:pPr>
      <w:r>
        <w:rPr>
          <w:rFonts w:ascii="Arial" w:hAnsi="Arial" w:cs="Arial"/>
          <w:color w:val="000000"/>
          <w:lang w:val="sr-Latn-ME"/>
        </w:rPr>
        <w:t xml:space="preserve">                                               M.P.</w:t>
      </w:r>
    </w:p>
    <w:p w14:paraId="70141CBA">
      <w:pPr>
        <w:spacing w:line="259" w:lineRule="auto"/>
        <w:rPr>
          <w:rFonts w:ascii="Arial" w:hAnsi="Arial" w:eastAsia="sans-serif" w:cs="Arial"/>
        </w:rPr>
      </w:pPr>
      <w:r>
        <w:rPr>
          <w:rFonts w:ascii="Arial" w:hAnsi="Arial" w:cs="Arial"/>
          <w:color w:val="000000"/>
          <w:lang w:val="sr-Latn-ME"/>
        </w:rPr>
        <w:t xml:space="preserve">                                                                         </w:t>
      </w:r>
      <w:r>
        <w:rPr>
          <w:b/>
        </w:rPr>
        <w:t xml:space="preserve"> _________________________ </w:t>
      </w:r>
    </w:p>
    <w:p w14:paraId="7ADA0D9F">
      <w:pPr>
        <w:jc w:val="both"/>
        <w:rPr>
          <w:rFonts w:ascii="Arial" w:hAnsi="Arial" w:eastAsia="sans-serif" w:cs="Arial"/>
        </w:rPr>
      </w:pPr>
    </w:p>
    <w:p w14:paraId="6225190D">
      <w:pPr>
        <w:jc w:val="both"/>
        <w:rPr>
          <w:rFonts w:ascii="Arial" w:hAnsi="Arial" w:eastAsia="sans-serif" w:cs="Arial"/>
        </w:rPr>
      </w:pPr>
    </w:p>
    <w:p w14:paraId="4667D35C">
      <w:pPr>
        <w:jc w:val="both"/>
        <w:rPr>
          <w:rFonts w:ascii="Arial" w:hAnsi="Arial" w:eastAsia="sans-serif" w:cs="Arial"/>
        </w:rPr>
      </w:pPr>
    </w:p>
    <w:p w14:paraId="64646F1C">
      <w:pPr>
        <w:jc w:val="both"/>
        <w:rPr>
          <w:rFonts w:ascii="Arial" w:hAnsi="Arial" w:eastAsia="sans-serif" w:cs="Arial"/>
        </w:rPr>
      </w:pPr>
    </w:p>
    <w:p w14:paraId="1D923A34">
      <w:pPr>
        <w:jc w:val="both"/>
        <w:rPr>
          <w:rFonts w:ascii="Arial" w:hAnsi="Arial" w:eastAsia="sans-serif" w:cs="Arial"/>
        </w:rPr>
      </w:pPr>
    </w:p>
    <w:p w14:paraId="1A498FD0">
      <w:pPr>
        <w:keepNext/>
        <w:keepLines/>
        <w:numPr>
          <w:ilvl w:val="0"/>
          <w:numId w:val="8"/>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rPr>
      </w:pPr>
      <w:bookmarkStart w:id="13" w:name="_Toc62730566"/>
      <w:r>
        <w:rPr>
          <w:rFonts w:ascii="Arial" w:hAnsi="Arial" w:cs="Arial"/>
          <w:b/>
        </w:rPr>
        <w:t>ZAHTJEV ZA POJAŠNJENJE ILI IZMJENU I DOPUNU TENDERSKE DOKUMENTACIJE</w:t>
      </w:r>
      <w:bookmarkEnd w:id="13"/>
    </w:p>
    <w:p w14:paraId="131EEC91">
      <w:pPr>
        <w:jc w:val="both"/>
        <w:rPr>
          <w:rFonts w:ascii="Arial" w:hAnsi="Arial" w:cs="Arial"/>
        </w:rPr>
      </w:pPr>
    </w:p>
    <w:p w14:paraId="24662D86">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EED4604">
      <w:pPr>
        <w:jc w:val="both"/>
        <w:rPr>
          <w:rFonts w:ascii="Arial" w:hAnsi="Arial" w:cs="Arial"/>
        </w:rPr>
      </w:pPr>
    </w:p>
    <w:p w14:paraId="6FA40D92">
      <w:pPr>
        <w:jc w:val="both"/>
        <w:rPr>
          <w:rFonts w:ascii="Arial" w:hAnsi="Arial" w:cs="Arial"/>
        </w:rPr>
      </w:pPr>
      <w:r>
        <w:rPr>
          <w:rFonts w:ascii="Arial" w:hAnsi="Arial" w:cs="Arial"/>
        </w:rPr>
        <w:t>Privredni subjekat ima pravo da pisanim zahtjevom traži od naručioca pojašnjenje tenderske dokumentacije najkasnije deset dana prije isteka roka određenog za dostavljanje ponuda.</w:t>
      </w:r>
    </w:p>
    <w:p w14:paraId="03A99FA4">
      <w:pPr>
        <w:jc w:val="both"/>
        <w:rPr>
          <w:rFonts w:ascii="Arial" w:hAnsi="Arial" w:cs="Arial"/>
        </w:rPr>
      </w:pPr>
    </w:p>
    <w:p w14:paraId="1D5E04F6">
      <w:pPr>
        <w:jc w:val="both"/>
        <w:rPr>
          <w:rFonts w:ascii="Arial" w:hAnsi="Arial" w:cs="Arial"/>
          <w:color w:val="000000"/>
        </w:rPr>
      </w:pPr>
      <w:r>
        <w:rPr>
          <w:rFonts w:ascii="Arial" w:hAnsi="Arial" w:cs="Arial"/>
          <w:color w:val="000000"/>
        </w:rPr>
        <w:t>Zahtjev se podnosi isključivo putem ESJN-a.</w:t>
      </w:r>
    </w:p>
    <w:p w14:paraId="3AF1158D">
      <w:pPr>
        <w:jc w:val="both"/>
        <w:rPr>
          <w:rFonts w:ascii="Arial" w:hAnsi="Arial" w:cs="Arial"/>
          <w:color w:val="000000"/>
        </w:rPr>
      </w:pPr>
    </w:p>
    <w:p w14:paraId="4DD4A74D">
      <w:pPr>
        <w:jc w:val="both"/>
        <w:rPr>
          <w:rFonts w:ascii="Arial" w:hAnsi="Arial" w:cs="Arial"/>
          <w:color w:val="000000"/>
        </w:rPr>
      </w:pPr>
    </w:p>
    <w:p w14:paraId="72231015">
      <w:pPr>
        <w:jc w:val="both"/>
        <w:rPr>
          <w:rFonts w:ascii="Arial" w:hAnsi="Arial" w:cs="Arial"/>
          <w:color w:val="000000"/>
        </w:rPr>
      </w:pPr>
    </w:p>
    <w:p w14:paraId="462CF109">
      <w:pPr>
        <w:jc w:val="both"/>
        <w:rPr>
          <w:rFonts w:ascii="Arial" w:hAnsi="Arial" w:cs="Arial"/>
          <w:color w:val="000000"/>
        </w:rPr>
      </w:pPr>
    </w:p>
    <w:p w14:paraId="4527C667">
      <w:pPr>
        <w:jc w:val="both"/>
        <w:rPr>
          <w:rFonts w:ascii="Arial" w:hAnsi="Arial" w:cs="Arial"/>
          <w:color w:val="000000"/>
        </w:rPr>
      </w:pPr>
    </w:p>
    <w:p w14:paraId="21F338FC">
      <w:pPr>
        <w:jc w:val="both"/>
        <w:rPr>
          <w:rFonts w:ascii="Arial" w:hAnsi="Arial" w:cs="Arial"/>
          <w:color w:val="000000"/>
        </w:rPr>
      </w:pPr>
    </w:p>
    <w:p w14:paraId="0ADDCDAD">
      <w:pPr>
        <w:jc w:val="both"/>
        <w:rPr>
          <w:rFonts w:ascii="Arial" w:hAnsi="Arial" w:cs="Arial"/>
          <w:color w:val="000000"/>
        </w:rPr>
      </w:pPr>
    </w:p>
    <w:p w14:paraId="7A282D2D">
      <w:pPr>
        <w:jc w:val="both"/>
        <w:rPr>
          <w:rFonts w:ascii="Arial" w:hAnsi="Arial" w:cs="Arial"/>
          <w:color w:val="000000"/>
        </w:rPr>
      </w:pPr>
    </w:p>
    <w:p w14:paraId="725A148D">
      <w:pPr>
        <w:jc w:val="both"/>
        <w:rPr>
          <w:rFonts w:ascii="Arial" w:hAnsi="Arial" w:cs="Arial"/>
          <w:color w:val="000000"/>
        </w:rPr>
      </w:pPr>
    </w:p>
    <w:p w14:paraId="04D35325">
      <w:pPr>
        <w:jc w:val="both"/>
        <w:rPr>
          <w:rFonts w:ascii="Arial" w:hAnsi="Arial" w:cs="Arial"/>
          <w:color w:val="000000"/>
        </w:rPr>
      </w:pPr>
    </w:p>
    <w:p w14:paraId="3A2977E7">
      <w:pPr>
        <w:jc w:val="both"/>
        <w:rPr>
          <w:rFonts w:ascii="Arial" w:hAnsi="Arial" w:cs="Arial"/>
          <w:color w:val="000000"/>
        </w:rPr>
      </w:pPr>
    </w:p>
    <w:p w14:paraId="63E99B01">
      <w:pPr>
        <w:jc w:val="both"/>
        <w:rPr>
          <w:rFonts w:ascii="Arial" w:hAnsi="Arial" w:cs="Arial"/>
          <w:color w:val="000000"/>
        </w:rPr>
      </w:pPr>
    </w:p>
    <w:p w14:paraId="13EC5726">
      <w:pPr>
        <w:jc w:val="both"/>
        <w:rPr>
          <w:rFonts w:ascii="Arial" w:hAnsi="Arial" w:cs="Arial"/>
          <w:color w:val="000000"/>
        </w:rPr>
      </w:pPr>
    </w:p>
    <w:p w14:paraId="6CD801DA">
      <w:pPr>
        <w:jc w:val="both"/>
        <w:rPr>
          <w:rFonts w:ascii="Arial" w:hAnsi="Arial" w:cs="Arial"/>
          <w:color w:val="000000"/>
        </w:rPr>
      </w:pPr>
    </w:p>
    <w:p w14:paraId="35CBF91D">
      <w:pPr>
        <w:jc w:val="both"/>
        <w:rPr>
          <w:rFonts w:ascii="Arial" w:hAnsi="Arial" w:cs="Arial"/>
          <w:color w:val="000000"/>
        </w:rPr>
      </w:pPr>
    </w:p>
    <w:p w14:paraId="6D209D2E">
      <w:pPr>
        <w:jc w:val="both"/>
        <w:rPr>
          <w:rFonts w:ascii="Arial" w:hAnsi="Arial" w:cs="Arial"/>
          <w:color w:val="000000"/>
        </w:rPr>
      </w:pPr>
    </w:p>
    <w:p w14:paraId="173AF123">
      <w:pPr>
        <w:jc w:val="both"/>
        <w:rPr>
          <w:rFonts w:ascii="Arial" w:hAnsi="Arial" w:cs="Arial"/>
          <w:color w:val="000000"/>
        </w:rPr>
      </w:pPr>
    </w:p>
    <w:p w14:paraId="4B419645">
      <w:pPr>
        <w:jc w:val="both"/>
        <w:rPr>
          <w:rFonts w:ascii="Arial" w:hAnsi="Arial" w:cs="Arial"/>
          <w:color w:val="000000"/>
        </w:rPr>
      </w:pPr>
    </w:p>
    <w:p w14:paraId="2E2EA4A4">
      <w:pPr>
        <w:jc w:val="both"/>
        <w:rPr>
          <w:rFonts w:ascii="Arial" w:hAnsi="Arial" w:cs="Arial"/>
          <w:color w:val="000000"/>
        </w:rPr>
      </w:pPr>
    </w:p>
    <w:p w14:paraId="4E6EFDAC">
      <w:pPr>
        <w:jc w:val="both"/>
        <w:rPr>
          <w:rFonts w:ascii="Arial" w:hAnsi="Arial" w:cs="Arial"/>
          <w:color w:val="000000"/>
        </w:rPr>
      </w:pPr>
    </w:p>
    <w:p w14:paraId="13067E03">
      <w:pPr>
        <w:jc w:val="both"/>
        <w:rPr>
          <w:rFonts w:ascii="Arial" w:hAnsi="Arial" w:cs="Arial"/>
          <w:color w:val="000000"/>
        </w:rPr>
      </w:pPr>
    </w:p>
    <w:p w14:paraId="7B1CFA59">
      <w:pPr>
        <w:jc w:val="both"/>
        <w:rPr>
          <w:rFonts w:ascii="Arial" w:hAnsi="Arial" w:cs="Arial"/>
          <w:color w:val="000000"/>
        </w:rPr>
      </w:pPr>
    </w:p>
    <w:p w14:paraId="21BD308E">
      <w:pPr>
        <w:jc w:val="both"/>
        <w:rPr>
          <w:rFonts w:ascii="Arial" w:hAnsi="Arial" w:cs="Arial"/>
          <w:color w:val="000000"/>
        </w:rPr>
      </w:pPr>
    </w:p>
    <w:p w14:paraId="71FC73C0">
      <w:pPr>
        <w:jc w:val="both"/>
        <w:rPr>
          <w:rFonts w:ascii="Arial" w:hAnsi="Arial" w:cs="Arial"/>
          <w:color w:val="000000"/>
        </w:rPr>
      </w:pPr>
    </w:p>
    <w:p w14:paraId="7CF1877B">
      <w:pPr>
        <w:jc w:val="both"/>
        <w:rPr>
          <w:rFonts w:ascii="Arial" w:hAnsi="Arial" w:cs="Arial"/>
          <w:color w:val="000000"/>
        </w:rPr>
      </w:pPr>
    </w:p>
    <w:p w14:paraId="58E767E7">
      <w:pPr>
        <w:jc w:val="both"/>
        <w:rPr>
          <w:rFonts w:ascii="Arial" w:hAnsi="Arial" w:cs="Arial"/>
          <w:color w:val="000000"/>
        </w:rPr>
      </w:pPr>
    </w:p>
    <w:p w14:paraId="4089EA40">
      <w:pPr>
        <w:jc w:val="both"/>
        <w:rPr>
          <w:rFonts w:ascii="Arial" w:hAnsi="Arial" w:cs="Arial"/>
          <w:color w:val="000000"/>
        </w:rPr>
      </w:pPr>
    </w:p>
    <w:p w14:paraId="05EC7138">
      <w:pPr>
        <w:jc w:val="both"/>
        <w:rPr>
          <w:rFonts w:ascii="Arial" w:hAnsi="Arial" w:cs="Arial"/>
          <w:color w:val="000000"/>
        </w:rPr>
      </w:pPr>
    </w:p>
    <w:p w14:paraId="5AC02E42">
      <w:pPr>
        <w:jc w:val="both"/>
        <w:rPr>
          <w:rFonts w:ascii="Arial" w:hAnsi="Arial" w:cs="Arial"/>
          <w:color w:val="000000"/>
        </w:rPr>
      </w:pPr>
    </w:p>
    <w:p w14:paraId="19BB8DAB">
      <w:pPr>
        <w:jc w:val="both"/>
        <w:rPr>
          <w:rFonts w:ascii="Arial" w:hAnsi="Arial" w:cs="Arial"/>
          <w:color w:val="000000"/>
        </w:rPr>
      </w:pPr>
    </w:p>
    <w:p w14:paraId="4B369DFB">
      <w:pPr>
        <w:jc w:val="both"/>
        <w:rPr>
          <w:rFonts w:ascii="Arial" w:hAnsi="Arial" w:cs="Arial"/>
          <w:color w:val="000000"/>
        </w:rPr>
      </w:pPr>
    </w:p>
    <w:p w14:paraId="09577D41">
      <w:pPr>
        <w:keepNext/>
        <w:keepLines/>
        <w:numPr>
          <w:ilvl w:val="0"/>
          <w:numId w:val="8"/>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color w:val="000000"/>
          <w:u w:val="single"/>
        </w:rPr>
      </w:pPr>
      <w:bookmarkStart w:id="14" w:name="_Toc62730567"/>
      <w:bookmarkStart w:id="15" w:name="_Toc416180136"/>
      <w:bookmarkStart w:id="16" w:name="_Toc508349235"/>
      <w:r>
        <w:rPr>
          <w:rFonts w:ascii="Arial" w:hAnsi="Arial" w:cs="Arial"/>
          <w:b/>
        </w:rPr>
        <w:t>IZJAVA NARUČIOCA O NEPOSTOJANJU SUKOBA INTERESA</w:t>
      </w:r>
      <w:bookmarkEnd w:id="14"/>
      <w:bookmarkEnd w:id="15"/>
      <w:bookmarkEnd w:id="16"/>
    </w:p>
    <w:p w14:paraId="7C6CDCA2">
      <w:pPr>
        <w:tabs>
          <w:tab w:val="left" w:pos="1701"/>
          <w:tab w:val="left" w:pos="4820"/>
        </w:tabs>
        <w:jc w:val="both"/>
        <w:rPr>
          <w:rFonts w:hint="default" w:ascii="Arial" w:hAnsi="Arial" w:cs="Arial"/>
          <w:color w:val="000000"/>
          <w:sz w:val="22"/>
          <w:szCs w:val="22"/>
          <w:lang w:val="sr-Latn-ME"/>
        </w:rPr>
      </w:pPr>
      <w:r>
        <w:rPr>
          <w:rFonts w:hint="default" w:ascii="Arial" w:hAnsi="Arial" w:cs="Arial"/>
          <w:color w:val="000000"/>
          <w:sz w:val="22"/>
          <w:szCs w:val="22"/>
          <w:lang w:val="sr-Latn-ME"/>
        </w:rPr>
        <w:t>Putevi doo Podgorica</w:t>
      </w:r>
    </w:p>
    <w:p w14:paraId="775931A1">
      <w:pPr>
        <w:jc w:val="both"/>
        <w:rPr>
          <w:rFonts w:hint="default" w:ascii="Arial" w:hAnsi="Arial" w:cs="Arial"/>
          <w:color w:val="000000"/>
          <w:sz w:val="22"/>
          <w:szCs w:val="22"/>
          <w:lang w:val="sr-Latn-ME"/>
        </w:rPr>
      </w:pPr>
      <w:r>
        <w:rPr>
          <w:rFonts w:hint="default" w:ascii="Arial" w:hAnsi="Arial" w:cs="Arial"/>
          <w:color w:val="000000"/>
          <w:sz w:val="22"/>
          <w:szCs w:val="22"/>
        </w:rPr>
        <w:t xml:space="preserve">Broj: </w:t>
      </w:r>
      <w:r>
        <w:rPr>
          <w:rFonts w:hint="default" w:ascii="Arial" w:hAnsi="Arial" w:cs="Arial"/>
          <w:color w:val="000000"/>
          <w:sz w:val="22"/>
          <w:szCs w:val="22"/>
          <w:lang w:val="sr-Latn-ME"/>
        </w:rPr>
        <w:t>2656</w:t>
      </w:r>
    </w:p>
    <w:p w14:paraId="33D1D437">
      <w:pPr>
        <w:jc w:val="both"/>
        <w:rPr>
          <w:rFonts w:hint="default" w:ascii="Arial" w:hAnsi="Arial" w:cs="Arial"/>
          <w:color w:val="000000"/>
          <w:sz w:val="22"/>
          <w:szCs w:val="22"/>
          <w:lang w:val="sr-Latn-ME"/>
        </w:rPr>
      </w:pPr>
      <w:r>
        <w:rPr>
          <w:rFonts w:hint="default" w:ascii="Arial" w:hAnsi="Arial" w:cs="Arial"/>
          <w:color w:val="000000"/>
          <w:sz w:val="22"/>
          <w:szCs w:val="22"/>
        </w:rPr>
        <w:t>Mjesto i datum:</w:t>
      </w:r>
      <w:r>
        <w:rPr>
          <w:rFonts w:hint="default" w:ascii="Arial" w:hAnsi="Arial" w:cs="Arial"/>
          <w:color w:val="000000"/>
          <w:sz w:val="22"/>
          <w:szCs w:val="22"/>
          <w:lang w:val="sr-Latn-ME"/>
        </w:rPr>
        <w:t xml:space="preserve"> Podgorica, 05.03. 2025.godine</w:t>
      </w:r>
    </w:p>
    <w:p w14:paraId="13C71D05">
      <w:pPr>
        <w:jc w:val="both"/>
        <w:rPr>
          <w:rFonts w:hint="default" w:ascii="Arial" w:hAnsi="Arial" w:cs="Arial"/>
          <w:b/>
          <w:bCs/>
          <w:color w:val="000000"/>
          <w:sz w:val="22"/>
          <w:szCs w:val="22"/>
        </w:rPr>
      </w:pPr>
    </w:p>
    <w:p w14:paraId="58B116E4">
      <w:pPr>
        <w:tabs>
          <w:tab w:val="left" w:pos="3290"/>
        </w:tabs>
        <w:ind w:firstLine="708"/>
        <w:jc w:val="both"/>
        <w:rPr>
          <w:rFonts w:hint="default" w:ascii="Arial" w:hAnsi="Arial" w:cs="Arial"/>
          <w:color w:val="000000"/>
          <w:sz w:val="22"/>
          <w:szCs w:val="22"/>
        </w:rPr>
      </w:pPr>
      <w:r>
        <w:rPr>
          <w:rFonts w:hint="default" w:ascii="Arial" w:hAnsi="Arial" w:cs="Arial"/>
          <w:color w:val="000000"/>
          <w:sz w:val="22"/>
          <w:szCs w:val="22"/>
        </w:rPr>
        <w:t>U skladu sa članom 43 stav 1 Zakona o javnim nabavkama („Službeni list CG”, br.74/19</w:t>
      </w:r>
      <w:r>
        <w:rPr>
          <w:rFonts w:hint="default" w:ascii="Arial" w:hAnsi="Arial" w:cs="Arial"/>
          <w:color w:val="000000"/>
          <w:sz w:val="22"/>
          <w:szCs w:val="22"/>
          <w:lang w:val="sr-Latn-ME"/>
        </w:rPr>
        <w:t xml:space="preserve"> i 3/23</w:t>
      </w:r>
      <w:r>
        <w:rPr>
          <w:rFonts w:hint="default" w:ascii="Arial" w:hAnsi="Arial" w:cs="Arial"/>
          <w:color w:val="000000"/>
          <w:sz w:val="22"/>
          <w:szCs w:val="22"/>
        </w:rPr>
        <w:t xml:space="preserve">), </w:t>
      </w:r>
    </w:p>
    <w:p w14:paraId="1CC80D02">
      <w:pPr>
        <w:tabs>
          <w:tab w:val="left" w:pos="3290"/>
        </w:tabs>
        <w:jc w:val="center"/>
        <w:rPr>
          <w:rFonts w:hint="default" w:ascii="Arial" w:hAnsi="Arial" w:cs="Arial"/>
          <w:b/>
          <w:bCs/>
          <w:color w:val="000000"/>
          <w:sz w:val="22"/>
          <w:szCs w:val="22"/>
        </w:rPr>
      </w:pPr>
      <w:r>
        <w:rPr>
          <w:rFonts w:hint="default" w:ascii="Arial" w:hAnsi="Arial" w:cs="Arial"/>
          <w:b/>
          <w:bCs/>
          <w:color w:val="000000"/>
          <w:sz w:val="22"/>
          <w:szCs w:val="22"/>
        </w:rPr>
        <w:t>Izjavljujem</w:t>
      </w:r>
    </w:p>
    <w:p w14:paraId="41A7D9F2">
      <w:pPr>
        <w:tabs>
          <w:tab w:val="left" w:pos="3290"/>
        </w:tabs>
        <w:jc w:val="both"/>
        <w:rPr>
          <w:rFonts w:hint="default" w:ascii="Arial" w:hAnsi="Arial" w:cs="Arial"/>
          <w:color w:val="000000"/>
          <w:sz w:val="22"/>
          <w:szCs w:val="22"/>
        </w:rPr>
      </w:pPr>
    </w:p>
    <w:p w14:paraId="263F1CEC">
      <w:pPr>
        <w:tabs>
          <w:tab w:val="left" w:pos="3290"/>
        </w:tabs>
        <w:jc w:val="both"/>
        <w:rPr>
          <w:rFonts w:hint="default" w:ascii="Arial" w:hAnsi="Arial" w:cs="Arial"/>
          <w:color w:val="000000"/>
          <w:sz w:val="22"/>
          <w:szCs w:val="22"/>
        </w:rPr>
      </w:pPr>
      <w:r>
        <w:rPr>
          <w:rFonts w:hint="default" w:ascii="Arial" w:hAnsi="Arial" w:cs="Arial"/>
          <w:color w:val="000000"/>
          <w:sz w:val="22"/>
          <w:szCs w:val="22"/>
        </w:rPr>
        <w:t xml:space="preserve">da u postupku javne nabavke redni broj </w:t>
      </w:r>
      <w:r>
        <w:rPr>
          <w:rFonts w:hint="default" w:ascii="Arial" w:hAnsi="Arial" w:cs="Arial"/>
          <w:color w:val="000000"/>
          <w:sz w:val="22"/>
          <w:szCs w:val="22"/>
          <w:lang w:val="sr-Latn-ME"/>
        </w:rPr>
        <w:t>14</w:t>
      </w:r>
      <w:r>
        <w:rPr>
          <w:rFonts w:hint="default" w:ascii="Arial" w:hAnsi="Arial" w:cs="Arial"/>
          <w:color w:val="000000"/>
          <w:sz w:val="22"/>
          <w:szCs w:val="22"/>
        </w:rPr>
        <w:t xml:space="preserve"> iz Plana javn</w:t>
      </w:r>
      <w:r>
        <w:rPr>
          <w:rFonts w:hint="default" w:ascii="Arial" w:hAnsi="Arial" w:cs="Arial"/>
          <w:color w:val="000000"/>
          <w:sz w:val="22"/>
          <w:szCs w:val="22"/>
          <w:lang w:val="sr-Latn-ME"/>
        </w:rPr>
        <w:t>ih</w:t>
      </w:r>
      <w:r>
        <w:rPr>
          <w:rFonts w:hint="default" w:ascii="Arial" w:hAnsi="Arial" w:cs="Arial"/>
          <w:color w:val="000000"/>
          <w:sz w:val="22"/>
          <w:szCs w:val="22"/>
        </w:rPr>
        <w:t xml:space="preserve"> nabavk</w:t>
      </w:r>
      <w:r>
        <w:rPr>
          <w:rFonts w:hint="default" w:ascii="Arial" w:hAnsi="Arial" w:cs="Arial"/>
          <w:color w:val="000000"/>
          <w:sz w:val="22"/>
          <w:szCs w:val="22"/>
          <w:lang w:val="sr-Latn-ME"/>
        </w:rPr>
        <w:t>i</w:t>
      </w:r>
      <w:r>
        <w:rPr>
          <w:rFonts w:hint="default" w:ascii="Arial" w:hAnsi="Arial" w:cs="Arial"/>
          <w:color w:val="000000"/>
          <w:sz w:val="22"/>
          <w:szCs w:val="22"/>
        </w:rPr>
        <w:t xml:space="preserve"> </w:t>
      </w:r>
      <w:r>
        <w:rPr>
          <w:rFonts w:hint="default" w:ascii="Arial" w:hAnsi="Arial" w:cs="Arial"/>
          <w:sz w:val="22"/>
          <w:szCs w:val="22"/>
        </w:rPr>
        <w:t xml:space="preserve">br. </w:t>
      </w:r>
      <w:r>
        <w:rPr>
          <w:rFonts w:hint="default" w:ascii="Arial" w:hAnsi="Arial" w:cs="Arial"/>
          <w:sz w:val="22"/>
          <w:szCs w:val="22"/>
          <w:lang w:val="sr-Latn-ME"/>
        </w:rPr>
        <w:t>22147</w:t>
      </w:r>
      <w:r>
        <w:rPr>
          <w:rFonts w:hint="default" w:ascii="Arial" w:hAnsi="Arial" w:cs="Arial"/>
          <w:sz w:val="22"/>
          <w:szCs w:val="22"/>
        </w:rPr>
        <w:t>,</w:t>
      </w:r>
      <w:r>
        <w:rPr>
          <w:rFonts w:hint="default" w:ascii="Arial" w:hAnsi="Arial" w:cs="Arial"/>
          <w:sz w:val="22"/>
          <w:szCs w:val="22"/>
          <w:lang w:val="pl-PL"/>
        </w:rPr>
        <w:t xml:space="preserve"> objavljenog na portalu  </w:t>
      </w:r>
      <w:r>
        <w:rPr>
          <w:rFonts w:hint="default" w:ascii="Arial" w:hAnsi="Arial" w:cs="Arial"/>
          <w:sz w:val="22"/>
          <w:szCs w:val="22"/>
        </w:rPr>
        <w:t>Direktorata za politiku javnih nabavki,</w:t>
      </w:r>
      <w:r>
        <w:rPr>
          <w:rFonts w:hint="default" w:ascii="Arial" w:hAnsi="Arial" w:cs="Arial"/>
          <w:sz w:val="22"/>
          <w:szCs w:val="22"/>
          <w:lang w:val="pl-PL"/>
        </w:rPr>
        <w:t xml:space="preserve"> dana </w:t>
      </w:r>
      <w:r>
        <w:rPr>
          <w:rFonts w:hint="default" w:ascii="Arial" w:hAnsi="Arial" w:cs="Arial"/>
          <w:sz w:val="22"/>
          <w:szCs w:val="22"/>
          <w:lang w:val="sr-Latn-ME"/>
        </w:rPr>
        <w:t>04. marta</w:t>
      </w:r>
      <w:r>
        <w:rPr>
          <w:rFonts w:hint="default" w:ascii="Arial" w:hAnsi="Arial" w:cs="Arial"/>
          <w:sz w:val="22"/>
          <w:szCs w:val="22"/>
        </w:rPr>
        <w:t xml:space="preserve"> </w:t>
      </w:r>
      <w:r>
        <w:rPr>
          <w:rFonts w:hint="default" w:ascii="Arial" w:hAnsi="Arial" w:cs="Arial"/>
          <w:sz w:val="22"/>
          <w:szCs w:val="22"/>
          <w:lang w:val="pl-PL"/>
        </w:rPr>
        <w:t>20</w:t>
      </w:r>
      <w:r>
        <w:rPr>
          <w:rFonts w:hint="default" w:ascii="Arial" w:hAnsi="Arial" w:cs="Arial"/>
          <w:sz w:val="22"/>
          <w:szCs w:val="22"/>
        </w:rPr>
        <w:t>2</w:t>
      </w:r>
      <w:r>
        <w:rPr>
          <w:rFonts w:hint="default" w:ascii="Arial" w:hAnsi="Arial" w:cs="Arial"/>
          <w:sz w:val="22"/>
          <w:szCs w:val="22"/>
          <w:lang w:val="sr-Latn-ME"/>
        </w:rPr>
        <w:t>5</w:t>
      </w:r>
      <w:r>
        <w:rPr>
          <w:rFonts w:hint="default" w:ascii="Arial" w:hAnsi="Arial" w:cs="Arial"/>
          <w:sz w:val="22"/>
          <w:szCs w:val="22"/>
          <w:lang w:val="pl-PL"/>
        </w:rPr>
        <w:t>.godine</w:t>
      </w:r>
      <w:r>
        <w:rPr>
          <w:rFonts w:hint="default" w:ascii="Arial" w:hAnsi="Arial" w:cs="Arial"/>
          <w:sz w:val="22"/>
          <w:szCs w:val="22"/>
          <w:lang w:val="sl-SI"/>
        </w:rPr>
        <w:t>,</w:t>
      </w:r>
      <w:r>
        <w:rPr>
          <w:rFonts w:hint="default" w:ascii="Arial" w:hAnsi="Arial" w:cs="Arial"/>
          <w:sz w:val="22"/>
          <w:szCs w:val="22"/>
        </w:rPr>
        <w:t xml:space="preserve"> zaveden</w:t>
      </w:r>
      <w:r>
        <w:rPr>
          <w:rFonts w:hint="default" w:ascii="Arial" w:hAnsi="Arial" w:cs="Arial"/>
          <w:sz w:val="22"/>
          <w:szCs w:val="22"/>
          <w:lang w:val="sr-Latn-ME"/>
        </w:rPr>
        <w:t>im</w:t>
      </w:r>
      <w:r>
        <w:rPr>
          <w:rFonts w:hint="default" w:ascii="Arial" w:hAnsi="Arial" w:cs="Arial"/>
          <w:sz w:val="22"/>
          <w:szCs w:val="22"/>
        </w:rPr>
        <w:t xml:space="preserve"> pod brojem </w:t>
      </w:r>
      <w:r>
        <w:rPr>
          <w:rFonts w:hint="default" w:ascii="Arial" w:hAnsi="Arial" w:cs="Arial"/>
          <w:sz w:val="22"/>
          <w:szCs w:val="22"/>
          <w:lang w:val="sr-Latn-ME"/>
        </w:rPr>
        <w:t>2567</w:t>
      </w:r>
      <w:r>
        <w:rPr>
          <w:rFonts w:hint="default" w:ascii="Arial" w:hAnsi="Arial" w:cs="Arial"/>
          <w:sz w:val="22"/>
          <w:szCs w:val="22"/>
        </w:rPr>
        <w:t>,</w:t>
      </w:r>
      <w:r>
        <w:rPr>
          <w:rFonts w:hint="default" w:ascii="Arial" w:hAnsi="Arial" w:cs="Arial"/>
          <w:color w:val="000000"/>
          <w:sz w:val="22"/>
          <w:szCs w:val="22"/>
        </w:rPr>
        <w:t xml:space="preserve"> za nabavku robe</w:t>
      </w:r>
      <w:r>
        <w:rPr>
          <w:rFonts w:hint="default" w:ascii="Arial" w:hAnsi="Arial" w:cs="Arial"/>
          <w:color w:val="000000"/>
          <w:sz w:val="22"/>
          <w:szCs w:val="22"/>
          <w:lang w:val="sr-Latn-ME"/>
        </w:rPr>
        <w:t xml:space="preserve"> </w:t>
      </w:r>
      <w:r>
        <w:rPr>
          <w:rFonts w:hint="default" w:ascii="Arial" w:hAnsi="Arial" w:cs="Arial"/>
          <w:color w:val="000000"/>
          <w:sz w:val="22"/>
          <w:szCs w:val="22"/>
        </w:rPr>
        <w:t>-</w:t>
      </w:r>
      <w:r>
        <w:rPr>
          <w:rFonts w:hint="default" w:ascii="Arial" w:hAnsi="Arial" w:cs="Arial"/>
          <w:color w:val="000000"/>
          <w:sz w:val="22"/>
          <w:szCs w:val="22"/>
          <w:lang w:val="sr-Latn-ME"/>
        </w:rPr>
        <w:t xml:space="preserve"> bitumena,</w:t>
      </w:r>
      <w:r>
        <w:rPr>
          <w:rFonts w:hint="default" w:ascii="Arial" w:hAnsi="Arial" w:cs="Arial"/>
          <w:color w:val="000000"/>
          <w:sz w:val="22"/>
          <w:szCs w:val="22"/>
        </w:rPr>
        <w:t xml:space="preserve"> nijesam u sukobu interesa u smislu člana 41 stav 1 tačka 1 Zakona o javnim nabavkama i da ne postoji ekonomski i drugi lični interes koji može uticati na moju nepristrasnost i nezavisnost u ovom postupku javne nabavke.</w:t>
      </w:r>
    </w:p>
    <w:p w14:paraId="61103B33">
      <w:pPr>
        <w:tabs>
          <w:tab w:val="left" w:pos="3290"/>
        </w:tabs>
        <w:jc w:val="both"/>
        <w:rPr>
          <w:rFonts w:hint="default" w:ascii="Arial" w:hAnsi="Arial" w:cs="Arial"/>
          <w:color w:val="000000"/>
          <w:sz w:val="22"/>
          <w:szCs w:val="22"/>
        </w:rPr>
      </w:pPr>
    </w:p>
    <w:p w14:paraId="5E456239">
      <w:pPr>
        <w:jc w:val="center"/>
        <w:rPr>
          <w:rFonts w:hint="default" w:ascii="Arial" w:hAnsi="Arial" w:cs="Arial"/>
          <w:color w:val="000000"/>
          <w:sz w:val="22"/>
          <w:szCs w:val="22"/>
        </w:rPr>
      </w:pPr>
      <w:r>
        <w:rPr>
          <w:rFonts w:hint="default" w:ascii="Arial" w:hAnsi="Arial" w:cs="Arial"/>
          <w:color w:val="000000"/>
          <w:sz w:val="22"/>
          <w:szCs w:val="22"/>
        </w:rPr>
        <w:t xml:space="preserve">                                                                                                    </w:t>
      </w:r>
      <w:r>
        <w:rPr>
          <w:rFonts w:hint="default" w:ascii="Arial" w:hAnsi="Arial" w:cs="Arial"/>
          <w:color w:val="000000"/>
          <w:sz w:val="22"/>
          <w:szCs w:val="22"/>
          <w:lang w:val="sr-Latn-ME"/>
        </w:rPr>
        <w:t xml:space="preserve">  </w:t>
      </w:r>
      <w:r>
        <w:rPr>
          <w:rFonts w:hint="default" w:ascii="Arial" w:hAnsi="Arial" w:cs="Arial"/>
          <w:color w:val="000000"/>
          <w:sz w:val="22"/>
          <w:szCs w:val="22"/>
        </w:rPr>
        <w:t xml:space="preserve">  Ovlašćeno lice naručioca </w:t>
      </w:r>
    </w:p>
    <w:p w14:paraId="2EDACDAB">
      <w:pPr>
        <w:jc w:val="center"/>
        <w:rPr>
          <w:rFonts w:hint="default" w:ascii="Arial" w:hAnsi="Arial" w:eastAsia="Calibri" w:cs="Arial"/>
          <w:color w:val="000000"/>
          <w:sz w:val="22"/>
          <w:szCs w:val="22"/>
        </w:rPr>
      </w:pPr>
      <w:r>
        <w:rPr>
          <w:rFonts w:hint="default" w:ascii="Arial" w:hAnsi="Arial" w:eastAsia="Calibri" w:cs="Arial"/>
          <w:color w:val="000000"/>
          <w:sz w:val="22"/>
          <w:szCs w:val="22"/>
        </w:rPr>
        <w:t xml:space="preserve">                                                </w:t>
      </w:r>
      <w:r>
        <w:rPr>
          <w:rFonts w:hint="default" w:ascii="Arial" w:hAnsi="Arial" w:eastAsia="Calibri" w:cs="Arial"/>
          <w:color w:val="000000"/>
          <w:sz w:val="22"/>
          <w:szCs w:val="22"/>
          <w:lang w:val="sr-Latn-ME"/>
        </w:rPr>
        <w:t xml:space="preserve">                                                           </w:t>
      </w:r>
      <w:r>
        <w:rPr>
          <w:rFonts w:hint="default" w:ascii="Arial" w:hAnsi="Arial" w:eastAsia="Calibri" w:cs="Arial"/>
          <w:color w:val="000000"/>
          <w:sz w:val="22"/>
          <w:szCs w:val="22"/>
        </w:rPr>
        <w:t xml:space="preserve"> Izvršni direktor                                                                                    </w:t>
      </w:r>
      <w:r>
        <w:rPr>
          <w:rFonts w:hint="default" w:ascii="Arial" w:hAnsi="Arial" w:eastAsia="Calibri" w:cs="Arial"/>
          <w:color w:val="000000"/>
          <w:sz w:val="22"/>
          <w:szCs w:val="22"/>
          <w:lang w:val="sr-Latn-ME"/>
        </w:rPr>
        <w:t xml:space="preserve">              </w:t>
      </w:r>
      <w:r>
        <w:rPr>
          <w:rFonts w:hint="default" w:ascii="Arial" w:hAnsi="Arial" w:eastAsia="Calibri" w:cs="Arial"/>
          <w:color w:val="000000"/>
          <w:sz w:val="22"/>
          <w:szCs w:val="22"/>
        </w:rPr>
        <w:t xml:space="preserve">                            </w:t>
      </w:r>
    </w:p>
    <w:p w14:paraId="7D8CD042">
      <w:pPr>
        <w:jc w:val="center"/>
        <w:rPr>
          <w:rFonts w:hint="default" w:ascii="Arial" w:hAnsi="Arial" w:eastAsia="Calibri" w:cs="Arial"/>
          <w:color w:val="000000"/>
          <w:sz w:val="22"/>
          <w:szCs w:val="22"/>
        </w:rPr>
      </w:pPr>
      <w:r>
        <w:rPr>
          <w:rFonts w:hint="default" w:ascii="Arial" w:hAnsi="Arial" w:eastAsia="Calibri" w:cs="Arial"/>
          <w:color w:val="000000"/>
          <w:sz w:val="22"/>
          <w:szCs w:val="22"/>
          <w:lang w:val="sr-Latn-ME"/>
        </w:rPr>
        <w:t xml:space="preserve">                                                                                                          </w:t>
      </w:r>
      <w:r>
        <w:rPr>
          <w:rFonts w:hint="default" w:ascii="Arial" w:hAnsi="Arial" w:eastAsia="Calibri" w:cs="Arial"/>
          <w:color w:val="000000"/>
          <w:sz w:val="22"/>
          <w:szCs w:val="22"/>
        </w:rPr>
        <w:t>Radoš Zečević, dipl.pravnik.</w:t>
      </w:r>
    </w:p>
    <w:p w14:paraId="1E1E61D3">
      <w:pPr>
        <w:tabs>
          <w:tab w:val="left" w:pos="3290"/>
        </w:tabs>
        <w:ind w:firstLine="1134"/>
        <w:jc w:val="right"/>
        <w:rPr>
          <w:rFonts w:hint="default" w:ascii="Arial" w:hAnsi="Arial" w:cs="Arial"/>
          <w:color w:val="000000"/>
          <w:sz w:val="22"/>
          <w:szCs w:val="22"/>
        </w:rPr>
      </w:pPr>
      <w:r>
        <w:rPr>
          <w:rFonts w:hint="default" w:ascii="Arial" w:hAnsi="Arial" w:cs="Arial"/>
          <w:color w:val="000000"/>
          <w:sz w:val="22"/>
          <w:szCs w:val="22"/>
        </w:rPr>
        <w:t>__________________</w:t>
      </w:r>
    </w:p>
    <w:p w14:paraId="0E9B9A39">
      <w:pPr>
        <w:tabs>
          <w:tab w:val="left" w:pos="3290"/>
        </w:tabs>
        <w:ind w:left="5664" w:firstLine="708"/>
        <w:jc w:val="center"/>
        <w:rPr>
          <w:rFonts w:hint="default" w:ascii="Arial" w:hAnsi="Arial" w:cs="Arial"/>
          <w:i/>
          <w:iCs/>
          <w:color w:val="000000"/>
          <w:sz w:val="22"/>
          <w:szCs w:val="22"/>
        </w:rPr>
      </w:pPr>
      <w:r>
        <w:rPr>
          <w:rFonts w:hint="default" w:ascii="Arial" w:hAnsi="Arial"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cs="Arial"/>
          <w:i/>
          <w:iCs/>
          <w:color w:val="000000"/>
          <w:sz w:val="22"/>
          <w:szCs w:val="22"/>
        </w:rPr>
        <w:t xml:space="preserve">   s.r.</w:t>
      </w:r>
    </w:p>
    <w:p w14:paraId="02782386">
      <w:pPr>
        <w:ind w:firstLine="1134"/>
        <w:jc w:val="right"/>
        <w:rPr>
          <w:rFonts w:hint="default" w:ascii="Arial" w:hAnsi="Arial" w:eastAsia="Calibri" w:cs="Arial"/>
          <w:sz w:val="22"/>
          <w:szCs w:val="22"/>
        </w:rPr>
      </w:pPr>
      <w:r>
        <w:rPr>
          <w:rFonts w:hint="default" w:ascii="Arial" w:hAnsi="Arial" w:cs="Arial"/>
          <w:color w:val="000000"/>
          <w:sz w:val="22"/>
          <w:szCs w:val="22"/>
        </w:rPr>
        <w:t>Službenik za javne nabavke</w:t>
      </w:r>
      <w:r>
        <w:rPr>
          <w:rFonts w:hint="default" w:ascii="Arial" w:hAnsi="Arial" w:eastAsia="Calibri" w:cs="Arial"/>
          <w:sz w:val="22"/>
          <w:szCs w:val="22"/>
        </w:rPr>
        <w:t xml:space="preserve"> </w:t>
      </w:r>
    </w:p>
    <w:p w14:paraId="55F7829A">
      <w:pPr>
        <w:wordWrap w:val="0"/>
        <w:ind w:firstLine="1134"/>
        <w:jc w:val="right"/>
        <w:rPr>
          <w:rFonts w:hint="default" w:ascii="Arial" w:hAnsi="Arial" w:eastAsia="Calibri" w:cs="Arial"/>
          <w:sz w:val="22"/>
          <w:szCs w:val="22"/>
        </w:rPr>
      </w:pPr>
      <w:r>
        <w:rPr>
          <w:rFonts w:hint="default" w:ascii="Arial" w:hAnsi="Arial" w:eastAsia="Calibri" w:cs="Arial"/>
          <w:sz w:val="22"/>
          <w:szCs w:val="22"/>
        </w:rPr>
        <w:t>mr Miloš Vučelić</w:t>
      </w:r>
    </w:p>
    <w:p w14:paraId="135A2D42">
      <w:pPr>
        <w:tabs>
          <w:tab w:val="left" w:pos="3290"/>
        </w:tabs>
        <w:ind w:firstLine="1134"/>
        <w:jc w:val="right"/>
        <w:rPr>
          <w:rFonts w:hint="default" w:ascii="Arial" w:hAnsi="Arial" w:cs="Arial"/>
          <w:color w:val="000000"/>
          <w:sz w:val="22"/>
          <w:szCs w:val="22"/>
        </w:rPr>
      </w:pPr>
      <w:r>
        <w:rPr>
          <w:rFonts w:hint="default" w:ascii="Arial" w:hAnsi="Arial" w:cs="Arial"/>
          <w:color w:val="000000"/>
          <w:sz w:val="22"/>
          <w:szCs w:val="22"/>
        </w:rPr>
        <w:t>__________________</w:t>
      </w:r>
    </w:p>
    <w:p w14:paraId="05870942">
      <w:pPr>
        <w:ind w:left="6372"/>
        <w:jc w:val="center"/>
        <w:rPr>
          <w:rFonts w:hint="default" w:ascii="Arial" w:hAnsi="Arial" w:cs="Arial"/>
          <w:i/>
          <w:iCs/>
          <w:color w:val="000000"/>
          <w:sz w:val="22"/>
          <w:szCs w:val="22"/>
        </w:rPr>
      </w:pPr>
      <w:r>
        <w:rPr>
          <w:rFonts w:hint="default" w:ascii="Arial" w:hAnsi="Arial"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cs="Arial"/>
          <w:i/>
          <w:iCs/>
          <w:color w:val="000000"/>
          <w:sz w:val="22"/>
          <w:szCs w:val="22"/>
        </w:rPr>
        <w:t xml:space="preserve">  s.r.</w:t>
      </w:r>
    </w:p>
    <w:p w14:paraId="287AD902">
      <w:pPr>
        <w:tabs>
          <w:tab w:val="left" w:pos="3290"/>
        </w:tabs>
        <w:ind w:firstLine="1134"/>
        <w:jc w:val="right"/>
        <w:rPr>
          <w:rFonts w:hint="default" w:ascii="Arial" w:hAnsi="Arial" w:cs="Arial"/>
          <w:color w:val="000000"/>
          <w:sz w:val="22"/>
          <w:szCs w:val="22"/>
        </w:rPr>
      </w:pPr>
      <w:r>
        <w:rPr>
          <w:rFonts w:hint="default" w:ascii="Arial" w:hAnsi="Arial" w:cs="Arial"/>
          <w:color w:val="000000"/>
          <w:sz w:val="22"/>
          <w:szCs w:val="22"/>
        </w:rPr>
        <w:t xml:space="preserve">Lice koje je učestvovalo u planiranju javne nabavke </w:t>
      </w:r>
    </w:p>
    <w:p w14:paraId="199AB98C">
      <w:pPr>
        <w:tabs>
          <w:tab w:val="left" w:pos="3290"/>
        </w:tabs>
        <w:ind w:firstLine="1134"/>
        <w:jc w:val="right"/>
        <w:rPr>
          <w:rFonts w:hint="default" w:ascii="Arial" w:hAnsi="Arial" w:eastAsia="Calibri" w:cs="Arial"/>
          <w:sz w:val="22"/>
          <w:szCs w:val="22"/>
        </w:rPr>
      </w:pPr>
      <w:r>
        <w:rPr>
          <w:rFonts w:hint="default" w:ascii="Arial" w:hAnsi="Arial" w:eastAsia="Calibri" w:cs="Arial"/>
          <w:sz w:val="22"/>
          <w:szCs w:val="22"/>
        </w:rPr>
        <w:t>Veselin Čvorović, dipl.inž.maš.</w:t>
      </w:r>
    </w:p>
    <w:p w14:paraId="40F240FB">
      <w:pPr>
        <w:tabs>
          <w:tab w:val="left" w:pos="3290"/>
        </w:tabs>
        <w:ind w:firstLine="1134"/>
        <w:jc w:val="right"/>
        <w:rPr>
          <w:rFonts w:hint="default" w:ascii="Arial" w:hAnsi="Arial" w:cs="Arial"/>
          <w:color w:val="000000"/>
          <w:sz w:val="22"/>
          <w:szCs w:val="22"/>
        </w:rPr>
      </w:pPr>
      <w:r>
        <w:rPr>
          <w:rFonts w:hint="default" w:ascii="Arial" w:hAnsi="Arial" w:cs="Arial"/>
          <w:color w:val="000000"/>
          <w:sz w:val="22"/>
          <w:szCs w:val="22"/>
        </w:rPr>
        <w:t>__________________</w:t>
      </w:r>
    </w:p>
    <w:p w14:paraId="28B3C08A">
      <w:pPr>
        <w:ind w:left="6372"/>
        <w:jc w:val="center"/>
        <w:rPr>
          <w:rFonts w:hint="default" w:ascii="Arial" w:hAnsi="Arial" w:cs="Arial"/>
          <w:i/>
          <w:iCs/>
          <w:color w:val="000000"/>
          <w:sz w:val="22"/>
          <w:szCs w:val="22"/>
        </w:rPr>
      </w:pPr>
      <w:r>
        <w:rPr>
          <w:rFonts w:hint="default" w:ascii="Arial" w:hAnsi="Arial"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cs="Arial"/>
          <w:i/>
          <w:iCs/>
          <w:color w:val="000000"/>
          <w:sz w:val="22"/>
          <w:szCs w:val="22"/>
        </w:rPr>
        <w:t>s.r.</w:t>
      </w:r>
      <w:r>
        <w:rPr>
          <w:rFonts w:hint="default" w:ascii="Arial" w:hAnsi="Arial" w:cs="Arial"/>
          <w:iCs/>
          <w:color w:val="000000"/>
          <w:sz w:val="22"/>
          <w:szCs w:val="22"/>
        </w:rPr>
        <w:t xml:space="preserve">                </w:t>
      </w:r>
    </w:p>
    <w:p w14:paraId="12EE426E">
      <w:pPr>
        <w:tabs>
          <w:tab w:val="left" w:pos="3290"/>
        </w:tabs>
        <w:ind w:firstLine="1134"/>
        <w:jc w:val="right"/>
        <w:rPr>
          <w:rFonts w:hint="default" w:ascii="Arial" w:hAnsi="Arial" w:cs="Arial"/>
          <w:iCs/>
          <w:color w:val="000000"/>
          <w:sz w:val="22"/>
          <w:szCs w:val="22"/>
        </w:rPr>
      </w:pPr>
      <w:r>
        <w:rPr>
          <w:rFonts w:hint="default" w:ascii="Arial" w:hAnsi="Arial" w:cs="Arial"/>
          <w:iCs/>
          <w:color w:val="000000"/>
          <w:sz w:val="22"/>
          <w:szCs w:val="22"/>
        </w:rPr>
        <w:t xml:space="preserve"> Član komisije </w:t>
      </w:r>
      <w:r>
        <w:rPr>
          <w:rFonts w:hint="default" w:ascii="Arial" w:hAnsi="Arial" w:cs="Arial"/>
          <w:sz w:val="22"/>
          <w:szCs w:val="22"/>
        </w:rPr>
        <w:t>za sprovođenje postupka javne nabavk</w:t>
      </w:r>
      <w:r>
        <w:rPr>
          <w:rFonts w:hint="default" w:ascii="Arial" w:hAnsi="Arial" w:cs="Arial"/>
          <w:iCs/>
          <w:color w:val="000000"/>
          <w:sz w:val="22"/>
          <w:szCs w:val="22"/>
        </w:rPr>
        <w:t>e</w:t>
      </w:r>
    </w:p>
    <w:p w14:paraId="597736B3">
      <w:pPr>
        <w:tabs>
          <w:tab w:val="left" w:pos="3290"/>
        </w:tabs>
        <w:wordWrap w:val="0"/>
        <w:jc w:val="right"/>
        <w:rPr>
          <w:rFonts w:hint="default" w:ascii="Arial" w:hAnsi="Arial" w:cs="Arial"/>
          <w:iCs/>
          <w:color w:val="000000"/>
          <w:sz w:val="22"/>
          <w:szCs w:val="22"/>
          <w:lang w:val="sr-Latn-ME"/>
        </w:rPr>
      </w:pPr>
      <w:r>
        <w:rPr>
          <w:rFonts w:hint="default" w:ascii="Arial" w:hAnsi="Arial" w:cs="Arial"/>
          <w:iCs/>
          <w:color w:val="000000"/>
          <w:sz w:val="22"/>
          <w:szCs w:val="22"/>
          <w:lang w:val="sr-Latn-ME"/>
        </w:rPr>
        <w:t xml:space="preserve">Aleksandra Popović, dipl.menag. </w:t>
      </w:r>
    </w:p>
    <w:p w14:paraId="4D7A4878">
      <w:pPr>
        <w:tabs>
          <w:tab w:val="left" w:pos="3290"/>
        </w:tabs>
        <w:ind w:firstLine="1134"/>
        <w:jc w:val="right"/>
        <w:rPr>
          <w:rFonts w:hint="default" w:ascii="Arial" w:hAnsi="Arial" w:cs="Arial"/>
          <w:color w:val="000000"/>
          <w:sz w:val="22"/>
          <w:szCs w:val="22"/>
        </w:rPr>
      </w:pPr>
      <w:r>
        <w:rPr>
          <w:rFonts w:hint="default" w:ascii="Arial" w:hAnsi="Arial" w:cs="Arial"/>
          <w:color w:val="000000"/>
          <w:sz w:val="22"/>
          <w:szCs w:val="22"/>
        </w:rPr>
        <w:t xml:space="preserve"> __________________</w:t>
      </w:r>
    </w:p>
    <w:p w14:paraId="673AFC75">
      <w:pPr>
        <w:ind w:left="6372"/>
        <w:jc w:val="center"/>
        <w:rPr>
          <w:rFonts w:hint="default" w:ascii="Arial" w:hAnsi="Arial" w:cs="Arial"/>
          <w:i/>
          <w:iCs/>
          <w:color w:val="000000"/>
          <w:sz w:val="22"/>
          <w:szCs w:val="22"/>
        </w:rPr>
      </w:pPr>
      <w:r>
        <w:rPr>
          <w:rFonts w:hint="default" w:ascii="Arial" w:hAnsi="Arial"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cs="Arial"/>
          <w:i/>
          <w:iCs/>
          <w:color w:val="000000"/>
          <w:sz w:val="22"/>
          <w:szCs w:val="22"/>
        </w:rPr>
        <w:t xml:space="preserve"> s.r.</w:t>
      </w:r>
    </w:p>
    <w:p w14:paraId="5CF3FEAD">
      <w:pPr>
        <w:tabs>
          <w:tab w:val="left" w:pos="3290"/>
        </w:tabs>
        <w:ind w:firstLine="1134"/>
        <w:jc w:val="right"/>
        <w:rPr>
          <w:rFonts w:hint="default" w:ascii="Arial" w:hAnsi="Arial" w:cs="Arial"/>
          <w:iCs/>
          <w:color w:val="000000"/>
          <w:sz w:val="22"/>
          <w:szCs w:val="22"/>
        </w:rPr>
      </w:pPr>
      <w:r>
        <w:rPr>
          <w:rFonts w:hint="default" w:ascii="Arial" w:hAnsi="Arial" w:cs="Arial"/>
          <w:iCs/>
          <w:color w:val="000000"/>
          <w:sz w:val="22"/>
          <w:szCs w:val="22"/>
        </w:rPr>
        <w:t xml:space="preserve">Član komisije </w:t>
      </w:r>
      <w:r>
        <w:rPr>
          <w:rFonts w:hint="default" w:ascii="Arial" w:hAnsi="Arial" w:cs="Arial"/>
          <w:sz w:val="22"/>
          <w:szCs w:val="22"/>
        </w:rPr>
        <w:t>za sprovođenje postupka javne nabavk</w:t>
      </w:r>
      <w:r>
        <w:rPr>
          <w:rFonts w:hint="default" w:ascii="Arial" w:hAnsi="Arial" w:cs="Arial"/>
          <w:iCs/>
          <w:color w:val="000000"/>
          <w:sz w:val="22"/>
          <w:szCs w:val="22"/>
        </w:rPr>
        <w:t>e</w:t>
      </w:r>
    </w:p>
    <w:p w14:paraId="177E1B73">
      <w:pPr>
        <w:tabs>
          <w:tab w:val="left" w:pos="3290"/>
        </w:tabs>
        <w:ind w:firstLine="1134"/>
        <w:jc w:val="right"/>
        <w:rPr>
          <w:rFonts w:hint="default" w:ascii="Arial" w:hAnsi="Arial" w:cs="Arial"/>
          <w:iCs/>
          <w:color w:val="000000"/>
          <w:sz w:val="22"/>
          <w:szCs w:val="22"/>
          <w:lang w:val="sr-Latn-ME"/>
        </w:rPr>
      </w:pPr>
      <w:r>
        <w:rPr>
          <w:rFonts w:hint="default" w:ascii="Arial" w:hAnsi="Arial" w:eastAsia="Calibri" w:cs="Arial"/>
          <w:sz w:val="22"/>
          <w:szCs w:val="22"/>
          <w:lang w:val="sr-Latn-ME"/>
        </w:rPr>
        <w:t>Veljo Čadjenović,dipl.pravnik.</w:t>
      </w:r>
      <w:r>
        <w:rPr>
          <w:rFonts w:hint="default" w:ascii="Arial" w:hAnsi="Arial" w:cs="Arial"/>
          <w:iCs/>
          <w:color w:val="000000"/>
          <w:sz w:val="22"/>
          <w:szCs w:val="22"/>
          <w:lang w:val="sr-Latn-ME"/>
        </w:rPr>
        <w:t xml:space="preserve"> </w:t>
      </w:r>
    </w:p>
    <w:p w14:paraId="5BEFD421">
      <w:pPr>
        <w:tabs>
          <w:tab w:val="left" w:pos="3290"/>
        </w:tabs>
        <w:ind w:firstLine="1134"/>
        <w:jc w:val="right"/>
        <w:rPr>
          <w:rFonts w:hint="default" w:ascii="Arial" w:hAnsi="Arial" w:cs="Arial"/>
          <w:color w:val="000000"/>
          <w:sz w:val="22"/>
          <w:szCs w:val="22"/>
        </w:rPr>
      </w:pPr>
      <w:r>
        <w:rPr>
          <w:rFonts w:hint="default" w:ascii="Arial" w:hAnsi="Arial" w:cs="Arial"/>
          <w:color w:val="000000"/>
          <w:sz w:val="22"/>
          <w:szCs w:val="22"/>
        </w:rPr>
        <w:t>________________</w:t>
      </w:r>
    </w:p>
    <w:p w14:paraId="1AA9EF86">
      <w:pPr>
        <w:jc w:val="center"/>
        <w:rPr>
          <w:rFonts w:hint="default" w:ascii="Arial" w:hAnsi="Arial" w:cs="Arial"/>
          <w:i/>
          <w:iCs/>
          <w:color w:val="000000"/>
          <w:sz w:val="22"/>
          <w:szCs w:val="22"/>
        </w:rPr>
      </w:pPr>
      <w:r>
        <w:rPr>
          <w:rFonts w:hint="default" w:ascii="Arial" w:hAnsi="Arial"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cs="Arial"/>
          <w:i/>
          <w:iCs/>
          <w:color w:val="000000"/>
          <w:sz w:val="22"/>
          <w:szCs w:val="22"/>
        </w:rPr>
        <w:t xml:space="preserve"> s.r.</w:t>
      </w:r>
    </w:p>
    <w:p w14:paraId="50D4F391">
      <w:pPr>
        <w:jc w:val="right"/>
        <w:rPr>
          <w:rFonts w:hint="default" w:ascii="Arial" w:hAnsi="Arial" w:cs="Arial"/>
          <w:color w:val="000000"/>
          <w:sz w:val="22"/>
          <w:szCs w:val="22"/>
        </w:rPr>
      </w:pPr>
      <w:r>
        <w:rPr>
          <w:rFonts w:hint="default" w:ascii="Arial" w:hAnsi="Arial" w:cs="Arial"/>
          <w:color w:val="000000"/>
          <w:sz w:val="22"/>
          <w:szCs w:val="22"/>
        </w:rPr>
        <w:t>Član komisije za sprovođenje postupka javne nabavke</w:t>
      </w:r>
    </w:p>
    <w:p w14:paraId="1490EB1A">
      <w:pPr>
        <w:jc w:val="right"/>
        <w:rPr>
          <w:rFonts w:hint="default" w:ascii="Arial" w:hAnsi="Arial" w:cs="Arial"/>
          <w:color w:val="000000"/>
          <w:sz w:val="22"/>
          <w:szCs w:val="22"/>
        </w:rPr>
      </w:pPr>
      <w:r>
        <w:rPr>
          <w:rFonts w:hint="default" w:ascii="Arial" w:hAnsi="Arial" w:cs="Arial"/>
          <w:color w:val="000000"/>
          <w:sz w:val="22"/>
          <w:szCs w:val="22"/>
        </w:rPr>
        <w:t>mr Slobodan Mandić</w:t>
      </w:r>
    </w:p>
    <w:p w14:paraId="61F6117C">
      <w:pPr>
        <w:jc w:val="right"/>
        <w:rPr>
          <w:rFonts w:hint="default" w:ascii="Arial" w:hAnsi="Arial" w:cs="Arial"/>
          <w:color w:val="000000"/>
          <w:sz w:val="22"/>
          <w:szCs w:val="22"/>
        </w:rPr>
      </w:pPr>
      <w:r>
        <w:rPr>
          <w:rFonts w:hint="default" w:ascii="Arial" w:hAnsi="Arial" w:cs="Arial"/>
          <w:color w:val="000000"/>
          <w:sz w:val="22"/>
          <w:szCs w:val="22"/>
        </w:rPr>
        <w:t>________________                                                                                                                                                                                                                                 s.r.</w:t>
      </w:r>
      <w:r>
        <w:rPr>
          <w:rFonts w:hint="default" w:ascii="Arial" w:hAnsi="Arial" w:cs="Arial"/>
          <w:b/>
          <w:iCs/>
          <w:color w:val="000000"/>
          <w:sz w:val="22"/>
          <w:szCs w:val="22"/>
        </w:rPr>
        <w:t xml:space="preserve"> </w:t>
      </w:r>
    </w:p>
    <w:p w14:paraId="59339947">
      <w:pPr>
        <w:tabs>
          <w:tab w:val="left" w:pos="3290"/>
        </w:tabs>
        <w:ind w:firstLine="1134"/>
        <w:jc w:val="right"/>
        <w:rPr>
          <w:rFonts w:hint="default" w:ascii="Arial" w:hAnsi="Arial" w:cs="Arial"/>
          <w:bCs/>
          <w:iCs/>
          <w:color w:val="000000"/>
          <w:sz w:val="22"/>
          <w:szCs w:val="22"/>
        </w:rPr>
      </w:pPr>
      <w:r>
        <w:rPr>
          <w:rFonts w:hint="default" w:ascii="Arial" w:hAnsi="Arial" w:cs="Arial"/>
          <w:bCs/>
          <w:iCs/>
          <w:color w:val="000000"/>
          <w:sz w:val="22"/>
          <w:szCs w:val="22"/>
        </w:rPr>
        <w:t xml:space="preserve">Član komisije </w:t>
      </w:r>
      <w:r>
        <w:rPr>
          <w:rFonts w:hint="default" w:ascii="Arial" w:hAnsi="Arial" w:cs="Arial"/>
          <w:bCs/>
          <w:sz w:val="22"/>
          <w:szCs w:val="22"/>
        </w:rPr>
        <w:t>za sprovođenje postupka javne nabavk</w:t>
      </w:r>
      <w:r>
        <w:rPr>
          <w:rFonts w:hint="default" w:ascii="Arial" w:hAnsi="Arial" w:cs="Arial"/>
          <w:bCs/>
          <w:iCs/>
          <w:color w:val="000000"/>
          <w:sz w:val="22"/>
          <w:szCs w:val="22"/>
        </w:rPr>
        <w:t>e</w:t>
      </w:r>
    </w:p>
    <w:p w14:paraId="2B8C1F26">
      <w:pPr>
        <w:tabs>
          <w:tab w:val="left" w:pos="3290"/>
        </w:tabs>
        <w:ind w:firstLine="1134"/>
        <w:jc w:val="right"/>
        <w:rPr>
          <w:rFonts w:hint="default" w:ascii="Arial" w:hAnsi="Arial" w:cs="Arial"/>
          <w:bCs/>
          <w:iCs/>
          <w:color w:val="000000"/>
          <w:sz w:val="22"/>
          <w:szCs w:val="22"/>
        </w:rPr>
      </w:pPr>
      <w:r>
        <w:rPr>
          <w:rFonts w:hint="default" w:ascii="Arial" w:hAnsi="Arial" w:cs="Arial"/>
          <w:bCs/>
          <w:iCs/>
          <w:color w:val="000000"/>
          <w:sz w:val="22"/>
          <w:szCs w:val="22"/>
        </w:rPr>
        <w:t>mr Miloš Vučelić</w:t>
      </w:r>
    </w:p>
    <w:p w14:paraId="3993ACED">
      <w:pPr>
        <w:tabs>
          <w:tab w:val="left" w:pos="3290"/>
        </w:tabs>
        <w:ind w:firstLine="1134"/>
        <w:jc w:val="right"/>
        <w:rPr>
          <w:rFonts w:hint="default" w:ascii="Arial" w:hAnsi="Arial" w:cs="Arial"/>
          <w:bCs/>
          <w:color w:val="000000"/>
          <w:sz w:val="22"/>
          <w:szCs w:val="22"/>
        </w:rPr>
      </w:pPr>
      <w:r>
        <w:rPr>
          <w:rFonts w:hint="default" w:ascii="Arial" w:hAnsi="Arial" w:cs="Arial"/>
          <w:bCs/>
          <w:color w:val="000000"/>
          <w:sz w:val="22"/>
          <w:szCs w:val="22"/>
        </w:rPr>
        <w:t>________________________</w:t>
      </w:r>
    </w:p>
    <w:p w14:paraId="6900A7D6">
      <w:pPr>
        <w:tabs>
          <w:tab w:val="left" w:pos="3290"/>
        </w:tabs>
        <w:ind w:firstLine="1134"/>
        <w:jc w:val="center"/>
        <w:rPr>
          <w:rFonts w:hint="default" w:ascii="Arial" w:hAnsi="Arial" w:cs="Arial"/>
          <w:bCs/>
          <w:i/>
          <w:iCs/>
          <w:color w:val="000000"/>
          <w:sz w:val="22"/>
          <w:szCs w:val="22"/>
        </w:rPr>
      </w:pPr>
      <w:r>
        <w:rPr>
          <w:rFonts w:hint="default" w:ascii="Arial" w:hAnsi="Arial" w:cs="Arial"/>
          <w:bCs/>
          <w:i/>
          <w:iCs/>
          <w:color w:val="000000"/>
          <w:sz w:val="22"/>
          <w:szCs w:val="22"/>
        </w:rPr>
        <w:t xml:space="preserve">                                                </w:t>
      </w:r>
      <w:r>
        <w:rPr>
          <w:rFonts w:hint="default" w:ascii="Arial" w:hAnsi="Arial" w:cs="Arial"/>
          <w:bCs/>
          <w:i/>
          <w:iCs/>
          <w:color w:val="000000"/>
          <w:sz w:val="22"/>
          <w:szCs w:val="22"/>
          <w:lang w:val="sr-Latn-ME"/>
        </w:rPr>
        <w:t xml:space="preserve">                                                                             </w:t>
      </w:r>
      <w:r>
        <w:rPr>
          <w:rFonts w:hint="default" w:ascii="Arial" w:hAnsi="Arial" w:cs="Arial"/>
          <w:bCs/>
          <w:i/>
          <w:iCs/>
          <w:color w:val="000000"/>
          <w:sz w:val="22"/>
          <w:szCs w:val="22"/>
        </w:rPr>
        <w:t xml:space="preserve">  </w:t>
      </w:r>
      <w:r>
        <w:rPr>
          <w:rFonts w:hint="default" w:ascii="Arial" w:hAnsi="Arial" w:cs="Arial"/>
          <w:bCs/>
          <w:i/>
          <w:iCs/>
          <w:color w:val="000000"/>
          <w:sz w:val="22"/>
          <w:szCs w:val="22"/>
          <w:lang w:val="sr-Latn-ME"/>
        </w:rPr>
        <w:t xml:space="preserve"> </w:t>
      </w:r>
      <w:r>
        <w:rPr>
          <w:rFonts w:hint="default" w:ascii="Arial" w:hAnsi="Arial" w:cs="Arial"/>
          <w:bCs/>
          <w:i/>
          <w:iCs/>
          <w:color w:val="000000"/>
          <w:sz w:val="22"/>
          <w:szCs w:val="22"/>
        </w:rPr>
        <w:t xml:space="preserve"> s.r.                                                                                                          </w:t>
      </w:r>
      <w:r>
        <w:rPr>
          <w:rFonts w:hint="default" w:ascii="Arial" w:hAnsi="Arial" w:cs="Arial"/>
          <w:bCs/>
          <w:i/>
          <w:iCs/>
          <w:color w:val="000000"/>
          <w:sz w:val="22"/>
          <w:szCs w:val="22"/>
          <w:lang w:val="sr-Latn-ME"/>
        </w:rPr>
        <w:t xml:space="preserve">        </w:t>
      </w:r>
    </w:p>
    <w:p w14:paraId="34DBA0EC">
      <w:pPr>
        <w:tabs>
          <w:tab w:val="left" w:pos="3290"/>
        </w:tabs>
        <w:ind w:firstLine="1134"/>
        <w:jc w:val="right"/>
        <w:rPr>
          <w:rFonts w:hint="default" w:ascii="Arial" w:hAnsi="Arial" w:cs="Arial"/>
          <w:bCs/>
          <w:iCs/>
          <w:color w:val="000000"/>
          <w:sz w:val="22"/>
          <w:szCs w:val="22"/>
        </w:rPr>
      </w:pPr>
      <w:r>
        <w:rPr>
          <w:rFonts w:hint="default" w:ascii="Arial" w:hAnsi="Arial" w:cs="Arial"/>
          <w:bCs/>
          <w:iCs/>
          <w:color w:val="000000"/>
          <w:sz w:val="22"/>
          <w:szCs w:val="22"/>
        </w:rPr>
        <w:t xml:space="preserve">Član komisije </w:t>
      </w:r>
      <w:r>
        <w:rPr>
          <w:rFonts w:hint="default" w:ascii="Arial" w:hAnsi="Arial" w:cs="Arial"/>
          <w:bCs/>
          <w:sz w:val="22"/>
          <w:szCs w:val="22"/>
        </w:rPr>
        <w:t>za sprovođenje postupka javne nabavk</w:t>
      </w:r>
      <w:r>
        <w:rPr>
          <w:rFonts w:hint="default" w:ascii="Arial" w:hAnsi="Arial" w:cs="Arial"/>
          <w:bCs/>
          <w:iCs/>
          <w:color w:val="000000"/>
          <w:sz w:val="22"/>
          <w:szCs w:val="22"/>
        </w:rPr>
        <w:t>e</w:t>
      </w:r>
    </w:p>
    <w:p w14:paraId="68B947FC">
      <w:pPr>
        <w:tabs>
          <w:tab w:val="left" w:pos="3290"/>
        </w:tabs>
        <w:ind w:firstLine="1134"/>
        <w:jc w:val="right"/>
        <w:rPr>
          <w:rFonts w:hint="default" w:ascii="Arial" w:hAnsi="Arial" w:cs="Arial"/>
          <w:bCs/>
          <w:iCs/>
          <w:color w:val="000000"/>
          <w:sz w:val="22"/>
          <w:szCs w:val="22"/>
          <w:lang w:val="sr-Latn-ME"/>
        </w:rPr>
      </w:pPr>
      <w:r>
        <w:rPr>
          <w:rFonts w:hint="default" w:ascii="Arial" w:hAnsi="Arial" w:eastAsia="Calibri" w:cs="Arial"/>
          <w:bCs/>
          <w:sz w:val="22"/>
          <w:szCs w:val="22"/>
          <w:lang w:val="sr-Latn-ME"/>
        </w:rPr>
        <w:t>Veselin Čvorović, dipl.inž.maš.</w:t>
      </w:r>
    </w:p>
    <w:p w14:paraId="270B8EFA">
      <w:pPr>
        <w:tabs>
          <w:tab w:val="left" w:pos="3290"/>
        </w:tabs>
        <w:ind w:firstLine="1134"/>
        <w:jc w:val="right"/>
        <w:rPr>
          <w:rFonts w:hint="default" w:ascii="Arial" w:hAnsi="Arial" w:cs="Arial"/>
          <w:bCs/>
          <w:color w:val="000000"/>
          <w:sz w:val="22"/>
          <w:szCs w:val="22"/>
        </w:rPr>
      </w:pPr>
      <w:r>
        <w:rPr>
          <w:rFonts w:hint="default" w:ascii="Arial" w:hAnsi="Arial" w:cs="Arial"/>
          <w:bCs/>
          <w:color w:val="000000"/>
          <w:sz w:val="22"/>
          <w:szCs w:val="22"/>
        </w:rPr>
        <w:t>________________________</w:t>
      </w:r>
    </w:p>
    <w:p w14:paraId="3E34FDF6">
      <w:pPr>
        <w:ind w:left="9130" w:hanging="9130" w:hangingChars="4150"/>
        <w:jc w:val="both"/>
        <w:rPr>
          <w:rFonts w:asciiTheme="minorHAnsi" w:hAnsiTheme="minorHAnsi" w:cstheme="minorHAnsi"/>
          <w:bCs/>
          <w:i/>
          <w:iCs/>
          <w:color w:val="000000"/>
          <w:sz w:val="22"/>
          <w:szCs w:val="22"/>
          <w:lang w:val="sr-Latn-ME"/>
        </w:rPr>
      </w:pPr>
      <w:r>
        <w:rPr>
          <w:rFonts w:hint="default" w:ascii="Arial" w:hAnsi="Arial" w:cs="Arial"/>
          <w:bCs/>
          <w:i/>
          <w:iCs/>
          <w:color w:val="000000"/>
          <w:sz w:val="22"/>
          <w:szCs w:val="22"/>
        </w:rPr>
        <w:t xml:space="preserve">                                                                                                                                     </w:t>
      </w:r>
      <w:r>
        <w:rPr>
          <w:rFonts w:hint="default" w:ascii="Arial" w:hAnsi="Arial" w:cs="Arial"/>
          <w:bCs/>
          <w:i/>
          <w:iCs/>
          <w:color w:val="000000"/>
          <w:sz w:val="22"/>
          <w:szCs w:val="22"/>
          <w:lang w:val="sr-Latn-ME"/>
        </w:rPr>
        <w:t xml:space="preserve">             </w:t>
      </w:r>
      <w:r>
        <w:rPr>
          <w:rFonts w:hint="default" w:ascii="Arial" w:hAnsi="Arial" w:cs="Arial"/>
          <w:bCs/>
          <w:i/>
          <w:iCs/>
          <w:color w:val="000000"/>
          <w:sz w:val="22"/>
          <w:szCs w:val="22"/>
        </w:rPr>
        <w:t xml:space="preserve">  s.r.</w:t>
      </w:r>
      <w:r>
        <w:rPr>
          <w:rFonts w:hint="default" w:ascii="Arial" w:hAnsi="Arial" w:cs="Arial"/>
          <w:bCs/>
          <w:i/>
          <w:iCs/>
          <w:color w:val="000000"/>
          <w:sz w:val="22"/>
          <w:szCs w:val="22"/>
          <w:lang w:val="sr-Latn-ME"/>
        </w:rPr>
        <w:t xml:space="preserve">    </w:t>
      </w:r>
      <w:r>
        <w:rPr>
          <w:rFonts w:asciiTheme="minorHAnsi" w:hAnsiTheme="minorHAnsi" w:cstheme="minorHAnsi"/>
          <w:bCs/>
          <w:i/>
          <w:iCs/>
          <w:color w:val="000000"/>
          <w:sz w:val="22"/>
          <w:szCs w:val="22"/>
          <w:lang w:val="sr-Latn-ME"/>
        </w:rPr>
        <w:t xml:space="preserve">  </w:t>
      </w:r>
    </w:p>
    <w:p w14:paraId="312BBBEA">
      <w:pPr>
        <w:rPr>
          <w:rFonts w:asciiTheme="minorHAnsi" w:hAnsiTheme="minorHAnsi" w:cstheme="minorHAnsi"/>
          <w:bCs/>
          <w:i/>
          <w:iCs/>
          <w:color w:val="000000"/>
          <w:sz w:val="22"/>
          <w:szCs w:val="22"/>
          <w:lang w:val="sr-Latn-ME"/>
        </w:rPr>
      </w:pPr>
      <w:r>
        <w:rPr>
          <w:rFonts w:asciiTheme="minorHAnsi" w:hAnsiTheme="minorHAnsi" w:cstheme="minorHAnsi"/>
          <w:bCs/>
          <w:i/>
          <w:iCs/>
          <w:color w:val="000000"/>
          <w:sz w:val="22"/>
          <w:szCs w:val="22"/>
          <w:lang w:val="sr-Latn-ME"/>
        </w:rPr>
        <w:br w:type="page"/>
      </w:r>
    </w:p>
    <w:p w14:paraId="11FF9079">
      <w:pPr>
        <w:keepNext/>
        <w:keepLines/>
        <w:numPr>
          <w:ilvl w:val="0"/>
          <w:numId w:val="8"/>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iCs/>
        </w:rPr>
      </w:pPr>
      <w:bookmarkStart w:id="17" w:name="_Toc62730568"/>
      <w:r>
        <w:rPr>
          <w:rFonts w:ascii="Arial" w:hAnsi="Arial" w:cs="Arial"/>
          <w:b/>
        </w:rPr>
        <w:t>UPUTSTVO O PRAVNOM SREDSTVU</w:t>
      </w:r>
      <w:bookmarkEnd w:id="17"/>
    </w:p>
    <w:p w14:paraId="14563E16">
      <w:pPr>
        <w:tabs>
          <w:tab w:val="left" w:pos="5760"/>
        </w:tabs>
        <w:jc w:val="center"/>
        <w:rPr>
          <w:rFonts w:ascii="Arial" w:hAnsi="Arial" w:cs="Arial"/>
          <w:color w:val="000000"/>
        </w:rPr>
      </w:pPr>
    </w:p>
    <w:p w14:paraId="4B989A73">
      <w:pPr>
        <w:tabs>
          <w:tab w:val="left" w:pos="5760"/>
        </w:tabs>
        <w:jc w:val="center"/>
        <w:rPr>
          <w:rFonts w:ascii="Arial" w:hAnsi="Arial" w:cs="Arial"/>
          <w:color w:val="000000"/>
        </w:rPr>
      </w:pPr>
    </w:p>
    <w:p w14:paraId="3869FA0E">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54AAC17A">
      <w:pPr>
        <w:pStyle w:val="11"/>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5CD4FB8">
      <w:pPr>
        <w:pStyle w:val="11"/>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0781CFD">
      <w:pPr>
        <w:pStyle w:val="11"/>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AFCD2E7">
      <w:pPr>
        <w:tabs>
          <w:tab w:val="left" w:pos="5760"/>
        </w:tabs>
        <w:jc w:val="both"/>
        <w:rPr>
          <w:rFonts w:ascii="Arial" w:hAnsi="Arial" w:cs="Arial"/>
          <w:color w:val="000000"/>
          <w:lang w:val="sr-Latn-ME"/>
        </w:rPr>
      </w:pPr>
    </w:p>
    <w:p w14:paraId="1033BC37">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2BC84AB8">
      <w:pPr>
        <w:autoSpaceDE w:val="0"/>
        <w:autoSpaceDN w:val="0"/>
        <w:adjustRightInd w:val="0"/>
        <w:ind w:firstLine="567"/>
        <w:jc w:val="both"/>
        <w:rPr>
          <w:rFonts w:ascii="Arial" w:hAnsi="Arial" w:cs="Arial"/>
          <w:color w:val="000000"/>
          <w:lang w:val="sr-Latn-ME"/>
        </w:rPr>
      </w:pPr>
    </w:p>
    <w:p w14:paraId="3DE74C49">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D666562">
      <w:pPr>
        <w:tabs>
          <w:tab w:val="left" w:pos="5760"/>
        </w:tabs>
        <w:ind w:firstLine="567"/>
        <w:jc w:val="both"/>
        <w:rPr>
          <w:rFonts w:ascii="Arial" w:hAnsi="Arial" w:cs="Arial"/>
          <w:color w:val="000000"/>
          <w:lang w:val="sr-Latn-ME"/>
        </w:rPr>
      </w:pPr>
    </w:p>
    <w:p w14:paraId="0C4C4AC7">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65DD769A">
      <w:pPr>
        <w:tabs>
          <w:tab w:val="left" w:pos="5760"/>
        </w:tabs>
        <w:ind w:firstLine="567"/>
        <w:jc w:val="both"/>
        <w:rPr>
          <w:rFonts w:ascii="Arial" w:hAnsi="Arial" w:cs="Arial"/>
          <w:color w:val="000000"/>
          <w:lang w:val="sr-Latn-ME"/>
        </w:rPr>
      </w:pPr>
    </w:p>
    <w:p w14:paraId="7C1BE8A1">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8"/>
          <w:rFonts w:ascii="Arial" w:hAnsi="Arial" w:cs="Arial"/>
          <w:lang w:val="sr-Latn-ME"/>
        </w:rPr>
        <w:t>http://www.kontrola-nabavki.me/</w:t>
      </w:r>
      <w:r>
        <w:rPr>
          <w:rStyle w:val="8"/>
          <w:rFonts w:ascii="Arial" w:hAnsi="Arial" w:cs="Arial"/>
          <w:lang w:val="sr-Latn-ME"/>
        </w:rPr>
        <w:fldChar w:fldCharType="end"/>
      </w:r>
      <w:r>
        <w:rPr>
          <w:rFonts w:ascii="Arial" w:hAnsi="Arial" w:cs="Arial"/>
          <w:color w:val="000000"/>
          <w:lang w:val="sr-Latn-ME"/>
        </w:rPr>
        <w:t>.“.</w:t>
      </w:r>
    </w:p>
    <w:p w14:paraId="55B85DE6"/>
    <w:p w14:paraId="6008E3A8">
      <w:pPr>
        <w:jc w:val="both"/>
      </w:pPr>
    </w:p>
    <w:sectPr>
      <w:pgSz w:w="12240" w:h="15840"/>
      <w:pgMar w:top="1417" w:right="1417" w:bottom="1417" w:left="1417" w:header="144" w:footer="144"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PMingLiU">
    <w:altName w:val="Microsoft JhengHei UI"/>
    <w:panose1 w:val="02010601000101010101"/>
    <w:charset w:val="88"/>
    <w:family w:val="roman"/>
    <w:pitch w:val="default"/>
    <w:sig w:usb0="00000000" w:usb1="00000000" w:usb2="00000016" w:usb3="00000000" w:csb0="00100001" w:csb1="00000000"/>
  </w:font>
  <w:font w:name="sans-serif">
    <w:altName w:val="Segoe Print"/>
    <w:panose1 w:val="00000000000000000000"/>
    <w:charset w:val="00"/>
    <w:family w:val="auto"/>
    <w:pitch w:val="default"/>
    <w:sig w:usb0="00000000" w:usb1="00000000" w:usb2="00000000" w:usb3="00000000" w:csb0="00000000" w:csb1="00000000"/>
  </w:font>
  <w:font w:name="Microsoft JhengHei UI">
    <w:panose1 w:val="020B0604030504040204"/>
    <w:charset w:val="88"/>
    <w:family w:val="auto"/>
    <w:pitch w:val="default"/>
    <w:sig w:usb0="000002A7" w:usb1="28CF4400" w:usb2="00000016" w:usb3="00000000" w:csb0="00100009"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14:paraId="1F079E53">
      <w:pPr>
        <w:pStyle w:val="6"/>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1">
    <w:p w14:paraId="0251AAD3">
      <w:pPr>
        <w:pStyle w:val="6"/>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2">
    <w:p w14:paraId="12131DDF">
      <w:pPr>
        <w:pStyle w:val="6"/>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3">
    <w:p w14:paraId="026DB6DB">
      <w:pPr>
        <w:pStyle w:val="6"/>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4">
    <w:p w14:paraId="460C9493">
      <w:pPr>
        <w:pStyle w:val="6"/>
        <w:jc w:val="both"/>
        <w:rPr>
          <w:rFonts w:ascii="Arial" w:hAnsi="Arial" w:cs="Arial"/>
          <w:sz w:val="16"/>
          <w:szCs w:val="16"/>
        </w:rPr>
      </w:pPr>
      <w:r>
        <w:rPr>
          <w:rStyle w:val="5"/>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5">
    <w:p w14:paraId="6BAC9AE7">
      <w:pPr>
        <w:pStyle w:val="6"/>
        <w:jc w:val="both"/>
        <w:rPr>
          <w:rFonts w:ascii="Arial" w:hAnsi="Arial" w:cs="Arial"/>
          <w:sz w:val="16"/>
          <w:szCs w:val="16"/>
        </w:rPr>
      </w:pPr>
      <w:r>
        <w:rPr>
          <w:rStyle w:val="5"/>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6">
    <w:p w14:paraId="630F8622">
      <w:pPr>
        <w:pStyle w:val="6"/>
        <w:contextualSpacing/>
        <w:rPr>
          <w:rFonts w:ascii="Arial" w:hAnsi="Arial" w:cs="Arial"/>
          <w:sz w:val="14"/>
          <w:szCs w:val="16"/>
        </w:rPr>
      </w:pPr>
      <w:r>
        <w:rPr>
          <w:rStyle w:val="5"/>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7">
    <w:p w14:paraId="6599A788">
      <w:pPr>
        <w:pStyle w:val="6"/>
        <w:jc w:val="both"/>
        <w:rPr>
          <w:rFonts w:ascii="Arial" w:hAnsi="Arial" w:cs="Arial"/>
          <w:sz w:val="14"/>
          <w:szCs w:val="14"/>
        </w:rPr>
      </w:pPr>
      <w:r>
        <w:rPr>
          <w:rStyle w:val="5"/>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2F0DDDFE">
      <w:pPr>
        <w:jc w:val="both"/>
        <w:rPr>
          <w:rFonts w:ascii="Arial" w:hAnsi="Arial" w:cs="Arial"/>
          <w:color w:val="000000"/>
          <w:sz w:val="16"/>
          <w:szCs w:val="16"/>
        </w:rPr>
      </w:pPr>
      <w:r>
        <w:rPr>
          <w:rStyle w:val="5"/>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44495B67"/>
    <w:multiLevelType w:val="multilevel"/>
    <w:tmpl w:val="44495B67"/>
    <w:lvl w:ilvl="0" w:tentative="0">
      <w:start w:val="1"/>
      <w:numFmt w:val="bullet"/>
      <w:lvlText w:val=""/>
      <w:lvlJc w:val="left"/>
      <w:pPr>
        <w:ind w:left="1800" w:hanging="360"/>
      </w:pPr>
      <w:rPr>
        <w:rFonts w:hint="default" w:ascii="Symbol" w:hAnsi="Symbol"/>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3">
    <w:nsid w:val="4532F077"/>
    <w:multiLevelType w:val="singleLevel"/>
    <w:tmpl w:val="4532F077"/>
    <w:lvl w:ilvl="0" w:tentative="0">
      <w:start w:val="1"/>
      <w:numFmt w:val="decimal"/>
      <w:suff w:val="space"/>
      <w:lvlText w:val="%1)"/>
      <w:lvlJc w:val="left"/>
    </w:lvl>
  </w:abstractNum>
  <w:abstractNum w:abstractNumId="4">
    <w:nsid w:val="510A29DE"/>
    <w:multiLevelType w:val="multilevel"/>
    <w:tmpl w:val="510A29DE"/>
    <w:lvl w:ilvl="0" w:tentative="0">
      <w:start w:val="1"/>
      <w:numFmt w:val="bullet"/>
      <w:lvlText w:val=""/>
      <w:lvlJc w:val="left"/>
      <w:pPr>
        <w:ind w:left="1778" w:hanging="360"/>
      </w:pPr>
      <w:rPr>
        <w:rFonts w:hint="default" w:ascii="Symbol" w:hAnsi="Symbol"/>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5">
    <w:nsid w:val="6764291E"/>
    <w:multiLevelType w:val="multilevel"/>
    <w:tmpl w:val="6764291E"/>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6B5B4477"/>
    <w:multiLevelType w:val="multilevel"/>
    <w:tmpl w:val="6B5B4477"/>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EAE6A37"/>
    <w:multiLevelType w:val="multilevel"/>
    <w:tmpl w:val="6EAE6A3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 w:numId="3">
    <w:abstractNumId w:val="2"/>
  </w:num>
  <w:num w:numId="4">
    <w:abstractNumId w:val="4"/>
  </w:num>
  <w:num w:numId="5">
    <w:abstractNumId w:val="5"/>
  </w:num>
  <w:num w:numId="6">
    <w:abstractNumId w:val="7"/>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18"/>
    <w:footnote w:id="19"/>
  </w:foot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D4"/>
    <w:rsid w:val="00010A88"/>
    <w:rsid w:val="000845CE"/>
    <w:rsid w:val="001110FD"/>
    <w:rsid w:val="001B1A1D"/>
    <w:rsid w:val="00265BDA"/>
    <w:rsid w:val="002C1DF7"/>
    <w:rsid w:val="002C3291"/>
    <w:rsid w:val="004A7F47"/>
    <w:rsid w:val="00530914"/>
    <w:rsid w:val="00533099"/>
    <w:rsid w:val="005B0AB0"/>
    <w:rsid w:val="00676534"/>
    <w:rsid w:val="00691C76"/>
    <w:rsid w:val="006C0ECB"/>
    <w:rsid w:val="006C7C6E"/>
    <w:rsid w:val="00704748"/>
    <w:rsid w:val="007517B8"/>
    <w:rsid w:val="00844E7E"/>
    <w:rsid w:val="008C7FBE"/>
    <w:rsid w:val="00A033AC"/>
    <w:rsid w:val="00AC1C0B"/>
    <w:rsid w:val="00AC3A64"/>
    <w:rsid w:val="00B00D28"/>
    <w:rsid w:val="00BB2F09"/>
    <w:rsid w:val="00BC12A6"/>
    <w:rsid w:val="00C4258F"/>
    <w:rsid w:val="00C77FE3"/>
    <w:rsid w:val="00CB7DD4"/>
    <w:rsid w:val="00CD3536"/>
    <w:rsid w:val="00DE1AC2"/>
    <w:rsid w:val="00EE50EB"/>
    <w:rsid w:val="00FA7AE8"/>
    <w:rsid w:val="00FB3E41"/>
    <w:rsid w:val="00FB6B9A"/>
    <w:rsid w:val="010467A1"/>
    <w:rsid w:val="0182654C"/>
    <w:rsid w:val="01A677D7"/>
    <w:rsid w:val="020853DB"/>
    <w:rsid w:val="02153BB4"/>
    <w:rsid w:val="02F632E0"/>
    <w:rsid w:val="03072609"/>
    <w:rsid w:val="03740749"/>
    <w:rsid w:val="047D6AC0"/>
    <w:rsid w:val="04B425C4"/>
    <w:rsid w:val="0704058A"/>
    <w:rsid w:val="08021077"/>
    <w:rsid w:val="0882267F"/>
    <w:rsid w:val="09BD1444"/>
    <w:rsid w:val="09C84CD6"/>
    <w:rsid w:val="0A054415"/>
    <w:rsid w:val="0B2A50B3"/>
    <w:rsid w:val="0B5A60E7"/>
    <w:rsid w:val="0CDF54F2"/>
    <w:rsid w:val="0F3570D4"/>
    <w:rsid w:val="0F94211D"/>
    <w:rsid w:val="104C382C"/>
    <w:rsid w:val="10AD7E95"/>
    <w:rsid w:val="1199230C"/>
    <w:rsid w:val="119A56B6"/>
    <w:rsid w:val="129C348E"/>
    <w:rsid w:val="12A75DDF"/>
    <w:rsid w:val="12BA46A8"/>
    <w:rsid w:val="12E82000"/>
    <w:rsid w:val="13304648"/>
    <w:rsid w:val="13355A9B"/>
    <w:rsid w:val="13AB6B06"/>
    <w:rsid w:val="13B528C6"/>
    <w:rsid w:val="13BB02C7"/>
    <w:rsid w:val="143B675F"/>
    <w:rsid w:val="149134DD"/>
    <w:rsid w:val="14A764D8"/>
    <w:rsid w:val="14CC51E3"/>
    <w:rsid w:val="15B1280C"/>
    <w:rsid w:val="15E92B64"/>
    <w:rsid w:val="167A20EE"/>
    <w:rsid w:val="16946B78"/>
    <w:rsid w:val="16A268E5"/>
    <w:rsid w:val="16CD5BE6"/>
    <w:rsid w:val="16F94C67"/>
    <w:rsid w:val="170568EC"/>
    <w:rsid w:val="17D3768B"/>
    <w:rsid w:val="186E045C"/>
    <w:rsid w:val="18873593"/>
    <w:rsid w:val="1A0142C8"/>
    <w:rsid w:val="1B48577A"/>
    <w:rsid w:val="1B7770E7"/>
    <w:rsid w:val="1D596DAC"/>
    <w:rsid w:val="1FD257A9"/>
    <w:rsid w:val="1FFC12EA"/>
    <w:rsid w:val="204609CE"/>
    <w:rsid w:val="216453A6"/>
    <w:rsid w:val="21D02A2F"/>
    <w:rsid w:val="21F7390F"/>
    <w:rsid w:val="22FE5CD5"/>
    <w:rsid w:val="233E7AE3"/>
    <w:rsid w:val="23FF0219"/>
    <w:rsid w:val="241F5F34"/>
    <w:rsid w:val="24466D8E"/>
    <w:rsid w:val="246D799A"/>
    <w:rsid w:val="24FF78ED"/>
    <w:rsid w:val="26F43175"/>
    <w:rsid w:val="28673056"/>
    <w:rsid w:val="293365D2"/>
    <w:rsid w:val="2945261F"/>
    <w:rsid w:val="2BE07D12"/>
    <w:rsid w:val="2CA74748"/>
    <w:rsid w:val="2D7F5B60"/>
    <w:rsid w:val="2E0317A5"/>
    <w:rsid w:val="2E312AA7"/>
    <w:rsid w:val="2F52325C"/>
    <w:rsid w:val="311F2ED7"/>
    <w:rsid w:val="32A85B6B"/>
    <w:rsid w:val="32B4220A"/>
    <w:rsid w:val="32FD564D"/>
    <w:rsid w:val="334C5DB8"/>
    <w:rsid w:val="339662D2"/>
    <w:rsid w:val="33CA38CE"/>
    <w:rsid w:val="34470052"/>
    <w:rsid w:val="34C55315"/>
    <w:rsid w:val="35714746"/>
    <w:rsid w:val="37386C54"/>
    <w:rsid w:val="37B7245C"/>
    <w:rsid w:val="37F91FB1"/>
    <w:rsid w:val="381260C4"/>
    <w:rsid w:val="38C45315"/>
    <w:rsid w:val="39513104"/>
    <w:rsid w:val="3A356B32"/>
    <w:rsid w:val="3B23102C"/>
    <w:rsid w:val="3B97548F"/>
    <w:rsid w:val="3BB02335"/>
    <w:rsid w:val="3CE96503"/>
    <w:rsid w:val="3D694E77"/>
    <w:rsid w:val="3D6A795E"/>
    <w:rsid w:val="3DBA4175"/>
    <w:rsid w:val="3DFD76EB"/>
    <w:rsid w:val="3DFF5494"/>
    <w:rsid w:val="3F5D6B63"/>
    <w:rsid w:val="40BD51B0"/>
    <w:rsid w:val="40E47D03"/>
    <w:rsid w:val="4136343A"/>
    <w:rsid w:val="417530D5"/>
    <w:rsid w:val="41EA2122"/>
    <w:rsid w:val="427846A8"/>
    <w:rsid w:val="4338369B"/>
    <w:rsid w:val="45F20E47"/>
    <w:rsid w:val="45F416D5"/>
    <w:rsid w:val="45F95D9F"/>
    <w:rsid w:val="46095DF7"/>
    <w:rsid w:val="46B41FA9"/>
    <w:rsid w:val="470D1349"/>
    <w:rsid w:val="4725724D"/>
    <w:rsid w:val="47FA6979"/>
    <w:rsid w:val="48163C43"/>
    <w:rsid w:val="494263AF"/>
    <w:rsid w:val="49C66D3D"/>
    <w:rsid w:val="4A485DEB"/>
    <w:rsid w:val="4B0D4CFF"/>
    <w:rsid w:val="4B5C0247"/>
    <w:rsid w:val="4B7F5814"/>
    <w:rsid w:val="4C1D644B"/>
    <w:rsid w:val="4C3A12B7"/>
    <w:rsid w:val="4E89289B"/>
    <w:rsid w:val="4EF22F11"/>
    <w:rsid w:val="4F42634C"/>
    <w:rsid w:val="4FA26D69"/>
    <w:rsid w:val="51AC22D6"/>
    <w:rsid w:val="52606C37"/>
    <w:rsid w:val="52CA6EA2"/>
    <w:rsid w:val="53844015"/>
    <w:rsid w:val="53EC1D2A"/>
    <w:rsid w:val="53F513BE"/>
    <w:rsid w:val="544A53F9"/>
    <w:rsid w:val="544F6952"/>
    <w:rsid w:val="546B49DC"/>
    <w:rsid w:val="54C00DE0"/>
    <w:rsid w:val="54FA58A1"/>
    <w:rsid w:val="553B6EBD"/>
    <w:rsid w:val="55D5176B"/>
    <w:rsid w:val="57203FDD"/>
    <w:rsid w:val="57B76D0C"/>
    <w:rsid w:val="587E502A"/>
    <w:rsid w:val="58E50271"/>
    <w:rsid w:val="592179C3"/>
    <w:rsid w:val="5B215ACE"/>
    <w:rsid w:val="5B9A79C5"/>
    <w:rsid w:val="5CC02939"/>
    <w:rsid w:val="5CD656C8"/>
    <w:rsid w:val="5D526D60"/>
    <w:rsid w:val="5D6B4D01"/>
    <w:rsid w:val="5E063299"/>
    <w:rsid w:val="5F822845"/>
    <w:rsid w:val="5FD42B18"/>
    <w:rsid w:val="60034C1C"/>
    <w:rsid w:val="60285EA0"/>
    <w:rsid w:val="60754C13"/>
    <w:rsid w:val="60A64A45"/>
    <w:rsid w:val="61B168FB"/>
    <w:rsid w:val="61CB4DFE"/>
    <w:rsid w:val="628654F6"/>
    <w:rsid w:val="633223A9"/>
    <w:rsid w:val="6408331E"/>
    <w:rsid w:val="64135FBD"/>
    <w:rsid w:val="64E50CD5"/>
    <w:rsid w:val="65AE59DE"/>
    <w:rsid w:val="669C24AC"/>
    <w:rsid w:val="66C11F13"/>
    <w:rsid w:val="66C15722"/>
    <w:rsid w:val="6701149E"/>
    <w:rsid w:val="673D04F4"/>
    <w:rsid w:val="6772447A"/>
    <w:rsid w:val="68F63F17"/>
    <w:rsid w:val="695D5F23"/>
    <w:rsid w:val="697F1B3E"/>
    <w:rsid w:val="6A8A6DCA"/>
    <w:rsid w:val="6A8C1CA0"/>
    <w:rsid w:val="6BDB041A"/>
    <w:rsid w:val="6E832D09"/>
    <w:rsid w:val="6F136DCF"/>
    <w:rsid w:val="6F2A0EF1"/>
    <w:rsid w:val="701E7282"/>
    <w:rsid w:val="702E4A5E"/>
    <w:rsid w:val="70473640"/>
    <w:rsid w:val="716C7B3D"/>
    <w:rsid w:val="728C1131"/>
    <w:rsid w:val="74230CD8"/>
    <w:rsid w:val="74757D73"/>
    <w:rsid w:val="749F638C"/>
    <w:rsid w:val="75235A27"/>
    <w:rsid w:val="75897D86"/>
    <w:rsid w:val="763C778B"/>
    <w:rsid w:val="764D1B55"/>
    <w:rsid w:val="77A27DB1"/>
    <w:rsid w:val="78A82663"/>
    <w:rsid w:val="78D96864"/>
    <w:rsid w:val="7A66105B"/>
    <w:rsid w:val="7AED1AF4"/>
    <w:rsid w:val="7AF519AB"/>
    <w:rsid w:val="7CB44141"/>
    <w:rsid w:val="7CE514E5"/>
    <w:rsid w:val="7DB77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3"/>
    <w:unhideWhenUsed/>
    <w:qFormat/>
    <w:uiPriority w:val="99"/>
    <w:pPr>
      <w:tabs>
        <w:tab w:val="center" w:pos="4680"/>
        <w:tab w:val="right" w:pos="9360"/>
      </w:tabs>
    </w:pPr>
  </w:style>
  <w:style w:type="character" w:styleId="5">
    <w:name w:val="footnote reference"/>
    <w:unhideWhenUsed/>
    <w:qFormat/>
    <w:uiPriority w:val="99"/>
    <w:rPr>
      <w:vertAlign w:val="superscript"/>
    </w:rPr>
  </w:style>
  <w:style w:type="paragraph" w:styleId="6">
    <w:name w:val="footnote text"/>
    <w:basedOn w:val="1"/>
    <w:link w:val="10"/>
    <w:unhideWhenUsed/>
    <w:qFormat/>
    <w:uiPriority w:val="99"/>
    <w:rPr>
      <w:rFonts w:ascii="Calibri" w:hAnsi="Calibri" w:eastAsia="Calibri"/>
      <w:sz w:val="20"/>
      <w:szCs w:val="20"/>
    </w:rPr>
  </w:style>
  <w:style w:type="paragraph" w:styleId="7">
    <w:name w:val="header"/>
    <w:basedOn w:val="1"/>
    <w:link w:val="12"/>
    <w:unhideWhenUsed/>
    <w:qFormat/>
    <w:uiPriority w:val="99"/>
    <w:pPr>
      <w:tabs>
        <w:tab w:val="center" w:pos="4680"/>
        <w:tab w:val="right" w:pos="9360"/>
      </w:tabs>
    </w:pPr>
  </w:style>
  <w:style w:type="character" w:styleId="8">
    <w:name w:val="Hyperlink"/>
    <w:qFormat/>
    <w:uiPriority w:val="99"/>
    <w:rPr>
      <w:color w:val="0000FF"/>
      <w:u w:val="single"/>
    </w:rPr>
  </w:style>
  <w:style w:type="paragraph" w:styleId="9">
    <w:name w:val="Normal (Web)"/>
    <w:basedOn w:val="1"/>
    <w:semiHidden/>
    <w:unhideWhenUsed/>
    <w:qFormat/>
    <w:uiPriority w:val="99"/>
  </w:style>
  <w:style w:type="character" w:customStyle="1" w:styleId="10">
    <w:name w:val="Footnote Text Char"/>
    <w:basedOn w:val="2"/>
    <w:link w:val="6"/>
    <w:qFormat/>
    <w:uiPriority w:val="99"/>
    <w:rPr>
      <w:rFonts w:ascii="Calibri" w:hAnsi="Calibri" w:eastAsia="Calibri" w:cs="Times New Roman"/>
      <w:sz w:val="20"/>
      <w:szCs w:val="20"/>
    </w:rPr>
  </w:style>
  <w:style w:type="paragraph" w:customStyle="1" w:styleId="11">
    <w:name w:val="T30X"/>
    <w:basedOn w:val="1"/>
    <w:qFormat/>
    <w:uiPriority w:val="99"/>
    <w:pPr>
      <w:autoSpaceDE w:val="0"/>
      <w:autoSpaceDN w:val="0"/>
      <w:adjustRightInd w:val="0"/>
      <w:spacing w:before="60" w:after="60"/>
      <w:ind w:firstLine="283"/>
      <w:jc w:val="both"/>
    </w:pPr>
    <w:rPr>
      <w:color w:val="000000"/>
      <w:sz w:val="22"/>
      <w:szCs w:val="22"/>
    </w:rPr>
  </w:style>
  <w:style w:type="character" w:customStyle="1" w:styleId="12">
    <w:name w:val="Header Char"/>
    <w:basedOn w:val="2"/>
    <w:link w:val="7"/>
    <w:qFormat/>
    <w:uiPriority w:val="99"/>
    <w:rPr>
      <w:rFonts w:eastAsia="Times New Roman"/>
      <w:sz w:val="24"/>
      <w:szCs w:val="24"/>
    </w:rPr>
  </w:style>
  <w:style w:type="character" w:customStyle="1" w:styleId="13">
    <w:name w:val="Footer Char"/>
    <w:basedOn w:val="2"/>
    <w:link w:val="4"/>
    <w:qFormat/>
    <w:uiPriority w:val="99"/>
    <w:rPr>
      <w:rFonts w:eastAsia="Times New Roman"/>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1C2BB-1E6D-4F7A-A5B7-6D61403CC4FE}">
  <ds:schemaRefs/>
</ds:datastoreItem>
</file>

<file path=docProps/app.xml><?xml version="1.0" encoding="utf-8"?>
<Properties xmlns="http://schemas.openxmlformats.org/officeDocument/2006/extended-properties" xmlns:vt="http://schemas.openxmlformats.org/officeDocument/2006/docPropsVTypes">
  <Template>Normal</Template>
  <Pages>12</Pages>
  <Words>2966</Words>
  <Characters>16912</Characters>
  <Lines>140</Lines>
  <Paragraphs>39</Paragraphs>
  <TotalTime>131</TotalTime>
  <ScaleCrop>false</ScaleCrop>
  <LinksUpToDate>false</LinksUpToDate>
  <CharactersWithSpaces>19839</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2024-02-05T10:58:00Z</dcterms:created>
  <dc:creator>aleksandar.pavlicevi</dc:creator>
  <cp:lastModifiedBy>WPS_1710147653</cp:lastModifiedBy>
  <cp:lastPrinted>2025-03-05T09:36:00Z</cp:lastPrinted>
  <dcterms:modified xsi:type="dcterms:W3CDTF">2025-03-11T08:06:41Z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116A77604F2F412DBE80FBE56A6C0B50_13</vt:lpwstr>
  </property>
</Properties>
</file>