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75323">
      <w:pPr>
        <w:jc w:val="right"/>
        <w:rPr>
          <w:rFonts w:ascii="Arial" w:hAnsi="Arial" w:cs="Arial"/>
          <w:b/>
          <w:color w:val="000000"/>
        </w:rPr>
      </w:pPr>
    </w:p>
    <w:p w14:paraId="55BD852D">
      <w:pPr>
        <w:jc w:val="right"/>
        <w:rPr>
          <w:rFonts w:ascii="Arial" w:hAnsi="Arial" w:cs="Arial"/>
          <w:b/>
          <w:color w:val="000000"/>
        </w:rPr>
      </w:pPr>
      <w:r>
        <w:rPr>
          <w:rFonts w:ascii="Arial" w:hAnsi="Arial" w:cs="Arial"/>
          <w:b/>
          <w:color w:val="000000"/>
        </w:rPr>
        <w:t xml:space="preserve">OBRAZAC 1  </w:t>
      </w:r>
    </w:p>
    <w:p w14:paraId="3FFC0290">
      <w:pPr>
        <w:jc w:val="both"/>
        <w:rPr>
          <w:rFonts w:ascii="Arial" w:hAnsi="Arial" w:cs="Arial"/>
        </w:rPr>
      </w:pPr>
      <w:r>
        <w:rPr>
          <w:rFonts w:ascii="Arial" w:hAnsi="Arial" w:cs="Arial"/>
        </w:rPr>
        <w:t>Opština Andrijevica</w:t>
      </w:r>
    </w:p>
    <w:p w14:paraId="5F420463">
      <w:pPr>
        <w:jc w:val="both"/>
        <w:rPr>
          <w:rFonts w:hint="default" w:ascii="Arial" w:hAnsi="Arial" w:cs="Arial"/>
          <w:lang w:val="sr-Latn-RS"/>
        </w:rPr>
      </w:pPr>
      <w:r>
        <w:rPr>
          <w:rFonts w:ascii="Arial" w:hAnsi="Arial" w:cs="Arial"/>
        </w:rPr>
        <w:t>Broj iz evidencije postupaka javnih nabavki: 018-</w:t>
      </w:r>
      <w:r>
        <w:rPr>
          <w:rFonts w:hint="default" w:ascii="Arial" w:hAnsi="Arial" w:cs="Arial"/>
          <w:lang w:val="sr-Latn-RS"/>
        </w:rPr>
        <w:t>1270/2021-01</w:t>
      </w:r>
    </w:p>
    <w:p w14:paraId="54817F56">
      <w:pPr>
        <w:jc w:val="both"/>
        <w:rPr>
          <w:rFonts w:hint="default" w:ascii="Arial" w:hAnsi="Arial" w:cs="Arial"/>
          <w:color w:val="000000"/>
          <w:lang w:val="sr-Latn-RS"/>
        </w:rPr>
      </w:pPr>
      <w:r>
        <w:rPr>
          <w:rFonts w:ascii="Arial" w:hAnsi="Arial" w:cs="Arial"/>
          <w:color w:val="000000"/>
        </w:rPr>
        <w:t xml:space="preserve">Redni broj iz Plana javnih nabavki : </w:t>
      </w:r>
      <w:r>
        <w:rPr>
          <w:rFonts w:hint="default" w:ascii="Arial" w:hAnsi="Arial" w:cs="Arial"/>
          <w:color w:val="000000"/>
          <w:lang w:val="sr-Latn-RS"/>
        </w:rPr>
        <w:t>13</w:t>
      </w:r>
    </w:p>
    <w:p w14:paraId="56BE6925">
      <w:pPr>
        <w:jc w:val="both"/>
        <w:rPr>
          <w:rFonts w:ascii="Arial" w:hAnsi="Arial" w:cs="Arial"/>
          <w:b/>
          <w:bCs/>
          <w:color w:val="000000"/>
        </w:rPr>
      </w:pPr>
      <w:r>
        <w:rPr>
          <w:rFonts w:ascii="Arial" w:hAnsi="Arial" w:cs="Arial"/>
          <w:color w:val="000000"/>
        </w:rPr>
        <w:t xml:space="preserve">Andrijevica, </w:t>
      </w:r>
      <w:r>
        <w:rPr>
          <w:rFonts w:hint="default" w:ascii="Arial" w:hAnsi="Arial" w:cs="Arial"/>
          <w:color w:val="000000"/>
          <w:lang w:val="sr-Latn-RS"/>
        </w:rPr>
        <w:t>28</w:t>
      </w:r>
      <w:r>
        <w:rPr>
          <w:rFonts w:ascii="Arial" w:hAnsi="Arial" w:cs="Arial"/>
          <w:color w:val="000000"/>
        </w:rPr>
        <w:t>.</w:t>
      </w:r>
      <w:r>
        <w:rPr>
          <w:rFonts w:hint="default" w:ascii="Arial" w:hAnsi="Arial" w:cs="Arial"/>
          <w:color w:val="000000"/>
          <w:lang w:val="sr-Latn-RS"/>
        </w:rPr>
        <w:t>11</w:t>
      </w:r>
      <w:r>
        <w:rPr>
          <w:rFonts w:ascii="Arial" w:hAnsi="Arial" w:cs="Arial"/>
          <w:color w:val="000000"/>
        </w:rPr>
        <w:t>.2024.god</w:t>
      </w:r>
    </w:p>
    <w:p w14:paraId="3698F792">
      <w:pPr>
        <w:rPr>
          <w:rFonts w:ascii="Arial" w:hAnsi="Arial" w:cs="Arial"/>
        </w:rPr>
      </w:pPr>
    </w:p>
    <w:p w14:paraId="4D73E4FF">
      <w:pPr>
        <w:rPr>
          <w:rFonts w:ascii="Arial" w:hAnsi="Arial" w:cs="Arial"/>
        </w:rPr>
      </w:pPr>
    </w:p>
    <w:p w14:paraId="08716F3A">
      <w:pPr>
        <w:rPr>
          <w:rFonts w:ascii="Arial" w:hAnsi="Arial" w:cs="Arial"/>
        </w:rPr>
      </w:pPr>
    </w:p>
    <w:p w14:paraId="7E26B12D">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3/23  I 11/23  Opština Andrijevica objavljuje:</w:t>
      </w:r>
    </w:p>
    <w:p w14:paraId="12223E9D">
      <w:pPr>
        <w:tabs>
          <w:tab w:val="left" w:pos="1276"/>
          <w:tab w:val="left" w:pos="3261"/>
        </w:tabs>
        <w:jc w:val="both"/>
        <w:rPr>
          <w:rFonts w:ascii="Arial" w:hAnsi="Arial" w:cs="Arial"/>
          <w:b/>
          <w:bCs/>
          <w:color w:val="000000"/>
        </w:rPr>
      </w:pPr>
    </w:p>
    <w:p w14:paraId="3466731E">
      <w:pPr>
        <w:tabs>
          <w:tab w:val="left" w:pos="1276"/>
          <w:tab w:val="left" w:pos="3261"/>
        </w:tabs>
        <w:jc w:val="both"/>
        <w:rPr>
          <w:rFonts w:ascii="Arial" w:hAnsi="Arial" w:cs="Arial"/>
          <w:b/>
          <w:bCs/>
          <w:color w:val="000000"/>
        </w:rPr>
      </w:pPr>
    </w:p>
    <w:p w14:paraId="6E0DF095">
      <w:pPr>
        <w:tabs>
          <w:tab w:val="left" w:pos="1276"/>
          <w:tab w:val="left" w:pos="3261"/>
        </w:tabs>
        <w:jc w:val="both"/>
        <w:rPr>
          <w:rFonts w:ascii="Arial" w:hAnsi="Arial" w:cs="Arial"/>
          <w:b/>
          <w:bCs/>
          <w:color w:val="000000"/>
        </w:rPr>
      </w:pPr>
    </w:p>
    <w:p w14:paraId="15A198FB">
      <w:pPr>
        <w:tabs>
          <w:tab w:val="left" w:pos="1276"/>
          <w:tab w:val="left" w:pos="3261"/>
        </w:tabs>
        <w:jc w:val="both"/>
        <w:rPr>
          <w:rFonts w:ascii="Arial" w:hAnsi="Arial" w:cs="Arial"/>
          <w:b/>
          <w:bCs/>
          <w:color w:val="000000"/>
        </w:rPr>
      </w:pPr>
    </w:p>
    <w:p w14:paraId="1AEEC5B2">
      <w:pPr>
        <w:tabs>
          <w:tab w:val="left" w:pos="1276"/>
          <w:tab w:val="left" w:pos="3261"/>
        </w:tabs>
        <w:jc w:val="both"/>
        <w:rPr>
          <w:rFonts w:ascii="Arial" w:hAnsi="Arial" w:cs="Arial"/>
          <w:b/>
          <w:bCs/>
          <w:color w:val="000000"/>
        </w:rPr>
      </w:pPr>
    </w:p>
    <w:p w14:paraId="33D7CB1A">
      <w:pPr>
        <w:tabs>
          <w:tab w:val="left" w:pos="1276"/>
          <w:tab w:val="left" w:pos="3261"/>
        </w:tabs>
        <w:jc w:val="both"/>
        <w:rPr>
          <w:rFonts w:ascii="Arial" w:hAnsi="Arial" w:cs="Arial"/>
        </w:rPr>
      </w:pPr>
      <w:r>
        <w:rPr>
          <w:rFonts w:ascii="Arial" w:hAnsi="Arial" w:cs="Arial"/>
          <w:b/>
          <w:bCs/>
          <w:color w:val="000000"/>
        </w:rPr>
        <w:tab/>
      </w:r>
    </w:p>
    <w:p w14:paraId="54AAE48F">
      <w:pPr>
        <w:keepNext/>
        <w:jc w:val="center"/>
        <w:outlineLvl w:val="0"/>
        <w:rPr>
          <w:rFonts w:ascii="Arial" w:hAnsi="Arial" w:cs="Arial"/>
          <w:b/>
          <w:bCs/>
          <w:color w:val="000000"/>
        </w:rPr>
      </w:pPr>
    </w:p>
    <w:p w14:paraId="7F380C30">
      <w:pPr>
        <w:jc w:val="center"/>
        <w:rPr>
          <w:rFonts w:ascii="Arial" w:hAnsi="Arial" w:cs="Arial"/>
          <w:b/>
          <w:bCs/>
          <w:color w:val="000000"/>
          <w:sz w:val="28"/>
          <w:szCs w:val="28"/>
        </w:rPr>
      </w:pPr>
      <w:r>
        <w:rPr>
          <w:rFonts w:ascii="Arial" w:hAnsi="Arial" w:cs="Arial"/>
          <w:b/>
          <w:bCs/>
          <w:color w:val="000000"/>
          <w:sz w:val="28"/>
          <w:szCs w:val="28"/>
        </w:rPr>
        <w:t>TENDERSKU DOKUMENTACIJU</w:t>
      </w:r>
    </w:p>
    <w:p w14:paraId="7DBF8BCA">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63B1C5A3">
      <w:pPr>
        <w:jc w:val="center"/>
        <w:rPr>
          <w:rFonts w:ascii="Arial" w:hAnsi="Arial" w:cs="Arial"/>
          <w:b/>
          <w:bCs/>
          <w:color w:val="000000"/>
          <w:sz w:val="28"/>
          <w:szCs w:val="28"/>
        </w:rPr>
      </w:pPr>
    </w:p>
    <w:p w14:paraId="1446F2E3">
      <w:pPr>
        <w:jc w:val="center"/>
        <w:rPr>
          <w:rFonts w:ascii="Arial" w:hAnsi="Arial" w:cs="Arial"/>
          <w:b/>
          <w:bCs/>
          <w:color w:val="000000"/>
          <w:sz w:val="22"/>
          <w:szCs w:val="22"/>
        </w:rPr>
      </w:pPr>
      <w:r>
        <w:rPr>
          <w:rFonts w:hint="default" w:ascii="Arial" w:hAnsi="Arial"/>
          <w:b/>
          <w:bCs/>
          <w:color w:val="000000"/>
          <w:sz w:val="22"/>
          <w:szCs w:val="22"/>
        </w:rPr>
        <w:t>Putnička motorna vozila</w:t>
      </w:r>
    </w:p>
    <w:p w14:paraId="45AF766B">
      <w:pPr>
        <w:rPr>
          <w:rFonts w:ascii="Arial" w:hAnsi="Arial" w:cs="Arial"/>
        </w:rPr>
      </w:pPr>
    </w:p>
    <w:p w14:paraId="371BCA25">
      <w:pPr>
        <w:jc w:val="both"/>
        <w:rPr>
          <w:rFonts w:ascii="Arial" w:hAnsi="Arial" w:cs="Arial"/>
          <w:color w:val="000000"/>
        </w:rPr>
      </w:pPr>
      <w:r>
        <w:rPr>
          <w:rFonts w:ascii="Arial" w:hAnsi="Arial" w:cs="Arial"/>
          <w:color w:val="000000"/>
        </w:rPr>
        <w:t>Predmet nabavke se nabavlja:</w:t>
      </w:r>
    </w:p>
    <w:p w14:paraId="634A1322">
      <w:pPr>
        <w:jc w:val="both"/>
        <w:rPr>
          <w:rFonts w:ascii="Arial" w:hAnsi="Arial" w:cs="Arial"/>
          <w:color w:val="000000"/>
        </w:rPr>
      </w:pPr>
    </w:p>
    <w:p w14:paraId="30ACEB92">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14:paraId="4863AFCB">
      <w:pPr>
        <w:jc w:val="both"/>
        <w:rPr>
          <w:rFonts w:ascii="Arial" w:hAnsi="Arial" w:cs="Arial"/>
          <w:color w:val="000000"/>
        </w:rPr>
      </w:pPr>
      <w:r>
        <w:rPr>
          <w:rFonts w:ascii="Arial" w:hAnsi="Arial" w:cs="Arial"/>
          <w:color w:val="000000"/>
        </w:rPr>
        <w:sym w:font="Wingdings" w:char="F0A8"/>
      </w:r>
      <w:r>
        <w:rPr>
          <w:rFonts w:ascii="Arial" w:hAnsi="Arial" w:cs="Arial"/>
          <w:color w:val="000000"/>
        </w:rPr>
        <w:t>po partijama</w:t>
      </w:r>
    </w:p>
    <w:p w14:paraId="06E839B1">
      <w:pPr>
        <w:rPr>
          <w:rFonts w:ascii="Arial" w:hAnsi="Arial" w:cs="Arial"/>
          <w:color w:val="000000"/>
        </w:rPr>
      </w:pPr>
    </w:p>
    <w:p w14:paraId="218E0473">
      <w:pPr>
        <w:rPr>
          <w:rFonts w:ascii="Arial" w:hAnsi="Arial" w:cs="Arial"/>
          <w:color w:val="000000"/>
        </w:rPr>
      </w:pPr>
    </w:p>
    <w:p w14:paraId="59BFFDD3">
      <w:pPr>
        <w:rPr>
          <w:rFonts w:ascii="Arial" w:hAnsi="Arial" w:cs="Arial"/>
          <w:color w:val="000000"/>
        </w:rPr>
      </w:pPr>
    </w:p>
    <w:p w14:paraId="1CBB7388">
      <w:pPr>
        <w:rPr>
          <w:rFonts w:ascii="Arial" w:hAnsi="Arial" w:cs="Arial"/>
          <w:color w:val="000000"/>
        </w:rPr>
      </w:pPr>
    </w:p>
    <w:p w14:paraId="1B9322F8">
      <w:pPr>
        <w:rPr>
          <w:rFonts w:ascii="Arial" w:hAnsi="Arial" w:cs="Arial"/>
          <w:color w:val="000000"/>
        </w:rPr>
      </w:pPr>
    </w:p>
    <w:p w14:paraId="77762CDB">
      <w:pPr>
        <w:rPr>
          <w:rFonts w:ascii="Arial" w:hAnsi="Arial" w:cs="Arial"/>
          <w:color w:val="000000"/>
        </w:rPr>
      </w:pPr>
    </w:p>
    <w:p w14:paraId="37416C7E">
      <w:pPr>
        <w:rPr>
          <w:rFonts w:ascii="Arial" w:hAnsi="Arial" w:cs="Arial"/>
          <w:color w:val="000000"/>
        </w:rPr>
      </w:pPr>
    </w:p>
    <w:p w14:paraId="31E35763">
      <w:pPr>
        <w:rPr>
          <w:rFonts w:ascii="Arial" w:hAnsi="Arial" w:cs="Arial"/>
          <w:color w:val="000000"/>
        </w:rPr>
      </w:pPr>
    </w:p>
    <w:p w14:paraId="1284945A">
      <w:pPr>
        <w:rPr>
          <w:rFonts w:ascii="Arial" w:hAnsi="Arial" w:cs="Arial"/>
          <w:color w:val="000000"/>
        </w:rPr>
      </w:pPr>
    </w:p>
    <w:p w14:paraId="14715F9A">
      <w:pPr>
        <w:rPr>
          <w:rFonts w:ascii="Arial" w:hAnsi="Arial" w:cs="Arial"/>
          <w:color w:val="000000"/>
        </w:rPr>
      </w:pPr>
    </w:p>
    <w:p w14:paraId="3C29E3B7">
      <w:pPr>
        <w:rPr>
          <w:rFonts w:ascii="Arial" w:hAnsi="Arial" w:cs="Arial"/>
          <w:color w:val="000000"/>
        </w:rPr>
      </w:pPr>
    </w:p>
    <w:p w14:paraId="1149EC99">
      <w:pPr>
        <w:rPr>
          <w:rFonts w:ascii="Arial" w:hAnsi="Arial" w:cs="Arial"/>
          <w:color w:val="000000"/>
        </w:rPr>
      </w:pPr>
    </w:p>
    <w:p w14:paraId="12218A8D">
      <w:pPr>
        <w:rPr>
          <w:rFonts w:ascii="Arial" w:hAnsi="Arial" w:cs="Arial"/>
          <w:color w:val="000000"/>
        </w:rPr>
      </w:pPr>
    </w:p>
    <w:p w14:paraId="1CA7B2D4">
      <w:pPr>
        <w:rPr>
          <w:rFonts w:ascii="Arial" w:hAnsi="Arial" w:cs="Arial"/>
          <w:color w:val="000000"/>
        </w:rPr>
      </w:pPr>
    </w:p>
    <w:p w14:paraId="6CC8BFED">
      <w:pPr>
        <w:rPr>
          <w:rFonts w:ascii="Arial" w:hAnsi="Arial" w:cs="Arial"/>
          <w:color w:val="000000"/>
        </w:rPr>
      </w:pPr>
    </w:p>
    <w:p w14:paraId="574D20CB">
      <w:pPr>
        <w:rPr>
          <w:rFonts w:ascii="Arial" w:hAnsi="Arial" w:cs="Arial"/>
          <w:color w:val="000000"/>
        </w:rPr>
      </w:pPr>
    </w:p>
    <w:p w14:paraId="5A3A377C">
      <w:pPr>
        <w:rPr>
          <w:rFonts w:ascii="Arial" w:hAnsi="Arial" w:cs="Arial"/>
          <w:color w:val="000000"/>
        </w:rPr>
      </w:pPr>
    </w:p>
    <w:p w14:paraId="5846F030">
      <w:pPr>
        <w:rPr>
          <w:rFonts w:ascii="Arial" w:hAnsi="Arial" w:cs="Arial"/>
          <w:color w:val="000000"/>
        </w:rPr>
      </w:pPr>
    </w:p>
    <w:p w14:paraId="01556A2F">
      <w:pPr>
        <w:rPr>
          <w:rFonts w:ascii="Arial" w:hAnsi="Arial" w:cs="Arial"/>
          <w:color w:val="000000"/>
        </w:rPr>
      </w:pPr>
    </w:p>
    <w:p w14:paraId="77E7D690">
      <w:pPr>
        <w:rPr>
          <w:rFonts w:ascii="Arial" w:hAnsi="Arial" w:cs="Arial"/>
          <w:color w:val="000000"/>
        </w:rPr>
      </w:pPr>
    </w:p>
    <w:p w14:paraId="1301E7A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194A897D">
      <w:pPr>
        <w:rPr>
          <w:rFonts w:ascii="Arial" w:hAnsi="Arial" w:cs="Arial"/>
          <w:b/>
          <w:bCs/>
          <w:color w:val="000000"/>
        </w:rPr>
      </w:pPr>
      <w:r>
        <w:rPr>
          <w:rFonts w:ascii="Arial" w:hAnsi="Arial" w:cs="Arial"/>
          <w:b/>
          <w:bCs/>
          <w:color w:val="000000"/>
        </w:rPr>
        <w:tab/>
      </w:r>
    </w:p>
    <w:p w14:paraId="15F6DFBA">
      <w:pPr>
        <w:ind w:left="360"/>
        <w:jc w:val="center"/>
        <w:rPr>
          <w:rFonts w:ascii="Arial" w:hAnsi="Arial" w:cs="Arial"/>
          <w:b/>
          <w:bCs/>
          <w:color w:val="000000"/>
        </w:rPr>
      </w:pPr>
    </w:p>
    <w:p w14:paraId="5F2744B4">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06E9DBDA">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41F05462">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3CE66CD4">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404A7D3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741289AD">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0FED6F06">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5B7B5E1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06E8A73C">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222C97CD">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2F67F9B3">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7E5F2203">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18FA9317">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567A860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65E5FF24">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65B0A362">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362B5672">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30FD3EB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5CABBB08">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0823DFA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083749B2">
      <w:pPr>
        <w:rPr>
          <w:rFonts w:ascii="Calibri" w:hAnsi="Calibri" w:eastAsia="Calibri"/>
          <w:color w:val="000000"/>
          <w:sz w:val="22"/>
          <w:szCs w:val="22"/>
        </w:rPr>
      </w:pPr>
    </w:p>
    <w:p w14:paraId="34EE0CCB">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56AC9DB7">
      <w:pPr>
        <w:rPr>
          <w:rFonts w:ascii="Calibri" w:hAnsi="Calibri" w:eastAsia="Calibri"/>
          <w:color w:val="000000"/>
          <w:sz w:val="22"/>
          <w:szCs w:val="22"/>
        </w:rPr>
      </w:pPr>
    </w:p>
    <w:p w14:paraId="2D0964CF">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1CB3ED1A">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71BA16FD">
      <w:pPr>
        <w:rPr>
          <w:rFonts w:ascii="Calibri" w:hAnsi="Calibri" w:eastAsia="Calibri"/>
          <w:color w:val="000000"/>
          <w:sz w:val="22"/>
          <w:szCs w:val="22"/>
        </w:rPr>
      </w:pPr>
    </w:p>
    <w:p w14:paraId="7FA2D41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48B27D2B">
      <w:pPr>
        <w:jc w:val="both"/>
        <w:rPr>
          <w:rFonts w:ascii="Arial" w:hAnsi="Arial" w:cs="Arial"/>
          <w:b/>
          <w:bCs/>
          <w:color w:val="000000"/>
        </w:rPr>
      </w:pPr>
    </w:p>
    <w:p w14:paraId="1C1E4202">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7779CA40">
      <w:pPr>
        <w:spacing w:after="160" w:line="259" w:lineRule="auto"/>
        <w:jc w:val="both"/>
        <w:rPr>
          <w:rFonts w:ascii="Arial" w:hAnsi="Arial" w:eastAsia="Calibri" w:cs="Arial"/>
          <w:color w:val="000000"/>
          <w:sz w:val="22"/>
          <w:szCs w:val="22"/>
        </w:rPr>
      </w:pPr>
    </w:p>
    <w:p w14:paraId="2A7D56B3">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29341F5E">
      <w:pPr>
        <w:spacing w:after="160" w:line="259" w:lineRule="auto"/>
        <w:jc w:val="both"/>
        <w:rPr>
          <w:rFonts w:hint="default" w:ascii="Arial" w:hAnsi="Arial" w:eastAsia="Calibri" w:cs="Arial"/>
          <w:color w:val="000000"/>
          <w:sz w:val="22"/>
          <w:szCs w:val="22"/>
          <w:lang w:val="sr-Latn-RS"/>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kao cjeline je </w:t>
      </w:r>
      <w:r>
        <w:rPr>
          <w:rFonts w:hint="default" w:ascii="Arial" w:hAnsi="Arial" w:eastAsia="Calibri" w:cs="Arial"/>
          <w:color w:val="000000"/>
          <w:sz w:val="22"/>
          <w:szCs w:val="22"/>
          <w:lang w:val="sr-Latn-RS"/>
        </w:rPr>
        <w:t>44.300,00</w:t>
      </w:r>
    </w:p>
    <w:p w14:paraId="3B5C947B">
      <w:pPr>
        <w:jc w:val="both"/>
        <w:rPr>
          <w:rFonts w:ascii="Arial" w:hAnsi="Arial" w:cs="Arial"/>
          <w:b/>
          <w:bCs/>
          <w:color w:val="000000"/>
        </w:rPr>
      </w:pPr>
    </w:p>
    <w:p w14:paraId="4FCB9CFD">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5B6D284E">
      <w:pPr>
        <w:jc w:val="both"/>
        <w:rPr>
          <w:rFonts w:ascii="Arial" w:hAnsi="Arial" w:cs="Arial"/>
          <w:color w:val="000000"/>
        </w:rPr>
      </w:pPr>
      <w:r>
        <w:rPr>
          <w:rFonts w:ascii="Arial" w:hAnsi="Arial" w:cs="Arial"/>
          <w:color w:val="000000"/>
        </w:rPr>
        <w:t>Nije primjenjivo</w:t>
      </w:r>
    </w:p>
    <w:p w14:paraId="303E26A0">
      <w:pPr>
        <w:jc w:val="both"/>
        <w:rPr>
          <w:rFonts w:ascii="Arial" w:hAnsi="Arial" w:cs="Arial"/>
          <w:color w:val="000000"/>
        </w:rPr>
      </w:pPr>
    </w:p>
    <w:p w14:paraId="06B2F3F9">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20048A42">
      <w:pPr>
        <w:jc w:val="both"/>
        <w:rPr>
          <w:rFonts w:ascii="Arial" w:hAnsi="Arial" w:cs="Arial"/>
          <w:color w:val="000000"/>
        </w:rPr>
      </w:pPr>
    </w:p>
    <w:p w14:paraId="31F80C08">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65CB3D1B">
      <w:pPr>
        <w:jc w:val="both"/>
        <w:rPr>
          <w:rFonts w:ascii="Arial" w:hAnsi="Arial" w:cs="Arial"/>
          <w:color w:val="000000"/>
        </w:rPr>
      </w:pPr>
    </w:p>
    <w:p w14:paraId="578891F2">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14:paraId="1D0BAAFB">
      <w:pPr>
        <w:jc w:val="both"/>
        <w:rPr>
          <w:rFonts w:ascii="Arial" w:hAnsi="Arial" w:cs="Arial"/>
          <w:color w:val="000000"/>
        </w:rPr>
      </w:pPr>
      <w:r>
        <w:rPr>
          <w:rFonts w:ascii="Arial" w:hAnsi="Arial" w:cs="Arial"/>
          <w:color w:val="000000"/>
        </w:rPr>
        <w:sym w:font="Wingdings" w:char="F0A8"/>
      </w:r>
      <w:r>
        <w:rPr>
          <w:rFonts w:ascii="Arial" w:hAnsi="Arial" w:cs="Arial"/>
          <w:color w:val="000000"/>
        </w:rPr>
        <w:t>da</w:t>
      </w:r>
    </w:p>
    <w:p w14:paraId="7E4EA7DB">
      <w:pPr>
        <w:jc w:val="both"/>
        <w:rPr>
          <w:rFonts w:ascii="Arial" w:hAnsi="Arial" w:cs="Arial"/>
          <w:color w:val="000000"/>
        </w:rPr>
      </w:pPr>
    </w:p>
    <w:p w14:paraId="17BB3972">
      <w:pPr>
        <w:jc w:val="both"/>
        <w:rPr>
          <w:rFonts w:ascii="Arial" w:hAnsi="Arial" w:cs="Arial"/>
        </w:rPr>
      </w:pPr>
    </w:p>
    <w:p w14:paraId="67B5D624">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35B66AA">
      <w:pPr>
        <w:jc w:val="both"/>
        <w:rPr>
          <w:rFonts w:ascii="Arial" w:hAnsi="Arial" w:cs="Arial"/>
        </w:rPr>
      </w:pPr>
    </w:p>
    <w:p w14:paraId="56170B39">
      <w:pPr>
        <w:jc w:val="both"/>
        <w:rPr>
          <w:rFonts w:hint="default" w:ascii="Arial" w:hAnsi="Arial" w:cs="Arial"/>
          <w:color w:val="222A35"/>
          <w:lang w:val="sr-Latn-RS"/>
        </w:rPr>
      </w:pPr>
      <w:r>
        <w:rPr>
          <w:rFonts w:hint="default" w:ascii="Arial" w:hAnsi="Arial" w:cs="Arial"/>
          <w:color w:val="222A35"/>
          <w:lang w:val="sr-Latn-RS"/>
        </w:rPr>
        <w:t>Nije primjenjivo</w:t>
      </w:r>
    </w:p>
    <w:p w14:paraId="43FC1812">
      <w:pPr>
        <w:jc w:val="both"/>
        <w:rPr>
          <w:rFonts w:ascii="Arial" w:hAnsi="Arial" w:cs="Arial"/>
        </w:rPr>
      </w:pPr>
    </w:p>
    <w:p w14:paraId="7ED74A43">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p>
    <w:p w14:paraId="329AD2E5">
      <w:pPr>
        <w:jc w:val="both"/>
        <w:rPr>
          <w:rFonts w:ascii="Arial" w:hAnsi="Arial" w:cs="Arial"/>
          <w:color w:val="222A35"/>
        </w:rPr>
      </w:pPr>
      <w:r>
        <w:rPr>
          <w:rFonts w:hint="default" w:ascii="Arial" w:hAnsi="Arial" w:cs="Arial"/>
          <w:color w:val="222A35"/>
          <w:lang w:val="sr-Latn-RS"/>
        </w:rPr>
        <w:t>NE</w:t>
      </w:r>
      <w:r>
        <w:rPr>
          <w:rFonts w:ascii="Arial" w:hAnsi="Arial" w:cs="Arial"/>
          <w:color w:val="222A35"/>
        </w:rPr>
        <w:t>___________________________________________________________________</w:t>
      </w:r>
    </w:p>
    <w:p w14:paraId="55432286">
      <w:pPr>
        <w:jc w:val="both"/>
        <w:rPr>
          <w:rFonts w:ascii="Arial" w:hAnsi="Arial" w:cs="Arial"/>
          <w:color w:val="000000"/>
        </w:rPr>
      </w:pPr>
    </w:p>
    <w:p w14:paraId="141F7EFA">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14:paraId="6A3005D2">
      <w:pPr>
        <w:jc w:val="both"/>
        <w:rPr>
          <w:rFonts w:ascii="Arial" w:hAnsi="Arial" w:cs="Arial"/>
          <w:b/>
          <w:bCs/>
          <w:color w:val="000000"/>
        </w:rPr>
      </w:pPr>
    </w:p>
    <w:p w14:paraId="4B1E2375">
      <w:pPr>
        <w:jc w:val="both"/>
        <w:rPr>
          <w:rFonts w:ascii="Arial" w:hAnsi="Arial" w:cs="Arial"/>
        </w:rPr>
      </w:pPr>
      <w:r>
        <w:rPr>
          <w:rFonts w:ascii="Arial" w:hAnsi="Arial" w:cs="Arial"/>
        </w:rPr>
        <w:t>Mogućnost podnošenja ponude sa varijantama</w:t>
      </w:r>
    </w:p>
    <w:p w14:paraId="0DF7EB4F">
      <w:pPr>
        <w:jc w:val="both"/>
        <w:rPr>
          <w:rFonts w:ascii="Arial" w:hAnsi="Arial" w:cs="Arial"/>
        </w:rPr>
      </w:pPr>
    </w:p>
    <w:p w14:paraId="6C22465C">
      <w:pPr>
        <w:jc w:val="both"/>
        <w:rPr>
          <w:rFonts w:ascii="Arial" w:hAnsi="Arial" w:cs="Arial"/>
          <w:color w:val="000000"/>
        </w:rPr>
      </w:pPr>
      <w:r>
        <w:rPr>
          <w:rFonts w:ascii="Arial" w:hAnsi="Arial" w:cs="Arial"/>
          <w:color w:val="000000"/>
        </w:rPr>
        <w:sym w:font="Wingdings" w:char="F078"/>
      </w:r>
      <w:r>
        <w:rPr>
          <w:rFonts w:ascii="Arial" w:hAnsi="Arial" w:cs="Arial"/>
        </w:rPr>
        <w:t>Varijante ponude nijesu dozvoljene i neće biti razmatrane.</w:t>
      </w:r>
    </w:p>
    <w:p w14:paraId="32BEB9AE">
      <w:pPr>
        <w:jc w:val="both"/>
        <w:rPr>
          <w:rFonts w:ascii="Arial" w:hAnsi="Arial" w:cs="Arial"/>
        </w:rPr>
      </w:pPr>
      <w:r>
        <w:rPr>
          <w:rFonts w:ascii="Arial" w:hAnsi="Arial" w:cs="Arial"/>
          <w:color w:val="000000"/>
        </w:rPr>
        <w:sym w:font="Wingdings" w:char="F0A8"/>
      </w:r>
      <w:r>
        <w:rPr>
          <w:rFonts w:ascii="Arial" w:hAnsi="Arial" w:cs="Arial"/>
        </w:rPr>
        <w:t>Varijante ponude su dozvoljene.</w:t>
      </w:r>
    </w:p>
    <w:p w14:paraId="6E25A516">
      <w:pPr>
        <w:jc w:val="both"/>
        <w:rPr>
          <w:rFonts w:ascii="Arial" w:hAnsi="Arial" w:cs="Arial"/>
          <w:b/>
          <w:bCs/>
          <w:color w:val="FF0000"/>
        </w:rPr>
      </w:pPr>
    </w:p>
    <w:p w14:paraId="5107A84B">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3B8C0643">
      <w:pPr>
        <w:jc w:val="both"/>
        <w:rPr>
          <w:rFonts w:ascii="Arial" w:hAnsi="Arial" w:cs="Arial"/>
          <w:b/>
          <w:bCs/>
          <w:color w:val="FF0000"/>
        </w:rPr>
      </w:pPr>
    </w:p>
    <w:p w14:paraId="4C533D31">
      <w:pPr>
        <w:jc w:val="both"/>
        <w:rPr>
          <w:rFonts w:ascii="Arial" w:hAnsi="Arial" w:cs="Arial"/>
        </w:rPr>
      </w:pPr>
      <w:r>
        <w:rPr>
          <w:rFonts w:ascii="Arial" w:hAnsi="Arial" w:cs="Arial"/>
          <w:color w:val="000000"/>
        </w:rPr>
        <w:sym w:font="Wingdings" w:char="F0A8"/>
      </w:r>
      <w:r>
        <w:rPr>
          <w:rFonts w:ascii="Arial" w:hAnsi="Arial" w:cs="Arial"/>
        </w:rPr>
        <w:t>Da</w:t>
      </w:r>
    </w:p>
    <w:p w14:paraId="116734D3">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0979A61F">
      <w:pPr>
        <w:jc w:val="both"/>
        <w:rPr>
          <w:rFonts w:ascii="Arial" w:hAnsi="Arial" w:cs="Arial"/>
          <w:b/>
          <w:bCs/>
          <w:color w:val="FF0000"/>
        </w:rPr>
      </w:pPr>
    </w:p>
    <w:p w14:paraId="7848A888">
      <w:pPr>
        <w:jc w:val="both"/>
        <w:rPr>
          <w:rFonts w:ascii="Arial" w:hAnsi="Arial" w:cs="Arial"/>
          <w:bCs/>
          <w:color w:val="000000"/>
        </w:rPr>
      </w:pPr>
      <w:r>
        <w:rPr>
          <w:rFonts w:ascii="Arial" w:hAnsi="Arial" w:cs="Arial"/>
          <w:bCs/>
          <w:color w:val="000000"/>
        </w:rPr>
        <w:t>Vrsta i uslovi rezervisane nabavke:__________________________ .</w:t>
      </w:r>
    </w:p>
    <w:p w14:paraId="570FBFA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1CD12FE1">
      <w:pPr>
        <w:jc w:val="both"/>
        <w:rPr>
          <w:rFonts w:ascii="Arial" w:hAnsi="Arial" w:cs="Arial"/>
          <w:bCs/>
          <w:color w:val="FF0000"/>
        </w:rPr>
      </w:pPr>
    </w:p>
    <w:p w14:paraId="37790F6B">
      <w:pPr>
        <w:jc w:val="both"/>
        <w:rPr>
          <w:rFonts w:hint="default" w:ascii="Arial" w:hAnsi="Arial" w:cs="Arial"/>
          <w:bCs/>
          <w:color w:val="000000" w:themeColor="text1"/>
          <w:lang w:val="sr-Latn-RS"/>
          <w14:textFill>
            <w14:solidFill>
              <w14:schemeClr w14:val="tx1"/>
            </w14:solidFill>
          </w14:textFill>
        </w:rPr>
      </w:pPr>
      <w:r>
        <w:rPr>
          <w:rFonts w:hint="default" w:ascii="Arial" w:hAnsi="Arial" w:cs="Arial"/>
          <w:bCs/>
          <w:color w:val="000000" w:themeColor="text1"/>
          <w:lang w:val="sr-Latn-RS"/>
          <w14:textFill>
            <w14:solidFill>
              <w14:schemeClr w14:val="tx1"/>
            </w14:solidFill>
          </w14:textFill>
        </w:rPr>
        <w:t>Nije Primljenivo</w:t>
      </w:r>
    </w:p>
    <w:p w14:paraId="1AA89E5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4C2C4E9D">
      <w:pPr>
        <w:jc w:val="both"/>
        <w:rPr>
          <w:rFonts w:ascii="Arial" w:hAnsi="Arial" w:cs="Arial"/>
        </w:rPr>
      </w:pPr>
    </w:p>
    <w:p w14:paraId="66FF7574">
      <w:pPr>
        <w:rPr>
          <w:rFonts w:ascii="Arial" w:hAnsi="Arial" w:cs="Arial"/>
        </w:rPr>
      </w:pPr>
      <w:r>
        <w:rPr>
          <w:rFonts w:ascii="Arial" w:hAnsi="Arial" w:cs="Arial"/>
        </w:rPr>
        <w:t xml:space="preserve">Privredni subjekat će se isključiti iz postupka javne nabavke, ako: </w:t>
      </w:r>
    </w:p>
    <w:p w14:paraId="7F9F072A">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430C2303">
      <w:pPr>
        <w:numPr>
          <w:ilvl w:val="0"/>
          <w:numId w:val="6"/>
        </w:numPr>
        <w:rPr>
          <w:rFonts w:ascii="Arial" w:hAnsi="Arial" w:cs="Arial"/>
        </w:rPr>
      </w:pPr>
      <w:r>
        <w:rPr>
          <w:rFonts w:ascii="Arial" w:hAnsi="Arial" w:cs="Arial"/>
        </w:rPr>
        <w:t>postoji sukob interesa iz člana 41 stav 1 tačka 2 ili člana 42 ovog zakona;</w:t>
      </w:r>
    </w:p>
    <w:p w14:paraId="4D97025A">
      <w:pPr>
        <w:numPr>
          <w:ilvl w:val="0"/>
          <w:numId w:val="6"/>
        </w:numPr>
        <w:rPr>
          <w:rFonts w:ascii="Arial" w:hAnsi="Arial" w:cs="Arial"/>
        </w:rPr>
      </w:pPr>
      <w:r>
        <w:rPr>
          <w:rFonts w:ascii="Arial" w:hAnsi="Arial" w:cs="Arial"/>
        </w:rPr>
        <w:t>ne ispunjava uslov iz člana 99 ovog zakona;</w:t>
      </w:r>
    </w:p>
    <w:p w14:paraId="5A1C1E6F">
      <w:pPr>
        <w:numPr>
          <w:ilvl w:val="0"/>
          <w:numId w:val="6"/>
        </w:numPr>
        <w:rPr>
          <w:rFonts w:ascii="Arial" w:hAnsi="Arial" w:cs="Arial"/>
        </w:rPr>
      </w:pPr>
      <w:r>
        <w:rPr>
          <w:rFonts w:ascii="Arial" w:hAnsi="Arial" w:cs="Arial"/>
        </w:rPr>
        <w:t>ne ispunjava uslov iz čl. 102, 104 ili 106 ovog zakona predviđen tenderskom dokumentacijom;</w:t>
      </w:r>
    </w:p>
    <w:p w14:paraId="1C400A19">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162778EB">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4B6CAF86">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C6A77B5">
      <w:pPr>
        <w:numPr>
          <w:ilvl w:val="0"/>
          <w:numId w:val="6"/>
        </w:numPr>
        <w:rPr>
          <w:rFonts w:ascii="Arial" w:hAnsi="Arial" w:cs="Arial"/>
        </w:rPr>
      </w:pPr>
      <w:r>
        <w:rPr>
          <w:rFonts w:ascii="Arial" w:hAnsi="Arial" w:cs="Arial"/>
        </w:rPr>
        <w:t>postoji drugi razlog propisan ovim zakonom.</w:t>
      </w:r>
    </w:p>
    <w:p w14:paraId="0A6DAF4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7F9C3D34">
      <w:pPr>
        <w:jc w:val="both"/>
        <w:rPr>
          <w:rFonts w:ascii="Arial" w:hAnsi="Arial" w:cs="Arial"/>
          <w:color w:val="000000"/>
        </w:rPr>
      </w:pPr>
    </w:p>
    <w:p w14:paraId="6946686E">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37C5367F">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09E32476">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3E2D29D6">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516D866E">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6D9AAC93">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22E54001">
      <w:pPr>
        <w:jc w:val="both"/>
        <w:rPr>
          <w:rFonts w:ascii="Arial" w:hAnsi="Arial" w:eastAsia="Calibri" w:cs="Arial"/>
          <w:color w:val="000000"/>
        </w:rPr>
      </w:pPr>
      <w:r>
        <w:rPr>
          <w:rFonts w:ascii="Arial" w:hAnsi="Arial" w:eastAsia="Calibri" w:cs="Arial"/>
          <w:color w:val="000000"/>
        </w:rPr>
        <w:sym w:font="Wingdings" w:char="F078"/>
      </w:r>
      <w:r>
        <w:rPr>
          <w:rFonts w:ascii="Arial" w:hAnsi="Arial" w:eastAsia="Calibri" w:cs="Arial"/>
          <w:color w:val="000000"/>
        </w:rPr>
        <w:t>Ponuđač je dužan dostaviti bezuslovnu i na prvi poziv naplativu garanciju ponude u iznosu od 2 % procijenjene vrijednosti javne nabavke, kao garanciju ostajanja u obavezi prema ponudi u periodu važenja ponude i 7 dana nakon isteka važenja ponude. Garancija ponude podnose se u elektronskom obliku putem ESJN-a. 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Ponuđači original garancije ponude u pisanom obliku dostavljaju ga u koverti, na kojoj se navodi: naziv i sjedište naručioca, broj tenderske dokumentacije za koju se podnosi garancija, naziv, sjedište i adresa ponuđača i naznake "garancija ponude" i "Ne otvaraj prije roka za otvaranje ponuda".</w:t>
      </w:r>
    </w:p>
    <w:p w14:paraId="2D01A86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09CE7098">
      <w:pPr>
        <w:rPr>
          <w:rFonts w:ascii="Arial" w:hAnsi="Arial" w:cs="Arial"/>
        </w:rPr>
      </w:pPr>
    </w:p>
    <w:p w14:paraId="2132790F">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00582DB4">
      <w:pPr>
        <w:rPr>
          <w:rFonts w:ascii="Arial" w:hAnsi="Arial" w:cs="Arial"/>
        </w:rPr>
      </w:pPr>
      <w:r>
        <w:rPr>
          <w:rFonts w:ascii="Arial" w:hAnsi="Arial" w:cs="Arial"/>
          <w:color w:val="000000"/>
        </w:rPr>
        <w:sym w:font="Wingdings" w:char="F0A8"/>
      </w:r>
      <w:r>
        <w:rPr>
          <w:rFonts w:ascii="Arial" w:hAnsi="Arial" w:cs="Arial"/>
        </w:rPr>
        <w:t xml:space="preserve">cijena, </w:t>
      </w:r>
    </w:p>
    <w:p w14:paraId="20C715B3">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513035A0">
      <w:pPr>
        <w:rPr>
          <w:rFonts w:ascii="Arial" w:hAnsi="Arial" w:cs="Arial"/>
        </w:rPr>
      </w:pPr>
      <w:r>
        <w:rPr>
          <w:rFonts w:ascii="Arial" w:hAnsi="Arial" w:cs="Arial"/>
          <w:color w:val="000000"/>
        </w:rPr>
        <w:sym w:font="Wingdings" w:char="F0A8"/>
      </w:r>
      <w:r>
        <w:rPr>
          <w:rFonts w:ascii="Arial" w:hAnsi="Arial" w:cs="Arial"/>
        </w:rPr>
        <w:t>trošak životnog ciklusa.</w:t>
      </w:r>
    </w:p>
    <w:p w14:paraId="3B8E0645">
      <w:pPr>
        <w:rPr>
          <w:rFonts w:ascii="Arial" w:hAnsi="Arial" w:cs="Arial"/>
        </w:rPr>
      </w:pPr>
    </w:p>
    <w:p w14:paraId="6550B907">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5006036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Naručilac će u postupku javne nabavke izabrati ekonomski najpovoljniju ponudu, primjenom pristupa isplativosti, po osnovu kriterijuma :</w:t>
      </w:r>
    </w:p>
    <w:p w14:paraId="4C9F1B90">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7C957C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1A01FF85">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28C325A9">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68BBCC2F">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775F655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29DA42F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412B873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675C2E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4BEB8A7D">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200D51D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4A70618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AB5734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76DF47F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5491A3B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72E7AB0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32D31AE">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Kvalitet (K) – rok izvođenja radova  ( 10 poena)</w:t>
      </w:r>
    </w:p>
    <w:p w14:paraId="608E991C">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10E46B8F">
      <w:pPr>
        <w:pBdr>
          <w:top w:val="single" w:color="auto" w:sz="4" w:space="1"/>
          <w:left w:val="single" w:color="auto" w:sz="4" w:space="4"/>
          <w:bottom w:val="single" w:color="auto" w:sz="4" w:space="1"/>
          <w:right w:val="single" w:color="auto" w:sz="4" w:space="4"/>
        </w:pBdr>
        <w:jc w:val="both"/>
        <w:rPr>
          <w:rFonts w:hint="default" w:ascii="Arial" w:hAnsi="Arial" w:cs="Arial"/>
          <w:color w:val="000000"/>
          <w:lang w:val="sr-Latn-RS"/>
        </w:rPr>
      </w:pPr>
      <w:r>
        <w:rPr>
          <w:rFonts w:ascii="Arial" w:hAnsi="Arial" w:cs="Arial"/>
          <w:color w:val="000000"/>
        </w:rPr>
        <w:t xml:space="preserve">Pod kriterijum kvalitet: </w:t>
      </w:r>
      <w:r>
        <w:t> </w:t>
      </w:r>
      <w:r>
        <w:rPr>
          <w:rFonts w:hint="default"/>
        </w:rPr>
        <w:t>vrednovaće se na sljedeći način: max 10 bodova. Za izbor najpovoljnije ponude primjenom parametra kvalitet, kao osnova za vrednovanje uzima se rok isporuke Ponuđač sa najkraćim ponuđenim rokom tj brojem dana za isporuku dobija maksimalni broj bodova u skladu sa ovim parametrom, a drugi ponuđači dobijaju proporcionalno manji broj bodova po formuli: Broj bodova (K)= (najkraći ponuđeni broj dana isporuke / ponuđeni broj dana isporuke) × 10 ( Ponuđeni rok ne biti duži od 30 dana niti kraći od 20 dana)</w:t>
      </w:r>
    </w:p>
    <w:p w14:paraId="6B80A27D">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E01F58D">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K=(Kmin/Kp)x10</w:t>
      </w:r>
    </w:p>
    <w:p w14:paraId="266F98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Kmin- najkraći ponuđeni rok za izvođenje radova</w:t>
      </w:r>
    </w:p>
    <w:p w14:paraId="134419A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Kp – ponuđeni rok za izvođenje radova</w:t>
      </w:r>
    </w:p>
    <w:p w14:paraId="63A98F20">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C2CB97A">
      <w:pPr>
        <w:pBdr>
          <w:top w:val="single" w:color="auto" w:sz="4" w:space="1"/>
          <w:left w:val="single" w:color="auto" w:sz="4" w:space="4"/>
          <w:bottom w:val="single" w:color="auto" w:sz="4" w:space="1"/>
          <w:right w:val="single" w:color="auto" w:sz="4" w:space="4"/>
        </w:pBdr>
        <w:jc w:val="both"/>
        <w:rPr>
          <w:rFonts w:ascii="Arial" w:hAnsi="Arial" w:cs="Arial"/>
        </w:rPr>
      </w:pPr>
    </w:p>
    <w:p w14:paraId="546C70EF">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57C15961">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5915A953">
      <w:pPr>
        <w:jc w:val="both"/>
        <w:rPr>
          <w:rFonts w:ascii="Arial" w:hAnsi="Arial" w:cs="Arial"/>
          <w:color w:val="000000"/>
        </w:rPr>
      </w:pPr>
    </w:p>
    <w:p w14:paraId="20B694D2">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sa varijantama: </w:t>
      </w:r>
    </w:p>
    <w:p w14:paraId="75B5C456">
      <w:pPr>
        <w:jc w:val="both"/>
        <w:rPr>
          <w:rFonts w:ascii="Arial" w:hAnsi="Arial" w:cs="Arial"/>
        </w:rPr>
      </w:pPr>
    </w:p>
    <w:p w14:paraId="38811CE2">
      <w:pPr>
        <w:jc w:val="both"/>
        <w:rPr>
          <w:rFonts w:hint="default" w:ascii="Arial" w:hAnsi="Arial" w:cs="Arial"/>
          <w:color w:val="000000"/>
          <w:lang w:val="sr-Latn-RS"/>
        </w:rPr>
      </w:pPr>
      <w:r>
        <w:rPr>
          <w:rFonts w:hint="default" w:ascii="Arial" w:hAnsi="Arial" w:cs="Arial"/>
          <w:color w:val="000000"/>
          <w:lang w:val="sr-Latn-RS"/>
        </w:rPr>
        <w:t>Ponude sa varijantama nisu dozovljene</w:t>
      </w:r>
    </w:p>
    <w:p w14:paraId="00D07B71">
      <w:pPr>
        <w:jc w:val="both"/>
        <w:rPr>
          <w:rFonts w:ascii="Arial" w:hAnsi="Arial" w:cs="Arial"/>
          <w:color w:val="000000"/>
        </w:rPr>
      </w:pPr>
    </w:p>
    <w:p w14:paraId="1E0F9D7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7B8E05D0">
      <w:pPr>
        <w:jc w:val="both"/>
        <w:rPr>
          <w:rFonts w:ascii="Arial" w:hAnsi="Arial" w:cs="Arial"/>
          <w:b/>
          <w:bCs/>
          <w:color w:val="000000"/>
        </w:rPr>
      </w:pPr>
    </w:p>
    <w:p w14:paraId="53492D2A">
      <w:pPr>
        <w:jc w:val="both"/>
        <w:rPr>
          <w:rFonts w:ascii="Arial" w:hAnsi="Arial" w:cs="Arial"/>
          <w:color w:val="000000"/>
        </w:rPr>
      </w:pPr>
      <w:r>
        <w:rPr>
          <w:rFonts w:ascii="Arial" w:hAnsi="Arial" w:cs="Arial"/>
          <w:color w:val="000000"/>
        </w:rPr>
        <w:t>Ponuda se sačinjava na:</w:t>
      </w:r>
    </w:p>
    <w:p w14:paraId="30149DC4">
      <w:pPr>
        <w:jc w:val="both"/>
        <w:rPr>
          <w:rFonts w:ascii="Arial" w:hAnsi="Arial" w:cs="Arial"/>
          <w:b/>
          <w:bCs/>
          <w:color w:val="000000"/>
        </w:rPr>
      </w:pPr>
    </w:p>
    <w:p w14:paraId="2FF56639">
      <w:pPr>
        <w:jc w:val="both"/>
        <w:rPr>
          <w:rFonts w:ascii="Arial" w:hAnsi="Arial" w:cs="Arial"/>
          <w:color w:val="000000"/>
        </w:rPr>
      </w:pPr>
      <w:r>
        <w:rPr>
          <w:rFonts w:ascii="Arial" w:hAnsi="Arial" w:cs="Arial"/>
          <w:color w:val="000000"/>
        </w:rPr>
        <w:sym w:font="Wingdings" w:char="F0A8"/>
      </w:r>
      <w:r>
        <w:rPr>
          <w:rFonts w:ascii="Arial" w:hAnsi="Arial" w:cs="Arial"/>
          <w:color w:val="000000"/>
        </w:rPr>
        <w:t>crnogorski jezik i drugi jezik koji je u službenoj upotrebi u Crnoj Gori, u skladu sa Ustavom i zakonom</w:t>
      </w:r>
    </w:p>
    <w:p w14:paraId="1B22533D">
      <w:pPr>
        <w:jc w:val="both"/>
        <w:rPr>
          <w:rFonts w:ascii="Arial" w:hAnsi="Arial" w:cs="Arial"/>
        </w:rPr>
      </w:pPr>
    </w:p>
    <w:p w14:paraId="030223A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02ABE268">
      <w:pPr>
        <w:jc w:val="both"/>
        <w:rPr>
          <w:rFonts w:ascii="Arial" w:hAnsi="Arial" w:cs="Arial"/>
          <w:b/>
          <w:bCs/>
          <w:color w:val="000000"/>
        </w:rPr>
      </w:pPr>
    </w:p>
    <w:p w14:paraId="08C2DC2E">
      <w:pPr>
        <w:jc w:val="both"/>
        <w:rPr>
          <w:rFonts w:ascii="Arial" w:hAnsi="Arial" w:cs="Arial"/>
          <w:color w:val="000000"/>
        </w:rPr>
      </w:pPr>
      <w:r>
        <w:rPr>
          <w:rFonts w:ascii="Arial" w:hAnsi="Arial" w:cs="Arial"/>
          <w:color w:val="000000"/>
        </w:rPr>
        <w:t xml:space="preserve">Ponude se podnose preko ESJN-a zaključno sa danom </w:t>
      </w:r>
      <w:r>
        <w:rPr>
          <w:rFonts w:hint="default" w:ascii="Arial" w:hAnsi="Arial" w:cs="Arial"/>
          <w:color w:val="000000"/>
          <w:lang w:val="sr-Latn-RS"/>
        </w:rPr>
        <w:t>16</w:t>
      </w:r>
      <w:r>
        <w:rPr>
          <w:rFonts w:ascii="Arial" w:hAnsi="Arial" w:cs="Arial"/>
          <w:color w:val="000000"/>
        </w:rPr>
        <w:t>.</w:t>
      </w:r>
      <w:r>
        <w:rPr>
          <w:rFonts w:hint="default" w:ascii="Arial" w:hAnsi="Arial" w:cs="Arial"/>
          <w:color w:val="000000"/>
          <w:lang w:val="sr-Latn-RS"/>
        </w:rPr>
        <w:t>12</w:t>
      </w:r>
      <w:r>
        <w:rPr>
          <w:rFonts w:ascii="Arial" w:hAnsi="Arial" w:cs="Arial"/>
          <w:color w:val="000000"/>
        </w:rPr>
        <w:t xml:space="preserve">.2024. godine do </w:t>
      </w:r>
      <w:r>
        <w:rPr>
          <w:rFonts w:hint="default" w:ascii="Arial" w:hAnsi="Arial" w:cs="Arial"/>
          <w:color w:val="000000"/>
          <w:lang w:val="sr-Latn-RS"/>
        </w:rPr>
        <w:t>9</w:t>
      </w:r>
      <w:r>
        <w:rPr>
          <w:rFonts w:ascii="Arial" w:hAnsi="Arial" w:cs="Arial"/>
          <w:color w:val="000000"/>
        </w:rPr>
        <w:t xml:space="preserve"> sati.</w:t>
      </w:r>
    </w:p>
    <w:p w14:paraId="6078DB99">
      <w:pPr>
        <w:jc w:val="both"/>
        <w:rPr>
          <w:rFonts w:ascii="Arial" w:hAnsi="Arial" w:cs="Arial"/>
          <w:b/>
          <w:bCs/>
          <w:i/>
          <w:iCs/>
          <w:color w:val="000000"/>
        </w:rPr>
      </w:pPr>
    </w:p>
    <w:p w14:paraId="0EE76E26">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sr-Latn-RS"/>
        </w:rPr>
        <w:t>16</w:t>
      </w:r>
      <w:r>
        <w:rPr>
          <w:rFonts w:ascii="Arial" w:hAnsi="Arial" w:cs="Arial"/>
          <w:color w:val="000000"/>
        </w:rPr>
        <w:t>.</w:t>
      </w:r>
      <w:r>
        <w:rPr>
          <w:rFonts w:hint="default" w:ascii="Arial" w:hAnsi="Arial" w:cs="Arial"/>
          <w:color w:val="000000"/>
          <w:lang w:val="sr-Latn-RS"/>
        </w:rPr>
        <w:t>12</w:t>
      </w:r>
      <w:r>
        <w:rPr>
          <w:rFonts w:ascii="Arial" w:hAnsi="Arial" w:cs="Arial"/>
          <w:color w:val="000000"/>
        </w:rPr>
        <w:t xml:space="preserve">.2024. godine u 10 sati. </w:t>
      </w:r>
    </w:p>
    <w:p w14:paraId="52FEACA7">
      <w:pPr>
        <w:jc w:val="both"/>
        <w:rPr>
          <w:rFonts w:ascii="Arial" w:hAnsi="Arial" w:cs="Arial"/>
          <w:color w:val="000000"/>
        </w:rPr>
      </w:pPr>
    </w:p>
    <w:p w14:paraId="4B89656C">
      <w:pPr>
        <w:pStyle w:val="15"/>
        <w:rPr>
          <w:rFonts w:ascii="Arial" w:hAnsi="Arial" w:cs="Arial"/>
          <w:sz w:val="24"/>
          <w:szCs w:val="24"/>
        </w:rPr>
      </w:pPr>
      <w:r>
        <w:rPr>
          <w:rFonts w:ascii="Arial" w:hAnsi="Arial" w:cs="Arial"/>
          <w:sz w:val="24"/>
          <w:szCs w:val="24"/>
        </w:rPr>
        <w:t>Izjava privrednog subjekta i garancija ponude podnose se u elektronskom obliku putem ESJN.</w:t>
      </w:r>
    </w:p>
    <w:p w14:paraId="20D27CA5">
      <w:pPr>
        <w:pStyle w:val="15"/>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 xml:space="preserve">preporučenom pošiljkom sa povratnicom na adresi Opština Andrijevica, Branka Deletića 64. s tim što Garancija ponude mora biti uručena od strane poštanskog operatora najkasnije do roka određenog za podnošenje ponude, radnim danima od 8 do 14 sati, zaključno sa danom </w:t>
      </w:r>
      <w:r>
        <w:rPr>
          <w:rFonts w:hint="default" w:ascii="Arial" w:hAnsi="Arial" w:cs="Arial"/>
          <w:sz w:val="24"/>
          <w:szCs w:val="24"/>
          <w:shd w:val="clear" w:color="auto" w:fill="FFFFFF"/>
          <w:lang w:val="sr-Latn-RS"/>
        </w:rPr>
        <w:t>16</w:t>
      </w:r>
      <w:r>
        <w:rPr>
          <w:rFonts w:ascii="Arial" w:hAnsi="Arial" w:cs="Arial"/>
          <w:sz w:val="24"/>
          <w:szCs w:val="24"/>
          <w:shd w:val="clear" w:color="auto" w:fill="FFFFFF"/>
        </w:rPr>
        <w:t>.</w:t>
      </w:r>
      <w:r>
        <w:rPr>
          <w:rFonts w:hint="default" w:ascii="Arial" w:hAnsi="Arial" w:cs="Arial"/>
          <w:sz w:val="24"/>
          <w:szCs w:val="24"/>
          <w:shd w:val="clear" w:color="auto" w:fill="FFFFFF"/>
          <w:lang w:val="sr-Latn-RS"/>
        </w:rPr>
        <w:t>12</w:t>
      </w:r>
      <w:r>
        <w:rPr>
          <w:rFonts w:ascii="Arial" w:hAnsi="Arial" w:cs="Arial"/>
          <w:sz w:val="24"/>
          <w:szCs w:val="24"/>
          <w:shd w:val="clear" w:color="auto" w:fill="FFFFFF"/>
        </w:rPr>
        <w:t>.2024. godine do 0</w:t>
      </w:r>
      <w:r>
        <w:rPr>
          <w:rFonts w:hint="default" w:ascii="Arial" w:hAnsi="Arial" w:cs="Arial"/>
          <w:sz w:val="24"/>
          <w:szCs w:val="24"/>
          <w:shd w:val="clear" w:color="auto" w:fill="FFFFFF"/>
          <w:lang w:val="sr-Latn-RS"/>
        </w:rPr>
        <w:t>9</w:t>
      </w:r>
      <w:r>
        <w:rPr>
          <w:rFonts w:ascii="Arial" w:hAnsi="Arial" w:cs="Arial"/>
          <w:sz w:val="24"/>
          <w:szCs w:val="24"/>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14:paraId="35E26613">
      <w:pPr>
        <w:pStyle w:val="15"/>
        <w:rPr>
          <w:rFonts w:ascii="Arial" w:hAnsi="Arial" w:cs="Arial"/>
          <w:sz w:val="24"/>
          <w:szCs w:val="24"/>
        </w:rPr>
      </w:pPr>
    </w:p>
    <w:p w14:paraId="177CC139">
      <w:pPr>
        <w:pStyle w:val="15"/>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5EB63186">
      <w:pPr>
        <w:jc w:val="both"/>
        <w:rPr>
          <w:rFonts w:ascii="Arial" w:hAnsi="Arial" w:cs="Arial"/>
          <w:color w:val="000000"/>
        </w:rPr>
      </w:pPr>
    </w:p>
    <w:p w14:paraId="236AA389">
      <w:pPr>
        <w:tabs>
          <w:tab w:val="left" w:pos="1230"/>
        </w:tabs>
        <w:jc w:val="both"/>
        <w:rPr>
          <w:rFonts w:ascii="Arial" w:hAnsi="Arial" w:cs="Arial"/>
          <w:lang w:val="sr-Latn-C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ascii="Arial" w:hAnsi="Arial" w:cs="Arial"/>
          <w:lang w:val="sr-Latn-CS"/>
        </w:rPr>
        <w:t>.</w:t>
      </w:r>
    </w:p>
    <w:p w14:paraId="6963CC42">
      <w:pPr>
        <w:rPr>
          <w:rFonts w:ascii="Arial" w:hAnsi="Arial" w:cs="Arial"/>
          <w:i/>
          <w:iCs/>
          <w:color w:val="000000"/>
        </w:rPr>
      </w:pPr>
    </w:p>
    <w:p w14:paraId="2EDBFD7C">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USLOVI ZA AKTIVIRANJE GARANCIJE PONUDE</w:t>
      </w:r>
      <w:r>
        <w:rPr>
          <w:rFonts w:ascii="Arial" w:hAnsi="Arial"/>
          <w:b/>
          <w:szCs w:val="32"/>
          <w:vertAlign w:val="superscript"/>
        </w:rPr>
        <w:footnoteReference w:id="10"/>
      </w:r>
      <w:bookmarkEnd w:id="9"/>
    </w:p>
    <w:p w14:paraId="3875A837">
      <w:pPr>
        <w:jc w:val="both"/>
        <w:rPr>
          <w:rFonts w:ascii="Arial" w:hAnsi="Arial" w:cs="Arial"/>
          <w:b/>
          <w:bCs/>
          <w:color w:val="000000"/>
        </w:rPr>
      </w:pPr>
    </w:p>
    <w:p w14:paraId="2F114822">
      <w:pPr>
        <w:jc w:val="both"/>
        <w:rPr>
          <w:rFonts w:ascii="Arial" w:hAnsi="Arial" w:cs="Arial"/>
        </w:rPr>
      </w:pPr>
      <w:r>
        <w:rPr>
          <w:rFonts w:ascii="Arial" w:hAnsi="Arial" w:cs="Arial"/>
        </w:rPr>
        <w:t xml:space="preserve">Garancija ponude će se aktivirati ako ponuđač: </w:t>
      </w:r>
    </w:p>
    <w:p w14:paraId="6F5FAAEA">
      <w:pPr>
        <w:pStyle w:val="15"/>
        <w:ind w:left="567" w:hanging="283"/>
        <w:rPr>
          <w:rFonts w:ascii="Arial" w:hAnsi="Arial" w:cs="Arial"/>
          <w:sz w:val="24"/>
          <w:szCs w:val="24"/>
        </w:rPr>
      </w:pPr>
      <w:r>
        <w:rPr>
          <w:rFonts w:ascii="Arial" w:hAnsi="Arial" w:cs="Arial"/>
          <w:sz w:val="24"/>
          <w:szCs w:val="24"/>
        </w:rPr>
        <w:t>1) odustane od ponude u roku važenja ponude i/ili</w:t>
      </w:r>
    </w:p>
    <w:p w14:paraId="5A96C16C">
      <w:pPr>
        <w:pStyle w:val="15"/>
        <w:rPr>
          <w:rFonts w:ascii="Arial" w:hAnsi="Arial" w:cs="Arial"/>
          <w:sz w:val="24"/>
          <w:szCs w:val="24"/>
        </w:rPr>
      </w:pPr>
      <w:r>
        <w:rPr>
          <w:rFonts w:ascii="Arial" w:hAnsi="Arial" w:cs="Arial"/>
          <w:sz w:val="24"/>
          <w:szCs w:val="24"/>
        </w:rPr>
        <w:t xml:space="preserve"> 2) odbije da zaključi ugovor o javnoj nabavci ili okvirni sporazum.</w:t>
      </w:r>
    </w:p>
    <w:p w14:paraId="56A559F6">
      <w:pPr>
        <w:jc w:val="both"/>
        <w:rPr>
          <w:rFonts w:ascii="Arial" w:hAnsi="Arial" w:cs="Arial"/>
          <w:color w:val="000000"/>
        </w:rPr>
      </w:pPr>
    </w:p>
    <w:p w14:paraId="4A33B1C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t>TAJNOST PODATAKA</w:t>
      </w:r>
      <w:bookmarkEnd w:id="10"/>
    </w:p>
    <w:p w14:paraId="4D617B32">
      <w:pPr>
        <w:jc w:val="both"/>
        <w:rPr>
          <w:rFonts w:ascii="Arial" w:hAnsi="Arial" w:cs="Arial"/>
          <w:color w:val="000000"/>
        </w:rPr>
      </w:pPr>
    </w:p>
    <w:p w14:paraId="56C22C07">
      <w:pPr>
        <w:jc w:val="both"/>
        <w:rPr>
          <w:rFonts w:ascii="Arial" w:hAnsi="Arial" w:cs="Arial"/>
          <w:color w:val="000000"/>
        </w:rPr>
      </w:pPr>
      <w:r>
        <w:rPr>
          <w:rFonts w:ascii="Arial" w:hAnsi="Arial" w:cs="Arial"/>
          <w:color w:val="000000"/>
        </w:rPr>
        <w:t>Tenderska dokumentacija sadrži tajne podatke</w:t>
      </w:r>
    </w:p>
    <w:p w14:paraId="25ACB520">
      <w:pPr>
        <w:jc w:val="both"/>
        <w:rPr>
          <w:rFonts w:ascii="Arial" w:hAnsi="Arial" w:cs="Arial"/>
          <w:color w:val="000000"/>
        </w:rPr>
      </w:pPr>
    </w:p>
    <w:p w14:paraId="45E7A2D9">
      <w:pPr>
        <w:jc w:val="both"/>
        <w:rPr>
          <w:rFonts w:ascii="Arial" w:hAnsi="Arial" w:cs="Arial"/>
          <w:color w:val="000000"/>
        </w:rPr>
      </w:pPr>
      <w:r>
        <w:rPr>
          <w:rFonts w:ascii="Arial" w:hAnsi="Arial" w:cs="Arial"/>
          <w:color w:val="000000"/>
        </w:rPr>
        <w:sym w:font="Wingdings" w:char="00FD"/>
      </w:r>
      <w:r>
        <w:rPr>
          <w:rFonts w:ascii="Arial" w:hAnsi="Arial" w:cs="Arial"/>
          <w:color w:val="000000"/>
        </w:rPr>
        <w:t>ne</w:t>
      </w:r>
    </w:p>
    <w:p w14:paraId="35E3C1EC">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da</w:t>
      </w:r>
    </w:p>
    <w:p w14:paraId="7CA925F4">
      <w:pPr>
        <w:jc w:val="both"/>
        <w:rPr>
          <w:rFonts w:ascii="Arial" w:hAnsi="Arial" w:cs="Arial"/>
          <w:color w:val="000000"/>
        </w:rPr>
      </w:pPr>
    </w:p>
    <w:p w14:paraId="1972B2AE">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25D08BA2">
      <w:pPr>
        <w:rPr>
          <w:rFonts w:ascii="Arial" w:hAnsi="Arial" w:cs="Arial"/>
        </w:rPr>
      </w:pPr>
    </w:p>
    <w:p w14:paraId="1212672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 ZA SAČINJAVANJE PONUDE</w:t>
      </w:r>
      <w:bookmarkEnd w:id="11"/>
    </w:p>
    <w:p w14:paraId="3E681199">
      <w:pPr>
        <w:rPr>
          <w:rFonts w:ascii="Arial" w:hAnsi="Arial" w:cs="Arial"/>
        </w:rPr>
      </w:pPr>
    </w:p>
    <w:p w14:paraId="4BF737E7">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2E2601D8">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9F75675">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4BB731DB">
      <w:pPr>
        <w:jc w:val="both"/>
        <w:rPr>
          <w:rFonts w:ascii="Arial" w:hAnsi="Arial" w:cs="Arial"/>
          <w:b/>
          <w:bCs/>
          <w:color w:val="000000"/>
        </w:rPr>
      </w:pPr>
    </w:p>
    <w:p w14:paraId="0266679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266C862D">
      <w:pPr>
        <w:jc w:val="both"/>
        <w:rPr>
          <w:rFonts w:ascii="Arial" w:hAnsi="Arial" w:cs="Arial"/>
          <w:i/>
        </w:rPr>
      </w:pPr>
    </w:p>
    <w:p w14:paraId="103AEA30">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DAE1B92">
      <w:pPr>
        <w:jc w:val="both"/>
        <w:rPr>
          <w:rFonts w:ascii="Arial" w:hAnsi="Arial" w:cs="Arial"/>
        </w:rPr>
      </w:pPr>
    </w:p>
    <w:p w14:paraId="10FD9CE8">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1480DDC1">
      <w:pPr>
        <w:jc w:val="both"/>
        <w:rPr>
          <w:rFonts w:ascii="Arial" w:hAnsi="Arial" w:cs="Arial"/>
        </w:rPr>
      </w:pPr>
    </w:p>
    <w:p w14:paraId="09EAABA3">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0A99E3C8">
      <w:pPr>
        <w:jc w:val="both"/>
        <w:rPr>
          <w:rFonts w:ascii="Arial" w:hAnsi="Arial" w:cs="Arial"/>
          <w:color w:val="000000"/>
        </w:rPr>
      </w:pPr>
    </w:p>
    <w:p w14:paraId="7BD6B1DD">
      <w:pPr>
        <w:jc w:val="both"/>
        <w:rPr>
          <w:rFonts w:ascii="Arial" w:hAnsi="Arial" w:cs="Arial"/>
          <w:color w:val="000000"/>
        </w:rPr>
      </w:pPr>
      <w:r>
        <w:rPr>
          <w:rFonts w:ascii="Arial" w:hAnsi="Arial" w:cs="Arial"/>
          <w:color w:val="000000"/>
        </w:rPr>
        <w:t>___________________________________________</w:t>
      </w:r>
    </w:p>
    <w:p w14:paraId="544F0D8D">
      <w:pPr>
        <w:jc w:val="both"/>
        <w:rPr>
          <w:rFonts w:ascii="Arial" w:hAnsi="Arial" w:cs="Arial"/>
          <w:b/>
          <w:bCs/>
          <w:color w:val="000000"/>
        </w:rPr>
      </w:pPr>
    </w:p>
    <w:p w14:paraId="5B4DE519">
      <w:pPr>
        <w:jc w:val="both"/>
        <w:rPr>
          <w:rFonts w:ascii="Arial" w:hAnsi="Arial" w:cs="Arial"/>
          <w:b/>
          <w:bCs/>
          <w:color w:val="FF0000"/>
        </w:rPr>
      </w:pPr>
    </w:p>
    <w:p w14:paraId="1E431F1D">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34EF7EBB">
      <w:pPr>
        <w:jc w:val="both"/>
        <w:rPr>
          <w:rFonts w:ascii="Arial" w:hAnsi="Arial" w:cs="Arial"/>
        </w:rPr>
      </w:pPr>
    </w:p>
    <w:p w14:paraId="7DCC1425">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0EF7CA7">
      <w:pPr>
        <w:jc w:val="both"/>
        <w:rPr>
          <w:rFonts w:ascii="Arial" w:hAnsi="Arial" w:cs="Arial"/>
        </w:rPr>
      </w:pPr>
    </w:p>
    <w:p w14:paraId="64791B50">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1C89BDFD">
      <w:pPr>
        <w:jc w:val="both"/>
        <w:rPr>
          <w:rFonts w:ascii="Arial" w:hAnsi="Arial" w:cs="Arial"/>
        </w:rPr>
      </w:pPr>
    </w:p>
    <w:p w14:paraId="2DA589AD">
      <w:pPr>
        <w:jc w:val="both"/>
        <w:rPr>
          <w:rFonts w:ascii="Arial" w:hAnsi="Arial" w:cs="Arial"/>
          <w:color w:val="000000"/>
        </w:rPr>
      </w:pPr>
      <w:r>
        <w:rPr>
          <w:rFonts w:ascii="Arial" w:hAnsi="Arial" w:cs="Arial"/>
          <w:color w:val="000000"/>
        </w:rPr>
        <w:t>Zahtjev se podnosi isključivo putem ESJN-a.</w:t>
      </w:r>
    </w:p>
    <w:p w14:paraId="47A6FE51">
      <w:pPr>
        <w:jc w:val="both"/>
        <w:rPr>
          <w:rFonts w:ascii="Arial" w:hAnsi="Arial" w:cs="Arial"/>
          <w:color w:val="000000"/>
        </w:rPr>
      </w:pPr>
    </w:p>
    <w:p w14:paraId="27608188">
      <w:pPr>
        <w:jc w:val="both"/>
        <w:rPr>
          <w:rFonts w:ascii="Arial" w:hAnsi="Arial" w:cs="Arial"/>
          <w:color w:val="000000"/>
        </w:rPr>
      </w:pPr>
    </w:p>
    <w:p w14:paraId="3AB0A885">
      <w:pPr>
        <w:jc w:val="both"/>
        <w:rPr>
          <w:rFonts w:ascii="Arial" w:hAnsi="Arial" w:cs="Arial"/>
          <w:color w:val="000000"/>
        </w:rPr>
      </w:pPr>
    </w:p>
    <w:p w14:paraId="5864B13B">
      <w:pPr>
        <w:jc w:val="both"/>
        <w:rPr>
          <w:rFonts w:ascii="Arial" w:hAnsi="Arial" w:cs="Arial"/>
          <w:color w:val="000000"/>
        </w:rPr>
      </w:pPr>
    </w:p>
    <w:p w14:paraId="44F5BACE">
      <w:pPr>
        <w:jc w:val="both"/>
        <w:rPr>
          <w:rFonts w:ascii="Arial" w:hAnsi="Arial" w:cs="Arial"/>
          <w:color w:val="000000"/>
        </w:rPr>
      </w:pPr>
    </w:p>
    <w:p w14:paraId="72766E91">
      <w:pPr>
        <w:jc w:val="both"/>
        <w:rPr>
          <w:rFonts w:ascii="Arial" w:hAnsi="Arial" w:cs="Arial"/>
          <w:color w:val="000000"/>
        </w:rPr>
      </w:pPr>
    </w:p>
    <w:p w14:paraId="3BCDC484">
      <w:pPr>
        <w:jc w:val="both"/>
        <w:rPr>
          <w:rFonts w:ascii="Arial" w:hAnsi="Arial" w:cs="Arial"/>
          <w:color w:val="000000"/>
        </w:rPr>
      </w:pPr>
    </w:p>
    <w:p w14:paraId="7A3D7D45">
      <w:pPr>
        <w:jc w:val="both"/>
        <w:rPr>
          <w:rFonts w:ascii="Arial" w:hAnsi="Arial" w:cs="Arial"/>
          <w:color w:val="000000"/>
        </w:rPr>
      </w:pPr>
    </w:p>
    <w:p w14:paraId="09162638">
      <w:pPr>
        <w:jc w:val="both"/>
        <w:rPr>
          <w:rFonts w:ascii="Arial" w:hAnsi="Arial" w:cs="Arial"/>
          <w:color w:val="000000"/>
        </w:rPr>
      </w:pPr>
    </w:p>
    <w:p w14:paraId="77224F47">
      <w:pPr>
        <w:jc w:val="both"/>
        <w:rPr>
          <w:rFonts w:ascii="Arial" w:hAnsi="Arial" w:cs="Arial"/>
          <w:color w:val="000000"/>
        </w:rPr>
      </w:pPr>
    </w:p>
    <w:p w14:paraId="4C31F3B3">
      <w:pPr>
        <w:jc w:val="both"/>
        <w:rPr>
          <w:rFonts w:ascii="Arial" w:hAnsi="Arial" w:cs="Arial"/>
          <w:color w:val="000000"/>
        </w:rPr>
      </w:pPr>
    </w:p>
    <w:p w14:paraId="34837847">
      <w:pPr>
        <w:jc w:val="both"/>
        <w:rPr>
          <w:rFonts w:ascii="Arial" w:hAnsi="Arial" w:cs="Arial"/>
          <w:color w:val="000000"/>
        </w:rPr>
      </w:pPr>
    </w:p>
    <w:p w14:paraId="60D23999">
      <w:pPr>
        <w:jc w:val="both"/>
        <w:rPr>
          <w:rFonts w:ascii="Arial" w:hAnsi="Arial" w:cs="Arial"/>
          <w:color w:val="000000"/>
        </w:rPr>
      </w:pPr>
    </w:p>
    <w:p w14:paraId="76566C53">
      <w:pPr>
        <w:jc w:val="both"/>
        <w:rPr>
          <w:rFonts w:ascii="Arial" w:hAnsi="Arial" w:cs="Arial"/>
          <w:color w:val="000000"/>
        </w:rPr>
      </w:pPr>
    </w:p>
    <w:p w14:paraId="672E9E23">
      <w:pPr>
        <w:jc w:val="both"/>
        <w:rPr>
          <w:rFonts w:ascii="Arial" w:hAnsi="Arial" w:cs="Arial"/>
          <w:color w:val="000000"/>
        </w:rPr>
      </w:pPr>
    </w:p>
    <w:p w14:paraId="41356BC3">
      <w:pPr>
        <w:jc w:val="both"/>
        <w:rPr>
          <w:rFonts w:ascii="Arial" w:hAnsi="Arial" w:cs="Arial"/>
          <w:color w:val="000000"/>
        </w:rPr>
      </w:pPr>
    </w:p>
    <w:p w14:paraId="7D3ECAC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Pr>
          <w:rFonts w:ascii="Arial" w:hAnsi="Arial"/>
          <w:b/>
          <w:szCs w:val="32"/>
        </w:rPr>
        <w:t>IZJAVA NARUČIOCA O NEPOSTOJANJU SUKOBA INTERESA</w:t>
      </w:r>
      <w:bookmarkEnd w:id="14"/>
      <w:bookmarkEnd w:id="15"/>
      <w:bookmarkEnd w:id="16"/>
    </w:p>
    <w:p w14:paraId="770D4E4A">
      <w:pPr>
        <w:tabs>
          <w:tab w:val="left" w:pos="1701"/>
          <w:tab w:val="left" w:pos="4820"/>
        </w:tabs>
        <w:jc w:val="both"/>
        <w:rPr>
          <w:rFonts w:ascii="Arial" w:hAnsi="Arial" w:cs="Arial"/>
          <w:color w:val="000000"/>
          <w:u w:val="single"/>
        </w:rPr>
      </w:pPr>
    </w:p>
    <w:p w14:paraId="137A12BF">
      <w:pPr>
        <w:tabs>
          <w:tab w:val="left" w:pos="1701"/>
          <w:tab w:val="left" w:pos="4820"/>
        </w:tabs>
        <w:jc w:val="both"/>
        <w:rPr>
          <w:rFonts w:ascii="Arial" w:hAnsi="Arial" w:cs="Arial"/>
          <w:color w:val="000000"/>
          <w:u w:val="single"/>
        </w:rPr>
      </w:pPr>
    </w:p>
    <w:p w14:paraId="78E40127">
      <w:pPr>
        <w:tabs>
          <w:tab w:val="left" w:pos="1701"/>
          <w:tab w:val="left" w:pos="4820"/>
        </w:tabs>
        <w:jc w:val="both"/>
        <w:rPr>
          <w:rFonts w:ascii="Arial" w:hAnsi="Arial" w:cs="Arial"/>
          <w:color w:val="000000"/>
        </w:rPr>
      </w:pPr>
      <w:r>
        <w:rPr>
          <w:rFonts w:ascii="Arial" w:hAnsi="Arial" w:cs="Arial"/>
          <w:color w:val="000000"/>
          <w:u w:val="single"/>
        </w:rPr>
        <w:t>Opština Andrijevica</w:t>
      </w:r>
    </w:p>
    <w:p w14:paraId="7AECCF8F">
      <w:pPr>
        <w:jc w:val="both"/>
        <w:rPr>
          <w:rFonts w:hint="default" w:ascii="Arial" w:hAnsi="Arial" w:cs="Arial"/>
          <w:color w:val="000000"/>
          <w:lang w:val="sr-Latn-RS"/>
        </w:rPr>
      </w:pPr>
      <w:r>
        <w:rPr>
          <w:rFonts w:ascii="Arial" w:hAnsi="Arial" w:cs="Arial"/>
          <w:color w:val="000000"/>
        </w:rPr>
        <w:t xml:space="preserve">Broj: </w:t>
      </w:r>
      <w:r>
        <w:rPr>
          <w:rFonts w:ascii="Arial" w:hAnsi="Arial" w:cs="Arial"/>
        </w:rPr>
        <w:t>018</w:t>
      </w:r>
      <w:r>
        <w:rPr>
          <w:rFonts w:hint="default" w:ascii="Arial" w:hAnsi="Arial" w:cs="Arial"/>
          <w:lang w:val="sr-Latn-RS"/>
        </w:rPr>
        <w:t>-1270/24-01/1</w:t>
      </w:r>
    </w:p>
    <w:p w14:paraId="370B29F5">
      <w:pPr>
        <w:jc w:val="both"/>
        <w:rPr>
          <w:rFonts w:ascii="Arial" w:hAnsi="Arial" w:cs="Arial"/>
          <w:color w:val="000000"/>
        </w:rPr>
      </w:pPr>
      <w:r>
        <w:rPr>
          <w:rFonts w:ascii="Arial" w:hAnsi="Arial" w:cs="Arial"/>
          <w:color w:val="000000"/>
        </w:rPr>
        <w:t xml:space="preserve">Andrijevica, </w:t>
      </w:r>
      <w:r>
        <w:rPr>
          <w:rFonts w:hint="default" w:ascii="Arial" w:hAnsi="Arial" w:cs="Arial"/>
          <w:color w:val="000000"/>
          <w:lang w:val="sr-Latn-RS"/>
        </w:rPr>
        <w:t>28</w:t>
      </w:r>
      <w:r>
        <w:rPr>
          <w:rFonts w:ascii="Arial" w:hAnsi="Arial" w:cs="Arial"/>
          <w:color w:val="000000"/>
        </w:rPr>
        <w:t>.</w:t>
      </w:r>
      <w:r>
        <w:rPr>
          <w:rFonts w:hint="default" w:ascii="Arial" w:hAnsi="Arial" w:cs="Arial"/>
          <w:color w:val="000000"/>
          <w:lang w:val="sr-Latn-RS"/>
        </w:rPr>
        <w:t>11</w:t>
      </w:r>
      <w:r>
        <w:rPr>
          <w:rFonts w:ascii="Arial" w:hAnsi="Arial" w:cs="Arial"/>
          <w:color w:val="000000"/>
        </w:rPr>
        <w:t>.2024.god</w:t>
      </w:r>
    </w:p>
    <w:p w14:paraId="168C649C">
      <w:pPr>
        <w:jc w:val="both"/>
        <w:rPr>
          <w:rFonts w:ascii="Arial" w:hAnsi="Arial" w:cs="Arial"/>
          <w:b/>
          <w:bCs/>
          <w:color w:val="000000"/>
        </w:rPr>
      </w:pPr>
    </w:p>
    <w:p w14:paraId="2CF6B036">
      <w:pPr>
        <w:jc w:val="both"/>
        <w:rPr>
          <w:rFonts w:ascii="Arial" w:hAnsi="Arial" w:cs="Arial"/>
          <w:b/>
          <w:bCs/>
          <w:color w:val="000000"/>
        </w:rPr>
      </w:pPr>
    </w:p>
    <w:p w14:paraId="34BF4C27">
      <w:pPr>
        <w:tabs>
          <w:tab w:val="left" w:pos="3290"/>
        </w:tabs>
        <w:ind w:firstLine="708"/>
        <w:jc w:val="both"/>
        <w:rPr>
          <w:rFonts w:ascii="Arial" w:hAnsi="Arial" w:cs="Arial"/>
          <w:color w:val="000000"/>
        </w:rPr>
      </w:pPr>
      <w:r>
        <w:rPr>
          <w:rFonts w:ascii="Arial" w:hAnsi="Arial" w:cs="Arial"/>
          <w:color w:val="000000"/>
        </w:rPr>
        <w:t xml:space="preserve">U skladu sa članom 43 stav 1 Zakona o javnim nabavkama („Službeni list CG”, br.74/19 i 3/23 I 11/23), </w:t>
      </w:r>
    </w:p>
    <w:p w14:paraId="00E2735A">
      <w:pPr>
        <w:tabs>
          <w:tab w:val="left" w:pos="3290"/>
        </w:tabs>
        <w:jc w:val="both"/>
        <w:rPr>
          <w:rFonts w:ascii="Arial" w:hAnsi="Arial" w:cs="Arial"/>
          <w:color w:val="000000"/>
        </w:rPr>
      </w:pPr>
    </w:p>
    <w:p w14:paraId="2DC5D2BE">
      <w:pPr>
        <w:tabs>
          <w:tab w:val="left" w:pos="3290"/>
        </w:tabs>
        <w:jc w:val="both"/>
        <w:rPr>
          <w:rFonts w:ascii="Arial" w:hAnsi="Arial" w:cs="Arial"/>
          <w:color w:val="000000"/>
        </w:rPr>
      </w:pPr>
    </w:p>
    <w:p w14:paraId="79C1D15F">
      <w:pPr>
        <w:tabs>
          <w:tab w:val="left" w:pos="3290"/>
        </w:tabs>
        <w:jc w:val="both"/>
        <w:rPr>
          <w:rFonts w:ascii="Arial" w:hAnsi="Arial" w:cs="Arial"/>
          <w:color w:val="000000"/>
        </w:rPr>
      </w:pPr>
    </w:p>
    <w:p w14:paraId="08A5F6E7">
      <w:pPr>
        <w:tabs>
          <w:tab w:val="left" w:pos="3290"/>
        </w:tabs>
        <w:jc w:val="both"/>
        <w:rPr>
          <w:rFonts w:ascii="Arial" w:hAnsi="Arial" w:cs="Arial"/>
          <w:color w:val="000000"/>
        </w:rPr>
      </w:pPr>
    </w:p>
    <w:p w14:paraId="6C811876">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14:paraId="249CAD36">
      <w:pPr>
        <w:tabs>
          <w:tab w:val="left" w:pos="3290"/>
        </w:tabs>
        <w:jc w:val="both"/>
        <w:rPr>
          <w:rFonts w:ascii="Arial" w:hAnsi="Arial" w:cs="Arial"/>
          <w:color w:val="000000"/>
        </w:rPr>
      </w:pPr>
    </w:p>
    <w:p w14:paraId="14514ED4">
      <w:pPr>
        <w:jc w:val="both"/>
        <w:rPr>
          <w:rFonts w:ascii="Arial" w:hAnsi="Arial" w:cs="Arial"/>
          <w:color w:val="000000"/>
          <w:sz w:val="22"/>
          <w:szCs w:val="22"/>
        </w:rPr>
      </w:pPr>
      <w:r>
        <w:rPr>
          <w:rFonts w:ascii="Arial" w:hAnsi="Arial" w:cs="Arial"/>
          <w:color w:val="000000"/>
        </w:rPr>
        <w:t xml:space="preserve">da u postupku javne nabavke redni broj </w:t>
      </w:r>
      <w:r>
        <w:rPr>
          <w:rFonts w:hint="default" w:ascii="Arial" w:hAnsi="Arial" w:cs="Arial"/>
          <w:color w:val="000000"/>
          <w:lang w:val="sr-Latn-RS"/>
        </w:rPr>
        <w:t>13</w:t>
      </w:r>
      <w:r>
        <w:rPr>
          <w:rFonts w:ascii="Arial" w:hAnsi="Arial" w:cs="Arial"/>
          <w:color w:val="000000"/>
        </w:rPr>
        <w:t xml:space="preserve"> iz Plana javne nabavke broj 10942 od 25.01.2024.god  za nabavku </w:t>
      </w:r>
      <w:r>
        <w:rPr>
          <w:rFonts w:hint="default" w:ascii="Arial" w:hAnsi="Arial" w:cs="Arial"/>
          <w:sz w:val="22"/>
          <w:szCs w:val="22"/>
          <w:shd w:val="clear" w:color="auto" w:fill="FFFFFF"/>
          <w:lang w:val="sr-Latn-RS"/>
        </w:rPr>
        <w:t xml:space="preserve">Automobila </w:t>
      </w:r>
      <w:bookmarkStart w:id="18" w:name="_GoBack"/>
      <w:bookmarkEnd w:id="18"/>
      <w:r>
        <w:rPr>
          <w:rFonts w:ascii="Arial" w:hAnsi="Arial" w:cs="Arial"/>
          <w:sz w:val="22"/>
          <w:szCs w:val="22"/>
          <w:shd w:val="clear" w:color="auto" w:fill="FFFFFF"/>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14:paraId="6B53CB01">
      <w:pPr>
        <w:tabs>
          <w:tab w:val="left" w:pos="3290"/>
        </w:tabs>
        <w:jc w:val="both"/>
        <w:rPr>
          <w:rFonts w:ascii="Arial" w:hAnsi="Arial" w:cs="Arial"/>
          <w:color w:val="000000"/>
        </w:rPr>
      </w:pPr>
    </w:p>
    <w:p w14:paraId="05FF820E">
      <w:pPr>
        <w:tabs>
          <w:tab w:val="left" w:pos="3290"/>
        </w:tabs>
        <w:jc w:val="both"/>
        <w:rPr>
          <w:rFonts w:ascii="Arial" w:hAnsi="Arial" w:cs="Arial"/>
          <w:color w:val="000000"/>
        </w:rPr>
      </w:pPr>
    </w:p>
    <w:p w14:paraId="26EDA4A2">
      <w:pPr>
        <w:tabs>
          <w:tab w:val="left" w:pos="3290"/>
        </w:tabs>
        <w:ind w:firstLine="1134"/>
        <w:jc w:val="right"/>
        <w:rPr>
          <w:rFonts w:ascii="Arial" w:hAnsi="Arial" w:cs="Arial"/>
          <w:color w:val="000000"/>
        </w:rPr>
      </w:pPr>
      <w:r>
        <w:rPr>
          <w:rFonts w:ascii="Arial" w:hAnsi="Arial" w:cs="Arial"/>
          <w:color w:val="000000"/>
        </w:rPr>
        <w:t>Ovlašćeno lice naručioca Ćulafić Željko</w:t>
      </w:r>
    </w:p>
    <w:p w14:paraId="790BEA48">
      <w:pPr>
        <w:tabs>
          <w:tab w:val="left" w:pos="3290"/>
        </w:tabs>
        <w:ind w:left="5664" w:firstLine="708"/>
        <w:jc w:val="center"/>
        <w:rPr>
          <w:rFonts w:ascii="Arial" w:hAnsi="Arial" w:cs="Arial"/>
          <w:i/>
          <w:iCs/>
          <w:color w:val="000000"/>
        </w:rPr>
      </w:pPr>
      <w:r>
        <w:rPr>
          <w:rFonts w:ascii="Arial" w:hAnsi="Arial" w:cs="Arial"/>
          <w:i/>
          <w:iCs/>
          <w:color w:val="000000"/>
        </w:rPr>
        <w:t>s.r.</w:t>
      </w:r>
    </w:p>
    <w:p w14:paraId="79AEDF9E">
      <w:pPr>
        <w:tabs>
          <w:tab w:val="left" w:pos="3290"/>
        </w:tabs>
        <w:ind w:firstLine="1134"/>
        <w:jc w:val="right"/>
        <w:rPr>
          <w:rFonts w:ascii="Arial" w:hAnsi="Arial" w:cs="Arial"/>
          <w:i/>
          <w:iCs/>
          <w:color w:val="000000"/>
        </w:rPr>
      </w:pPr>
      <w:r>
        <w:rPr>
          <w:rFonts w:ascii="Arial" w:hAnsi="Arial" w:cs="Arial"/>
          <w:color w:val="000000"/>
        </w:rPr>
        <w:t xml:space="preserve">Službenik za javne nabavke Jakov Kuč </w:t>
      </w:r>
    </w:p>
    <w:p w14:paraId="073E548C">
      <w:pPr>
        <w:tabs>
          <w:tab w:val="left" w:pos="3290"/>
        </w:tabs>
        <w:ind w:left="5664" w:firstLine="708"/>
        <w:jc w:val="center"/>
        <w:rPr>
          <w:rFonts w:ascii="Arial" w:hAnsi="Arial" w:cs="Arial"/>
          <w:i/>
          <w:iCs/>
          <w:color w:val="000000"/>
        </w:rPr>
      </w:pPr>
      <w:r>
        <w:rPr>
          <w:rFonts w:ascii="Arial" w:hAnsi="Arial" w:cs="Arial"/>
          <w:i/>
          <w:iCs/>
          <w:color w:val="000000"/>
        </w:rPr>
        <w:t>s.r.</w:t>
      </w:r>
    </w:p>
    <w:p w14:paraId="4F76DA80">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Jakov Kuč</w:t>
      </w:r>
    </w:p>
    <w:p w14:paraId="3E681EEE">
      <w:pPr>
        <w:ind w:left="6372"/>
        <w:jc w:val="center"/>
        <w:rPr>
          <w:rFonts w:ascii="Arial" w:hAnsi="Arial" w:cs="Arial"/>
          <w:i/>
          <w:iCs/>
          <w:color w:val="000000"/>
        </w:rPr>
      </w:pPr>
      <w:r>
        <w:rPr>
          <w:rFonts w:ascii="Arial" w:hAnsi="Arial" w:cs="Arial"/>
          <w:i/>
          <w:iCs/>
          <w:color w:val="000000"/>
        </w:rPr>
        <w:t>s.r.</w:t>
      </w:r>
    </w:p>
    <w:p w14:paraId="5566EDED">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Miloš Čukić</w:t>
      </w:r>
    </w:p>
    <w:p w14:paraId="66F4BF43">
      <w:pPr>
        <w:ind w:left="6372"/>
        <w:jc w:val="center"/>
        <w:rPr>
          <w:rFonts w:ascii="Arial" w:hAnsi="Arial" w:cs="Arial"/>
          <w:i/>
          <w:iCs/>
          <w:color w:val="000000"/>
        </w:rPr>
      </w:pPr>
      <w:r>
        <w:rPr>
          <w:rFonts w:ascii="Arial" w:hAnsi="Arial" w:cs="Arial"/>
          <w:i/>
          <w:iCs/>
          <w:color w:val="000000"/>
        </w:rPr>
        <w:t>s.r.</w:t>
      </w:r>
    </w:p>
    <w:p w14:paraId="10B4EB76">
      <w:pPr>
        <w:tabs>
          <w:tab w:val="left" w:pos="3290"/>
        </w:tabs>
        <w:ind w:firstLine="1134"/>
        <w:rPr>
          <w:rFonts w:ascii="Arial" w:hAnsi="Arial" w:cs="Arial"/>
          <w:color w:val="000000"/>
        </w:rPr>
      </w:pPr>
      <w:r>
        <w:rPr>
          <w:rFonts w:ascii="Arial" w:hAnsi="Arial" w:cs="Arial"/>
          <w:iCs/>
          <w:color w:val="000000"/>
        </w:rPr>
        <w:t xml:space="preserve">Član komisije </w:t>
      </w:r>
      <w:r>
        <w:rPr>
          <w:rFonts w:ascii="Arial" w:hAnsi="Arial" w:cs="Arial"/>
        </w:rPr>
        <w:t>za sprovođenje postupka javne nabavk</w:t>
      </w:r>
      <w:r>
        <w:rPr>
          <w:rFonts w:ascii="Arial" w:hAnsi="Arial" w:cs="Arial"/>
          <w:iCs/>
          <w:color w:val="000000"/>
        </w:rPr>
        <w:t>e</w:t>
      </w:r>
      <w:r>
        <w:rPr>
          <w:rFonts w:ascii="Arial" w:hAnsi="Arial" w:cs="Arial"/>
          <w:color w:val="000000"/>
        </w:rPr>
        <w:t xml:space="preserve"> Darko Ćulafić </w:t>
      </w:r>
    </w:p>
    <w:p w14:paraId="77523279">
      <w:pPr>
        <w:tabs>
          <w:tab w:val="left" w:pos="3290"/>
        </w:tabs>
        <w:ind w:firstLine="1134"/>
        <w:rPr>
          <w:rFonts w:ascii="Arial" w:hAnsi="Arial" w:cs="Arial"/>
          <w:color w:val="000000"/>
        </w:rPr>
      </w:pPr>
    </w:p>
    <w:p w14:paraId="31C512B6">
      <w:pPr>
        <w:ind w:left="6372"/>
        <w:jc w:val="center"/>
        <w:rPr>
          <w:rFonts w:ascii="Arial" w:hAnsi="Arial" w:cs="Arial"/>
          <w:i/>
          <w:iCs/>
          <w:color w:val="000000"/>
        </w:rPr>
      </w:pPr>
      <w:r>
        <w:rPr>
          <w:rFonts w:ascii="Arial" w:hAnsi="Arial" w:cs="Arial"/>
          <w:i/>
          <w:iCs/>
          <w:color w:val="000000"/>
        </w:rPr>
        <w:t>s.r.</w:t>
      </w:r>
    </w:p>
    <w:p w14:paraId="27BBBFBE">
      <w:pPr>
        <w:jc w:val="both"/>
        <w:rPr>
          <w:rFonts w:ascii="Arial" w:hAnsi="Arial" w:cs="Arial"/>
          <w:b/>
          <w:bCs/>
          <w:color w:val="000000"/>
        </w:rPr>
      </w:pPr>
      <w:r>
        <w:rPr>
          <w:rFonts w:ascii="Arial" w:hAnsi="Arial" w:cs="Arial"/>
          <w:b/>
          <w:bCs/>
          <w:color w:val="000000"/>
        </w:rPr>
        <w:t>....</w:t>
      </w:r>
    </w:p>
    <w:p w14:paraId="0584FCC7">
      <w:pPr>
        <w:jc w:val="both"/>
        <w:rPr>
          <w:rFonts w:ascii="Arial" w:hAnsi="Arial" w:cs="Arial"/>
          <w:b/>
          <w:bCs/>
          <w:color w:val="000000"/>
        </w:rPr>
      </w:pPr>
    </w:p>
    <w:p w14:paraId="202B5F9A">
      <w:pPr>
        <w:jc w:val="both"/>
        <w:rPr>
          <w:rFonts w:ascii="Arial" w:hAnsi="Arial" w:cs="Arial"/>
          <w:b/>
          <w:bCs/>
          <w:color w:val="000000"/>
        </w:rPr>
      </w:pPr>
    </w:p>
    <w:p w14:paraId="4E579AF1">
      <w:pPr>
        <w:jc w:val="both"/>
        <w:rPr>
          <w:rFonts w:ascii="Arial" w:hAnsi="Arial" w:cs="Arial"/>
          <w:b/>
          <w:bCs/>
          <w:color w:val="000000"/>
        </w:rPr>
      </w:pPr>
    </w:p>
    <w:p w14:paraId="7C89CE73">
      <w:pPr>
        <w:jc w:val="both"/>
        <w:rPr>
          <w:rFonts w:ascii="Arial" w:hAnsi="Arial" w:cs="Arial"/>
          <w:b/>
          <w:bCs/>
          <w:color w:val="000000"/>
        </w:rPr>
      </w:pPr>
    </w:p>
    <w:p w14:paraId="65CFD7C3">
      <w:pPr>
        <w:jc w:val="both"/>
        <w:rPr>
          <w:rFonts w:ascii="Arial" w:hAnsi="Arial" w:cs="Arial"/>
          <w:b/>
          <w:bCs/>
          <w:color w:val="000000"/>
        </w:rPr>
      </w:pPr>
    </w:p>
    <w:p w14:paraId="3E3CF577">
      <w:pPr>
        <w:jc w:val="both"/>
        <w:rPr>
          <w:rFonts w:ascii="Arial" w:hAnsi="Arial" w:cs="Arial"/>
          <w:b/>
          <w:bCs/>
          <w:color w:val="000000"/>
        </w:rPr>
      </w:pPr>
    </w:p>
    <w:p w14:paraId="11CC8397">
      <w:pPr>
        <w:jc w:val="both"/>
        <w:rPr>
          <w:rFonts w:ascii="Arial" w:hAnsi="Arial" w:cs="Arial"/>
          <w:b/>
          <w:bCs/>
          <w:color w:val="000000"/>
        </w:rPr>
      </w:pPr>
    </w:p>
    <w:p w14:paraId="751D59E5">
      <w:pPr>
        <w:jc w:val="both"/>
        <w:rPr>
          <w:rFonts w:ascii="Arial" w:hAnsi="Arial" w:cs="Arial"/>
          <w:b/>
          <w:bCs/>
          <w:color w:val="000000"/>
        </w:rPr>
      </w:pPr>
    </w:p>
    <w:p w14:paraId="1EC1E708">
      <w:pPr>
        <w:jc w:val="both"/>
        <w:rPr>
          <w:rFonts w:ascii="Arial" w:hAnsi="Arial" w:cs="Arial"/>
          <w:b/>
          <w:bCs/>
          <w:color w:val="000000"/>
        </w:rPr>
      </w:pPr>
    </w:p>
    <w:p w14:paraId="54C6B2DE">
      <w:pPr>
        <w:jc w:val="both"/>
        <w:rPr>
          <w:rFonts w:ascii="Arial" w:hAnsi="Arial" w:cs="Arial"/>
          <w:b/>
          <w:bCs/>
          <w:color w:val="000000"/>
        </w:rPr>
      </w:pPr>
    </w:p>
    <w:p w14:paraId="3233C26D">
      <w:pPr>
        <w:jc w:val="both"/>
        <w:rPr>
          <w:rFonts w:ascii="Arial" w:hAnsi="Arial" w:cs="Arial"/>
          <w:b/>
          <w:bCs/>
          <w:color w:val="000000"/>
        </w:rPr>
      </w:pPr>
    </w:p>
    <w:p w14:paraId="70D9C6CE">
      <w:pPr>
        <w:jc w:val="both"/>
        <w:rPr>
          <w:rFonts w:ascii="Arial" w:hAnsi="Arial" w:cs="Arial"/>
          <w:b/>
          <w:bCs/>
          <w:color w:val="000000"/>
        </w:rPr>
      </w:pPr>
    </w:p>
    <w:p w14:paraId="1D76A509">
      <w:pPr>
        <w:jc w:val="both"/>
        <w:rPr>
          <w:rFonts w:ascii="Arial" w:hAnsi="Arial" w:cs="Arial"/>
          <w:b/>
          <w:bCs/>
          <w:color w:val="000000"/>
        </w:rPr>
      </w:pPr>
    </w:p>
    <w:p w14:paraId="7D2407A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7" w:name="_Toc62730568"/>
      <w:r>
        <w:rPr>
          <w:rFonts w:ascii="Arial" w:hAnsi="Arial"/>
          <w:b/>
          <w:sz w:val="28"/>
          <w:szCs w:val="32"/>
        </w:rPr>
        <w:t>UPUTSTVO O PRAVNOM SREDSTVU</w:t>
      </w:r>
      <w:bookmarkEnd w:id="17"/>
    </w:p>
    <w:p w14:paraId="6B84DFD9">
      <w:pPr>
        <w:tabs>
          <w:tab w:val="left" w:pos="5760"/>
        </w:tabs>
        <w:jc w:val="center"/>
        <w:rPr>
          <w:rFonts w:ascii="Arial" w:hAnsi="Arial" w:cs="Arial"/>
          <w:color w:val="000000"/>
        </w:rPr>
      </w:pPr>
    </w:p>
    <w:p w14:paraId="155D8303">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7FDE926C">
      <w:pPr>
        <w:pStyle w:val="15"/>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A740573">
      <w:pPr>
        <w:pStyle w:val="15"/>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FBF83A7">
      <w:pPr>
        <w:pStyle w:val="15"/>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517656A">
      <w:pPr>
        <w:tabs>
          <w:tab w:val="left" w:pos="5760"/>
        </w:tabs>
        <w:jc w:val="both"/>
        <w:rPr>
          <w:rFonts w:ascii="Arial" w:hAnsi="Arial" w:cs="Arial"/>
          <w:color w:val="000000"/>
        </w:rPr>
      </w:pPr>
    </w:p>
    <w:p w14:paraId="31CFBB14">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412F39AF">
      <w:pPr>
        <w:autoSpaceDE w:val="0"/>
        <w:autoSpaceDN w:val="0"/>
        <w:adjustRightInd w:val="0"/>
        <w:ind w:firstLine="567"/>
        <w:jc w:val="both"/>
        <w:rPr>
          <w:rFonts w:ascii="Arial" w:hAnsi="Arial" w:cs="Arial"/>
          <w:color w:val="000000"/>
        </w:rPr>
      </w:pPr>
    </w:p>
    <w:p w14:paraId="6BB456BA">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A8DA3CE">
      <w:pPr>
        <w:tabs>
          <w:tab w:val="left" w:pos="5760"/>
        </w:tabs>
        <w:ind w:firstLine="567"/>
        <w:jc w:val="both"/>
        <w:rPr>
          <w:rFonts w:ascii="Arial" w:hAnsi="Arial" w:cs="Arial"/>
          <w:color w:val="000000"/>
        </w:rPr>
      </w:pPr>
    </w:p>
    <w:p w14:paraId="54BF6360">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5D46B39A">
      <w:pPr>
        <w:tabs>
          <w:tab w:val="left" w:pos="5760"/>
        </w:tabs>
        <w:ind w:firstLine="567"/>
        <w:jc w:val="both"/>
        <w:rPr>
          <w:rFonts w:ascii="Arial" w:hAnsi="Arial" w:cs="Arial"/>
          <w:color w:val="000000"/>
        </w:rPr>
      </w:pPr>
    </w:p>
    <w:p w14:paraId="372CC589">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rPr>
        <w:t>http://www.kontrola-nabavki.me/</w:t>
      </w:r>
      <w:r>
        <w:rPr>
          <w:rStyle w:val="9"/>
          <w:rFonts w:ascii="Arial" w:hAnsi="Arial" w:cs="Arial"/>
        </w:rPr>
        <w:fldChar w:fldCharType="end"/>
      </w:r>
      <w:r>
        <w:rPr>
          <w:rFonts w:ascii="Arial" w:hAnsi="Arial" w:cs="Arial"/>
          <w:color w:val="000000"/>
        </w:rPr>
        <w:t>.“.</w:t>
      </w:r>
    </w:p>
    <w:p w14:paraId="1709AA86"/>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EE"/>
    <w:family w:val="swiss"/>
    <w:pitch w:val="default"/>
    <w:sig w:usb0="E0002EFF" w:usb1="C000785B" w:usb2="00000009" w:usb3="00000000" w:csb0="400001FF" w:csb1="FFFF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ans-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2FB6F734">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1. Poziv za nadmetanje naručilac neposredno UNOSI na ESJN elektronskim putem;</w:t>
      </w:r>
    </w:p>
  </w:footnote>
  <w:footnote w:id="1">
    <w:p w14:paraId="65F3B46B">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5A7B6A3A">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2. Tehnička specifikacija predmeta javne nabavke naručilac neposredno UNOSI na ESJN elektronskim putem;</w:t>
      </w:r>
    </w:p>
  </w:footnote>
  <w:footnote w:id="3">
    <w:p w14:paraId="3E22B9F6">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4">
    <w:p w14:paraId="11DAE6EB">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AF8AA94">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0574B349">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6EF468A2">
      <w:pPr>
        <w:autoSpaceDE w:val="0"/>
        <w:autoSpaceDN w:val="0"/>
        <w:adjustRightInd w:val="0"/>
        <w:contextualSpacing/>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726F8FCB">
      <w:pPr>
        <w:pStyle w:val="8"/>
        <w:contextualSpacing/>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45FB44C1">
      <w:pPr>
        <w:pStyle w:val="8"/>
        <w:contextualSpacing/>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6D359B85">
      <w:pPr>
        <w:pStyle w:val="8"/>
        <w:jc w:val="both"/>
        <w:rPr>
          <w:rFonts w:ascii="Arial" w:hAnsi="Arial" w:cs="Arial"/>
          <w:sz w:val="14"/>
          <w:szCs w:val="14"/>
        </w:rPr>
      </w:pPr>
      <w:r>
        <w:rPr>
          <w:rStyle w:val="7"/>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457E4B02">
      <w:pPr>
        <w:jc w:val="both"/>
        <w:rPr>
          <w:rFonts w:ascii="Arial" w:hAnsi="Arial" w:cs="Arial"/>
          <w:color w:val="000000"/>
          <w:sz w:val="16"/>
          <w:szCs w:val="16"/>
        </w:rPr>
      </w:pPr>
      <w:r>
        <w:rPr>
          <w:rStyle w:val="7"/>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D16"/>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5E3964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pPr>
    <w:rPr>
      <w:rFonts w:ascii="Times New Roman" w:hAnsi="Times New Roman" w:eastAsia="Times New Roman" w:cs="Times New Roman"/>
      <w:sz w:val="24"/>
      <w:szCs w:val="24"/>
      <w:lang w:val="en-US" w:eastAsia="en-US" w:bidi="ar-SA"/>
    </w:rPr>
  </w:style>
  <w:style w:type="paragraph" w:styleId="2">
    <w:name w:val="heading 1"/>
    <w:basedOn w:val="1"/>
    <w:link w:val="10"/>
    <w:qFormat/>
    <w:uiPriority w:val="1"/>
    <w:pPr>
      <w:spacing w:before="28"/>
      <w:ind w:left="2212"/>
      <w:outlineLvl w:val="0"/>
    </w:pPr>
    <w:rPr>
      <w:rFonts w:ascii="Calibri" w:hAnsi="Calibri" w:eastAsia="Calibri"/>
      <w:b/>
      <w:bCs/>
      <w:sz w:val="28"/>
      <w:szCs w:val="28"/>
    </w:rPr>
  </w:style>
  <w:style w:type="paragraph" w:styleId="3">
    <w:name w:val="heading 2"/>
    <w:basedOn w:val="1"/>
    <w:link w:val="11"/>
    <w:qFormat/>
    <w:uiPriority w:val="1"/>
    <w:pPr>
      <w:ind w:left="116"/>
      <w:outlineLvl w:val="1"/>
    </w:pPr>
    <w:rPr>
      <w:rFonts w:ascii="Calibri" w:hAnsi="Calibri" w:eastAsia="Calibri"/>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2"/>
    <w:qFormat/>
    <w:uiPriority w:val="1"/>
    <w:pPr>
      <w:spacing w:before="22"/>
      <w:ind w:left="882" w:hanging="360"/>
    </w:pPr>
    <w:rPr>
      <w:rFonts w:ascii="Calibri" w:hAnsi="Calibri" w:eastAsia="Calibri"/>
    </w:rPr>
  </w:style>
  <w:style w:type="character" w:styleId="7">
    <w:name w:val="footnote reference"/>
    <w:unhideWhenUsed/>
    <w:qFormat/>
    <w:uiPriority w:val="99"/>
    <w:rPr>
      <w:vertAlign w:val="superscript"/>
    </w:rPr>
  </w:style>
  <w:style w:type="paragraph" w:styleId="8">
    <w:name w:val="footnote text"/>
    <w:basedOn w:val="1"/>
    <w:link w:val="16"/>
    <w:unhideWhenUsed/>
    <w:qFormat/>
    <w:uiPriority w:val="99"/>
    <w:rPr>
      <w:rFonts w:ascii="Calibri" w:hAnsi="Calibri" w:eastAsia="Calibri"/>
      <w:sz w:val="20"/>
      <w:szCs w:val="20"/>
    </w:rPr>
  </w:style>
  <w:style w:type="character" w:styleId="9">
    <w:name w:val="Hyperlink"/>
    <w:qFormat/>
    <w:uiPriority w:val="99"/>
    <w:rPr>
      <w:color w:val="0000FF"/>
      <w:u w:val="single"/>
    </w:rPr>
  </w:style>
  <w:style w:type="character" w:customStyle="1" w:styleId="10">
    <w:name w:val="Heading 1 Char"/>
    <w:basedOn w:val="4"/>
    <w:link w:val="2"/>
    <w:qFormat/>
    <w:uiPriority w:val="1"/>
    <w:rPr>
      <w:rFonts w:ascii="Calibri" w:hAnsi="Calibri" w:eastAsia="Calibri"/>
      <w:b/>
      <w:bCs/>
      <w:sz w:val="28"/>
      <w:szCs w:val="28"/>
    </w:rPr>
  </w:style>
  <w:style w:type="character" w:customStyle="1" w:styleId="11">
    <w:name w:val="Heading 2 Char"/>
    <w:basedOn w:val="4"/>
    <w:link w:val="3"/>
    <w:qFormat/>
    <w:uiPriority w:val="1"/>
    <w:rPr>
      <w:rFonts w:ascii="Calibri" w:hAnsi="Calibri" w:eastAsia="Calibri"/>
      <w:b/>
      <w:bCs/>
    </w:rPr>
  </w:style>
  <w:style w:type="character" w:customStyle="1" w:styleId="12">
    <w:name w:val="Body Text Char"/>
    <w:basedOn w:val="4"/>
    <w:link w:val="6"/>
    <w:qFormat/>
    <w:uiPriority w:val="1"/>
    <w:rPr>
      <w:rFonts w:ascii="Calibri" w:hAnsi="Calibri" w:eastAsia="Calibri"/>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6">
    <w:name w:val="Footnote Text Char"/>
    <w:basedOn w:val="4"/>
    <w:link w:val="8"/>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2222</Words>
  <Characters>12668</Characters>
  <Lines>105</Lines>
  <Paragraphs>29</Paragraphs>
  <TotalTime>19</TotalTime>
  <ScaleCrop>false</ScaleCrop>
  <LinksUpToDate>false</LinksUpToDate>
  <CharactersWithSpaces>14861</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2024-04-04T11:10:00Z</dcterms:created>
  <dc:creator>vesna</dc:creator>
  <cp:lastModifiedBy>PC</cp:lastModifiedBy>
  <cp:lastPrinted>2024-04-04T11:07:00Z</cp:lastPrinted>
  <dcterms:modified xsi:type="dcterms:W3CDTF">2024-11-28T10:00:04Z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4BA6B5D260614A67B3ED82DEEC177C2B_13</vt:lpwstr>
  </property>
</Properties>
</file>