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right"/>
        <w:rPr>
          <w:rFonts w:ascii="Arial" w:hAnsi="Arial" w:eastAsia="Times New Roman" w:cs="Arial"/>
          <w:b/>
          <w:color w:val="000000"/>
          <w:sz w:val="24"/>
          <w:szCs w:val="24"/>
          <w:lang w:val="sr-Latn-ME"/>
        </w:rPr>
      </w:pPr>
      <w:r>
        <w:rPr>
          <w:rFonts w:ascii="Arial" w:hAnsi="Arial" w:eastAsia="Times New Roman" w:cs="Arial"/>
          <w:b/>
          <w:color w:val="000000"/>
          <w:sz w:val="24"/>
          <w:szCs w:val="24"/>
          <w:lang w:val="sr-Latn-ME"/>
        </w:rPr>
        <w:t xml:space="preserve">OBRAZAC 1  </w:t>
      </w:r>
    </w:p>
    <w:p>
      <w:pPr>
        <w:spacing w:after="0" w:line="240" w:lineRule="auto"/>
        <w:rPr>
          <w:rFonts w:ascii="Arial" w:hAnsi="Arial" w:eastAsia="Times New Roman" w:cs="Arial"/>
          <w:color w:val="000000"/>
          <w:sz w:val="24"/>
          <w:szCs w:val="24"/>
          <w:lang w:val="sr-Latn-ME"/>
        </w:rPr>
      </w:pPr>
    </w:p>
    <w:p>
      <w:pPr>
        <w:tabs>
          <w:tab w:val="right" w:pos="9072"/>
        </w:tabs>
        <w:spacing w:after="0"/>
        <w:rPr>
          <w:rFonts w:ascii="Arial" w:hAnsi="Arial" w:eastAsia="Calibri" w:cs="Arial"/>
          <w:sz w:val="24"/>
          <w:szCs w:val="24"/>
          <w:lang w:val="sr-Latn-ME"/>
        </w:rPr>
      </w:pPr>
      <w:r>
        <w:rPr>
          <w:rFonts w:ascii="Arial" w:hAnsi="Arial" w:eastAsia="Calibri" w:cs="Arial"/>
          <w:color w:val="000000"/>
          <w:sz w:val="24"/>
          <w:szCs w:val="24"/>
          <w:lang w:val="sr-Latn-ME"/>
        </w:rPr>
        <w:t xml:space="preserve">Naručilac: </w:t>
      </w:r>
      <w:r>
        <w:rPr>
          <w:rFonts w:ascii="Arial" w:hAnsi="Arial" w:eastAsia="Calibri" w:cs="Arial"/>
          <w:b/>
          <w:color w:val="000000"/>
          <w:sz w:val="24"/>
          <w:szCs w:val="24"/>
          <w:lang w:val="sr-Latn-ME"/>
        </w:rPr>
        <w:t xml:space="preserve">Ministarstvo finansija </w:t>
      </w:r>
    </w:p>
    <w:p>
      <w:pPr>
        <w:tabs>
          <w:tab w:val="left" w:pos="1701"/>
          <w:tab w:val="left" w:pos="4820"/>
        </w:tabs>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Broj iz evidencije postupaka javnih nabavki: </w:t>
      </w:r>
      <w:r>
        <w:rPr>
          <w:rFonts w:hint="default" w:ascii="Arial" w:hAnsi="Arial" w:eastAsia="Times New Roman" w:cs="Arial"/>
          <w:sz w:val="24"/>
          <w:szCs w:val="24"/>
          <w:lang w:val="sr-Latn-RS"/>
        </w:rPr>
        <w:t>9</w:t>
      </w:r>
      <w:r>
        <w:rPr>
          <w:rFonts w:ascii="Arial" w:hAnsi="Arial" w:eastAsia="Times New Roman" w:cs="Arial"/>
          <w:sz w:val="24"/>
          <w:szCs w:val="24"/>
          <w:lang w:val="sr-Latn-ME"/>
        </w:rPr>
        <w:t>/202</w:t>
      </w:r>
      <w:r>
        <w:rPr>
          <w:rFonts w:hint="default" w:ascii="Arial" w:hAnsi="Arial" w:eastAsia="Times New Roman" w:cs="Arial"/>
          <w:sz w:val="24"/>
          <w:szCs w:val="24"/>
          <w:lang w:val="sr-Latn-RS"/>
        </w:rPr>
        <w:t>4</w:t>
      </w:r>
      <w:r>
        <w:rPr>
          <w:rFonts w:ascii="Arial" w:hAnsi="Arial" w:eastAsia="Times New Roman" w:cs="Arial"/>
          <w:sz w:val="24"/>
          <w:szCs w:val="24"/>
          <w:lang w:val="sr-Latn-ME"/>
        </w:rPr>
        <w:t xml:space="preserve"> </w:t>
      </w:r>
    </w:p>
    <w:p>
      <w:pPr>
        <w:tabs>
          <w:tab w:val="left" w:pos="1701"/>
          <w:tab w:val="left" w:pos="4820"/>
        </w:tabs>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Redni broj iz Plana javnih nabavki: 4</w:t>
      </w:r>
    </w:p>
    <w:p>
      <w:pPr>
        <w:tabs>
          <w:tab w:val="left" w:pos="1701"/>
          <w:tab w:val="left" w:pos="4820"/>
        </w:tabs>
        <w:spacing w:after="0" w:line="240" w:lineRule="auto"/>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t>Podgorica</w:t>
      </w:r>
      <w:r>
        <w:rPr>
          <w:rFonts w:ascii="Arial" w:hAnsi="Arial" w:eastAsia="Calibri" w:cs="Arial"/>
          <w:sz w:val="24"/>
          <w:szCs w:val="24"/>
          <w:lang w:val="sr-Latn-ME"/>
        </w:rPr>
        <w:t xml:space="preserve">, </w:t>
      </w:r>
      <w:r>
        <w:rPr>
          <w:rFonts w:hint="default" w:ascii="Arial" w:hAnsi="Arial" w:eastAsia="Calibri" w:cs="Arial"/>
          <w:sz w:val="24"/>
          <w:szCs w:val="24"/>
          <w:lang w:val="sr-Latn-RS"/>
        </w:rPr>
        <w:t>12.11</w:t>
      </w:r>
      <w:r>
        <w:rPr>
          <w:rFonts w:ascii="Arial" w:hAnsi="Arial" w:eastAsia="Calibri" w:cs="Arial"/>
          <w:sz w:val="24"/>
          <w:szCs w:val="24"/>
          <w:lang w:val="sr-Latn-ME"/>
        </w:rPr>
        <w:t>.202</w:t>
      </w:r>
      <w:r>
        <w:rPr>
          <w:rFonts w:hint="default" w:ascii="Arial" w:hAnsi="Arial" w:eastAsia="Calibri" w:cs="Arial"/>
          <w:sz w:val="24"/>
          <w:szCs w:val="24"/>
          <w:lang w:val="sr-Latn-RS"/>
        </w:rPr>
        <w:t>4</w:t>
      </w:r>
      <w:r>
        <w:rPr>
          <w:rFonts w:ascii="Arial" w:hAnsi="Arial" w:eastAsia="Calibri" w:cs="Arial"/>
          <w:sz w:val="24"/>
          <w:szCs w:val="24"/>
          <w:lang w:val="sr-Latn-ME"/>
        </w:rPr>
        <w:t>.</w:t>
      </w:r>
      <w:r>
        <w:rPr>
          <w:rFonts w:ascii="Arial" w:hAnsi="Arial" w:eastAsia="Calibri" w:cs="Arial"/>
          <w:color w:val="000000"/>
          <w:sz w:val="24"/>
          <w:szCs w:val="24"/>
          <w:lang w:val="sr-Latn-ME"/>
        </w:rPr>
        <w:t xml:space="preserve"> godine</w:t>
      </w: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r>
        <w:rPr>
          <w:rFonts w:ascii="Arial" w:hAnsi="Arial" w:eastAsia="Times New Roman" w:cs="Arial"/>
          <w:sz w:val="24"/>
          <w:szCs w:val="24"/>
          <w:lang w:val="sr-Latn-ME"/>
        </w:rPr>
        <w:t xml:space="preserve">Na osnovu člana 53 stav 3 Zakona o javnim nabavkama („Službeni list CG“, br. 74/19, 3/23 i 11/23) </w:t>
      </w:r>
      <w:r>
        <w:rPr>
          <w:rFonts w:ascii="Arial" w:hAnsi="Arial" w:eastAsia="Times New Roman" w:cs="Arial"/>
          <w:color w:val="000000"/>
          <w:sz w:val="24"/>
          <w:szCs w:val="24"/>
          <w:u w:val="single"/>
          <w:lang w:val="sr-Latn-ME"/>
        </w:rPr>
        <w:t>Ministarstvo finansija</w:t>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objavljuje</w:t>
      </w:r>
      <w:r>
        <w:rPr>
          <w:rFonts w:ascii="Arial" w:hAnsi="Arial" w:eastAsia="Times New Roman" w:cs="Arial"/>
          <w:b/>
          <w:bCs/>
          <w:color w:val="000000"/>
          <w:sz w:val="24"/>
          <w:szCs w:val="24"/>
          <w:lang w:val="sr-Latn-ME"/>
        </w:rPr>
        <w:t xml:space="preserve">        </w:t>
      </w: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sz w:val="24"/>
          <w:szCs w:val="24"/>
          <w:lang w:val="sr-Latn-ME"/>
        </w:rPr>
      </w:pPr>
      <w:r>
        <w:rPr>
          <w:rFonts w:ascii="Arial" w:hAnsi="Arial" w:eastAsia="Times New Roman" w:cs="Arial"/>
          <w:b/>
          <w:bCs/>
          <w:color w:val="000000"/>
          <w:sz w:val="24"/>
          <w:szCs w:val="24"/>
          <w:lang w:val="sr-Latn-ME"/>
        </w:rPr>
        <w:t xml:space="preserve">                                          </w:t>
      </w:r>
      <w:r>
        <w:rPr>
          <w:rFonts w:ascii="Arial" w:hAnsi="Arial" w:eastAsia="Times New Roman" w:cs="Arial"/>
          <w:b/>
          <w:bCs/>
          <w:color w:val="000000"/>
          <w:sz w:val="24"/>
          <w:szCs w:val="24"/>
          <w:lang w:val="sr-Latn-ME"/>
        </w:rPr>
        <w:tab/>
      </w:r>
      <w:r>
        <w:rPr>
          <w:rFonts w:ascii="Arial" w:hAnsi="Arial" w:eastAsia="Times New Roman" w:cs="Arial"/>
          <w:bCs/>
          <w:color w:val="000000"/>
          <w:sz w:val="24"/>
          <w:szCs w:val="24"/>
          <w:lang w:val="sr-Latn-ME"/>
        </w:rPr>
        <w:t xml:space="preserve">                                                      </w:t>
      </w:r>
    </w:p>
    <w:p>
      <w:pPr>
        <w:keepNext/>
        <w:spacing w:after="0" w:line="240" w:lineRule="auto"/>
        <w:jc w:val="center"/>
        <w:outlineLvl w:val="0"/>
        <w:rPr>
          <w:rFonts w:ascii="Arial" w:hAnsi="Arial" w:eastAsia="Times New Roman" w:cs="Arial"/>
          <w:b/>
          <w:bCs/>
          <w:color w:val="000000"/>
          <w:sz w:val="24"/>
          <w:szCs w:val="24"/>
          <w:lang w:val="sr-Latn-ME"/>
        </w:rPr>
      </w:pPr>
    </w:p>
    <w:p>
      <w:pPr>
        <w:spacing w:after="0" w:line="240" w:lineRule="auto"/>
        <w:jc w:val="center"/>
        <w:rPr>
          <w:rFonts w:ascii="Arial" w:hAnsi="Arial" w:eastAsia="Times New Roman" w:cs="Arial"/>
          <w:b/>
          <w:bCs/>
          <w:color w:val="000000"/>
          <w:sz w:val="28"/>
          <w:szCs w:val="28"/>
          <w:lang w:val="sr-Latn-ME"/>
        </w:rPr>
      </w:pPr>
      <w:r>
        <w:rPr>
          <w:rFonts w:ascii="Arial" w:hAnsi="Arial" w:eastAsia="Times New Roman" w:cs="Arial"/>
          <w:b/>
          <w:bCs/>
          <w:color w:val="000000"/>
          <w:sz w:val="28"/>
          <w:szCs w:val="28"/>
          <w:lang w:val="sr-Latn-ME"/>
        </w:rPr>
        <w:t>TENDERSKU DOKUMENTACIJU</w:t>
      </w:r>
    </w:p>
    <w:p>
      <w:pPr>
        <w:spacing w:after="0" w:line="240" w:lineRule="auto"/>
        <w:jc w:val="center"/>
        <w:rPr>
          <w:rFonts w:ascii="Arial" w:hAnsi="Arial" w:eastAsia="Times New Roman" w:cs="Arial"/>
          <w:b/>
          <w:bCs/>
          <w:color w:val="000000"/>
          <w:sz w:val="28"/>
          <w:szCs w:val="28"/>
          <w:lang w:val="sr-Latn-ME"/>
        </w:rPr>
      </w:pPr>
      <w:r>
        <w:rPr>
          <w:rFonts w:ascii="Arial" w:hAnsi="Arial" w:eastAsia="Times New Roman" w:cs="Arial"/>
          <w:b/>
          <w:bCs/>
          <w:color w:val="000000"/>
          <w:sz w:val="28"/>
          <w:szCs w:val="28"/>
          <w:lang w:val="sr-Latn-ME"/>
        </w:rPr>
        <w:t>ZA OTVORENI POSTUPAK JAVNE NABAVKE</w:t>
      </w:r>
    </w:p>
    <w:p>
      <w:pPr>
        <w:spacing w:after="0" w:line="240" w:lineRule="auto"/>
        <w:jc w:val="center"/>
        <w:rPr>
          <w:rFonts w:ascii="Arial" w:hAnsi="Arial" w:eastAsia="Times New Roman" w:cs="Arial"/>
          <w:b/>
          <w:bCs/>
          <w:color w:val="000000"/>
          <w:sz w:val="28"/>
          <w:szCs w:val="28"/>
          <w:lang w:val="sr-Latn-ME"/>
        </w:rPr>
      </w:pPr>
    </w:p>
    <w:p>
      <w:pPr>
        <w:spacing w:after="0" w:line="240" w:lineRule="auto"/>
        <w:jc w:val="center"/>
        <w:rPr>
          <w:rFonts w:ascii="Arial" w:hAnsi="Arial" w:eastAsia="Calibri" w:cs="Arial"/>
          <w:bCs/>
          <w:sz w:val="30"/>
          <w:szCs w:val="30"/>
          <w:lang w:val="sr-Latn-ME"/>
        </w:rPr>
      </w:pPr>
      <w:r>
        <w:rPr>
          <w:rFonts w:ascii="Arial" w:hAnsi="Arial" w:eastAsia="Calibri" w:cs="Arial"/>
          <w:sz w:val="30"/>
          <w:szCs w:val="30"/>
          <w:lang w:val="sr-Latn-ME"/>
        </w:rPr>
        <w:t xml:space="preserve">Usluge </w:t>
      </w:r>
      <w:r>
        <w:rPr>
          <w:rFonts w:ascii="Arial" w:hAnsi="Arial" w:eastAsia="Times New Roman" w:cs="Arial"/>
          <w:color w:val="000000"/>
          <w:sz w:val="30"/>
          <w:szCs w:val="30"/>
          <w:lang w:val="sr-Latn-ME"/>
        </w:rPr>
        <w:t>održavanja SAP licenci</w:t>
      </w: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Predmet nabavke se nabavlja:</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kao cjelina </w:t>
      </w: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lang w:val="sr-Latn-ME"/>
        </w:rPr>
      </w:pPr>
      <w:bookmarkStart w:id="0" w:name="_Toc62730553"/>
      <w:r>
        <w:rPr>
          <w:rFonts w:ascii="Arial" w:hAnsi="Arial" w:eastAsia="Times New Roman" w:cs="Times New Roman"/>
          <w:b/>
          <w:color w:val="000000"/>
          <w:sz w:val="24"/>
          <w:szCs w:val="32"/>
          <w:lang w:val="sr-Latn-ME"/>
        </w:rPr>
        <w:t>1. POZIV ZA NADMETANJE</w:t>
      </w:r>
      <w:r>
        <w:rPr>
          <w:rFonts w:ascii="Arial" w:hAnsi="Arial" w:eastAsia="Times New Roman" w:cs="Times New Roman"/>
          <w:b/>
          <w:color w:val="000000"/>
          <w:sz w:val="24"/>
          <w:szCs w:val="32"/>
          <w:vertAlign w:val="superscript"/>
          <w:lang w:val="sr-Latn-ME"/>
        </w:rPr>
        <w:footnoteReference w:id="0"/>
      </w:r>
      <w:bookmarkEnd w:id="0"/>
      <w:r>
        <w:rPr>
          <w:rFonts w:ascii="Arial" w:hAnsi="Arial" w:eastAsia="Times New Roman" w:cs="Times New Roman"/>
          <w:b/>
          <w:color w:val="000000"/>
          <w:sz w:val="24"/>
          <w:szCs w:val="32"/>
          <w:lang w:val="sr-Latn-ME"/>
        </w:rPr>
        <w:t xml:space="preserve"> </w:t>
      </w:r>
    </w:p>
    <w:p>
      <w:pPr>
        <w:spacing w:after="0" w:line="240" w:lineRule="auto"/>
        <w:rPr>
          <w:rFonts w:ascii="Arial" w:hAnsi="Arial" w:eastAsia="Times New Roman" w:cs="Arial"/>
          <w:b/>
          <w:bCs/>
          <w:color w:val="000000"/>
          <w:sz w:val="24"/>
          <w:szCs w:val="24"/>
          <w:lang w:val="sr-Latn-ME"/>
        </w:rPr>
      </w:pPr>
      <w:r>
        <w:rPr>
          <w:rFonts w:ascii="Arial" w:hAnsi="Arial" w:eastAsia="Times New Roman" w:cs="Arial"/>
          <w:b/>
          <w:bCs/>
          <w:color w:val="000000"/>
          <w:sz w:val="24"/>
          <w:szCs w:val="24"/>
          <w:lang w:val="sr-Latn-ME"/>
        </w:rPr>
        <w:tab/>
      </w:r>
    </w:p>
    <w:p>
      <w:pPr>
        <w:spacing w:after="0" w:line="240" w:lineRule="auto"/>
        <w:ind w:left="360"/>
        <w:jc w:val="center"/>
        <w:rPr>
          <w:rFonts w:ascii="Arial" w:hAnsi="Arial" w:eastAsia="Times New Roman" w:cs="Arial"/>
          <w:b/>
          <w:bCs/>
          <w:color w:val="000000"/>
          <w:sz w:val="24"/>
          <w:szCs w:val="24"/>
          <w:lang w:val="sr-Latn-ME"/>
        </w:rPr>
      </w:pPr>
    </w:p>
    <w:p>
      <w:pPr>
        <w:numPr>
          <w:ilvl w:val="0"/>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Podaci o naručiocu;</w:t>
      </w:r>
    </w:p>
    <w:p>
      <w:pPr>
        <w:numPr>
          <w:ilvl w:val="0"/>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 xml:space="preserve">Podaci o postupku i predmetu javne nabavke: </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Vrsta postupka,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Predmet javne nabavke (vrsta predmeta, naziv i opis predmeta),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Procijenjena vrijednost predmeta nabavke</w:t>
      </w:r>
      <w:r>
        <w:rPr>
          <w:rFonts w:ascii="Arial" w:hAnsi="Arial" w:eastAsia="Calibri" w:cs="Arial"/>
          <w:color w:val="000000"/>
          <w:vertAlign w:val="superscript"/>
          <w:lang w:val="sr-Latn-ME"/>
        </w:rPr>
        <w:footnoteReference w:id="1"/>
      </w:r>
      <w:r>
        <w:rPr>
          <w:rFonts w:ascii="Arial" w:hAnsi="Arial" w:eastAsia="Calibri" w:cs="Arial"/>
          <w:color w:val="000000"/>
          <w:lang w:val="sr-Latn-ME"/>
        </w:rPr>
        <w:t>,</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 xml:space="preserve">Način nabavke: </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Cjelina, po partijama,</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Zajednička nabavka,</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Centralizovana nabavka,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Posebni oblik nabavke:</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Okvirni sporazum,</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Dinamički sistem nabavki,</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Elektronska aukcija,</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Elektronski katalog,</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Uslovi za učešće u postupku javne nabavke i posebni osnovi za isključenje,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Kriterijum za izbor najpovoljnije ponude,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Način, mjesto i vrijeme podnošenja ponuda i otvaranja ponuda,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Rok za donošenje odluke o izboru,</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Rok važenja ponude,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Garancija ponude</w:t>
      </w:r>
    </w:p>
    <w:p>
      <w:pPr>
        <w:spacing w:after="0" w:line="240" w:lineRule="auto"/>
        <w:rPr>
          <w:rFonts w:ascii="Calibri" w:hAnsi="Calibri" w:eastAsia="Calibri" w:cs="Times New Roman"/>
          <w:color w:val="000000"/>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lang w:val="sr-Latn-ME"/>
        </w:rPr>
      </w:pPr>
      <w:bookmarkStart w:id="1" w:name="_Toc62730554"/>
      <w:r>
        <w:rPr>
          <w:rFonts w:ascii="Arial" w:hAnsi="Arial" w:eastAsia="Times New Roman" w:cs="Times New Roman"/>
          <w:b/>
          <w:color w:val="000000"/>
          <w:sz w:val="24"/>
          <w:szCs w:val="32"/>
          <w:lang w:val="sr-Latn-ME"/>
        </w:rPr>
        <w:t>2.TEHNIČKA SPECIFIKACIJA PREDMETA JAVNE NABAVKE</w:t>
      </w:r>
      <w:r>
        <w:rPr>
          <w:rFonts w:ascii="Arial" w:hAnsi="Arial" w:eastAsia="Times New Roman" w:cs="Times New Roman"/>
          <w:b/>
          <w:color w:val="000000"/>
          <w:sz w:val="24"/>
          <w:szCs w:val="32"/>
          <w:vertAlign w:val="superscript"/>
          <w:lang w:val="sr-Latn-ME"/>
        </w:rPr>
        <w:footnoteReference w:id="2"/>
      </w:r>
      <w:bookmarkEnd w:id="1"/>
    </w:p>
    <w:p>
      <w:pPr>
        <w:spacing w:after="0" w:line="240" w:lineRule="auto"/>
        <w:rPr>
          <w:rFonts w:ascii="Calibri" w:hAnsi="Calibri" w:eastAsia="Calibri" w:cs="Times New Roman"/>
          <w:color w:val="000000"/>
          <w:lang w:val="sr-Latn-ME"/>
        </w:rPr>
      </w:pPr>
    </w:p>
    <w:p>
      <w:pPr>
        <w:numPr>
          <w:ilvl w:val="0"/>
          <w:numId w:val="4"/>
        </w:numPr>
        <w:spacing w:after="0" w:line="240" w:lineRule="auto"/>
        <w:contextualSpacing/>
        <w:jc w:val="both"/>
        <w:rPr>
          <w:rFonts w:ascii="Arial" w:hAnsi="Arial" w:eastAsia="Calibri" w:cs="Arial"/>
          <w:color w:val="000000"/>
          <w:lang w:val="sr-Latn-ME"/>
        </w:rPr>
      </w:pPr>
      <w:r>
        <w:rPr>
          <w:rFonts w:ascii="Arial" w:hAnsi="Arial" w:eastAsia="Calibri" w:cs="Arial"/>
          <w:color w:val="000000"/>
          <w:lang w:val="sr-Latn-ME"/>
        </w:rPr>
        <w:t>Naziv i opis predmeta nabavke u cjelini, po partijama i stavkama sa bitnim karakteristikama</w:t>
      </w:r>
    </w:p>
    <w:p>
      <w:pPr>
        <w:numPr>
          <w:ilvl w:val="0"/>
          <w:numId w:val="4"/>
        </w:numPr>
        <w:spacing w:after="0" w:line="240" w:lineRule="auto"/>
        <w:contextualSpacing/>
        <w:jc w:val="both"/>
        <w:rPr>
          <w:rFonts w:ascii="Arial" w:hAnsi="Arial" w:eastAsia="Calibri" w:cs="Arial"/>
          <w:color w:val="000000"/>
          <w:lang w:val="sr-Latn-ME"/>
        </w:rPr>
      </w:pPr>
      <w:r>
        <w:rPr>
          <w:rFonts w:ascii="Arial" w:hAnsi="Arial" w:eastAsia="Calibri" w:cs="Arial"/>
          <w:color w:val="000000"/>
          <w:lang w:val="sr-Latn-ME"/>
        </w:rPr>
        <w:t>Zahtjevi u pogledu načina izvršavanja predmeta nabavke koji su od značaja za sačinjavanje ponude i izvršenje ugovora</w:t>
      </w:r>
    </w:p>
    <w:p>
      <w:pPr>
        <w:spacing w:after="0" w:line="240" w:lineRule="auto"/>
        <w:rPr>
          <w:rFonts w:ascii="Calibri" w:hAnsi="Calibri" w:eastAsia="Calibri" w:cs="Times New Roman"/>
          <w:color w:val="000000"/>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color w:val="000000"/>
          <w:sz w:val="24"/>
          <w:szCs w:val="24"/>
          <w:lang w:val="sr-Latn-ME"/>
        </w:rPr>
      </w:pPr>
      <w:bookmarkStart w:id="2" w:name="_Toc62730555"/>
      <w:r>
        <w:rPr>
          <w:rFonts w:ascii="Arial" w:hAnsi="Arial" w:eastAsia="Times New Roman" w:cs="Times New Roman"/>
          <w:b/>
          <w:color w:val="000000"/>
          <w:sz w:val="24"/>
          <w:szCs w:val="32"/>
          <w:lang w:val="sr-Latn-ME"/>
        </w:rPr>
        <w:t xml:space="preserve">3. </w:t>
      </w:r>
      <w:r>
        <w:rPr>
          <w:rFonts w:ascii="Arial" w:hAnsi="Arial" w:eastAsia="Times New Roman" w:cs="Times New Roman"/>
          <w:b/>
          <w:color w:val="000000"/>
          <w:sz w:val="24"/>
          <w:szCs w:val="24"/>
          <w:lang w:val="sr-Latn-ME"/>
        </w:rPr>
        <w:t>DODATNE INFORMACIJE O PREDMETU I POSTUPKU NABAVKE</w:t>
      </w:r>
      <w:r>
        <w:rPr>
          <w:rFonts w:ascii="Arial" w:hAnsi="Arial" w:eastAsia="Times New Roman" w:cs="Times New Roman"/>
          <w:b/>
          <w:color w:val="000000"/>
          <w:sz w:val="24"/>
          <w:szCs w:val="24"/>
          <w:vertAlign w:val="superscript"/>
          <w:lang w:val="sr-Latn-ME"/>
        </w:rPr>
        <w:footnoteReference w:id="3"/>
      </w:r>
      <w:bookmarkEnd w:id="2"/>
    </w:p>
    <w:p>
      <w:pPr>
        <w:spacing w:after="0" w:line="240" w:lineRule="auto"/>
        <w:jc w:val="both"/>
        <w:rPr>
          <w:rFonts w:ascii="Arial" w:hAnsi="Arial" w:eastAsia="Times New Roman" w:cs="Arial"/>
          <w:b/>
          <w:bCs/>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rPr>
          <w:rFonts w:ascii="Arial" w:hAnsi="Arial" w:eastAsia="Calibri" w:cs="Arial"/>
          <w:b/>
          <w:bCs/>
          <w:color w:val="000000"/>
          <w:sz w:val="24"/>
          <w:szCs w:val="24"/>
          <w:lang w:val="sr-Latn-ME"/>
        </w:rPr>
      </w:pPr>
      <w:r>
        <w:rPr>
          <w:rFonts w:ascii="Arial" w:hAnsi="Arial" w:eastAsia="Calibri" w:cs="Arial"/>
          <w:b/>
          <w:bCs/>
          <w:color w:val="000000"/>
          <w:sz w:val="24"/>
          <w:szCs w:val="24"/>
          <w:lang w:val="sr-Latn-ME"/>
        </w:rPr>
        <w:t>Procijenjena vrijednost predmenta nabavke:</w:t>
      </w:r>
      <w:r>
        <w:rPr>
          <w:rFonts w:ascii="Arial" w:hAnsi="Arial" w:eastAsia="Calibri" w:cs="Arial"/>
          <w:b/>
          <w:bCs/>
          <w:color w:val="000000"/>
          <w:sz w:val="24"/>
          <w:szCs w:val="24"/>
          <w:vertAlign w:val="superscript"/>
          <w:lang w:val="sr-Latn-ME"/>
        </w:rPr>
        <w:footnoteReference w:id="4"/>
      </w:r>
    </w:p>
    <w:p>
      <w:pPr>
        <w:jc w:val="both"/>
        <w:rPr>
          <w:rFonts w:ascii="Arial" w:hAnsi="Arial" w:eastAsia="Calibri" w:cs="Arial"/>
          <w:b/>
          <w:bCs/>
          <w:color w:val="000000"/>
          <w:sz w:val="24"/>
          <w:szCs w:val="24"/>
          <w:lang w:val="sr-Latn-ME"/>
        </w:rPr>
      </w:pPr>
      <w:r>
        <w:rPr>
          <w:rFonts w:ascii="Arial" w:hAnsi="Arial" w:eastAsia="Calibri" w:cs="Arial"/>
          <w:color w:val="000000"/>
          <w:sz w:val="24"/>
          <w:szCs w:val="24"/>
          <w:lang w:val="sr-Latn-ME"/>
        </w:rPr>
        <w:sym w:font="Wingdings" w:char="F078"/>
      </w:r>
      <w:r>
        <w:rPr>
          <w:rFonts w:ascii="Arial" w:hAnsi="Arial" w:eastAsia="Calibri" w:cs="Arial"/>
          <w:color w:val="000000"/>
          <w:sz w:val="24"/>
          <w:szCs w:val="24"/>
          <w:lang w:val="sr-Latn-ME"/>
        </w:rPr>
        <w:t xml:space="preserve"> </w:t>
      </w:r>
      <w:r>
        <w:rPr>
          <w:rFonts w:ascii="Arial" w:hAnsi="Arial" w:eastAsia="Calibri" w:cs="Arial"/>
          <w:b/>
          <w:bCs/>
          <w:color w:val="000000"/>
          <w:sz w:val="24"/>
          <w:szCs w:val="24"/>
          <w:lang w:val="sr-Latn-ME"/>
        </w:rPr>
        <w:t>Procijenjena vrijednost predmeta nabavke bez zaključivanja okvirnog sporazuma</w:t>
      </w:r>
      <w:r>
        <w:rPr>
          <w:rFonts w:ascii="Arial" w:hAnsi="Arial" w:eastAsia="Calibri" w:cs="Arial"/>
          <w:color w:val="000000"/>
          <w:sz w:val="24"/>
          <w:szCs w:val="24"/>
          <w:lang w:val="sr-Latn-ME"/>
        </w:rPr>
        <w:t>:</w:t>
      </w:r>
    </w:p>
    <w:p>
      <w:pPr>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sym w:font="Wingdings" w:char="F078"/>
      </w:r>
      <w:r>
        <w:rPr>
          <w:rFonts w:ascii="Arial" w:hAnsi="Arial" w:eastAsia="Calibri" w:cs="Arial"/>
          <w:color w:val="000000"/>
          <w:sz w:val="24"/>
          <w:szCs w:val="24"/>
          <w:lang w:val="sr-Latn-ME"/>
        </w:rPr>
        <w:t xml:space="preserve"> kao cjeline je </w:t>
      </w:r>
      <w:r>
        <w:rPr>
          <w:rFonts w:hint="default" w:ascii="Arial" w:hAnsi="Arial" w:eastAsia="Calibri" w:cs="Arial"/>
          <w:color w:val="000000"/>
          <w:sz w:val="24"/>
          <w:szCs w:val="24"/>
          <w:lang w:val="sr-Latn-RS"/>
        </w:rPr>
        <w:t>203.</w:t>
      </w:r>
      <w:r>
        <w:rPr>
          <w:rFonts w:hint="default" w:ascii="Arial" w:hAnsi="Arial" w:eastAsia="Calibri" w:cs="Arial"/>
          <w:color w:val="000000"/>
          <w:sz w:val="24"/>
          <w:szCs w:val="24"/>
          <w:lang w:val="sr-Latn-ME"/>
        </w:rPr>
        <w:t>926</w:t>
      </w:r>
      <w:r>
        <w:rPr>
          <w:rFonts w:hint="default" w:ascii="Arial" w:hAnsi="Arial" w:eastAsia="Calibri" w:cs="Arial"/>
          <w:color w:val="000000"/>
          <w:sz w:val="24"/>
          <w:szCs w:val="24"/>
          <w:lang w:val="sr-Latn-RS"/>
        </w:rPr>
        <w:t>,00</w:t>
      </w:r>
      <w:r>
        <w:rPr>
          <w:rFonts w:ascii="Arial" w:hAnsi="Arial" w:eastAsia="Calibri" w:cs="Arial"/>
          <w:sz w:val="24"/>
          <w:szCs w:val="24"/>
          <w:lang w:val="sr-Latn-CS"/>
        </w:rPr>
        <w:t xml:space="preserve"> </w:t>
      </w:r>
      <w:r>
        <w:rPr>
          <w:rFonts w:ascii="Arial" w:hAnsi="Arial" w:eastAsia="Calibri" w:cs="Arial"/>
          <w:color w:val="000000"/>
          <w:sz w:val="24"/>
          <w:szCs w:val="24"/>
          <w:lang w:val="sr-Latn-ME"/>
        </w:rPr>
        <w:t>€;</w:t>
      </w:r>
    </w:p>
    <w:p>
      <w:pPr>
        <w:spacing w:after="0" w:line="240" w:lineRule="auto"/>
        <w:jc w:val="both"/>
        <w:rPr>
          <w:rFonts w:ascii="Arial" w:hAnsi="Arial" w:eastAsia="Times New Roman" w:cs="Arial"/>
          <w:b/>
          <w:bCs/>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jc w:val="both"/>
        <w:rPr>
          <w:rFonts w:ascii="Arial" w:hAnsi="Arial" w:eastAsia="Times New Roman" w:cs="Arial"/>
          <w:b/>
          <w:bCs/>
          <w:color w:val="000000"/>
          <w:sz w:val="24"/>
          <w:szCs w:val="24"/>
          <w:lang w:val="sr-Latn-ME"/>
        </w:rPr>
      </w:pPr>
      <w:r>
        <w:rPr>
          <w:rFonts w:ascii="Arial" w:hAnsi="Arial" w:eastAsia="Times New Roman" w:cs="Arial"/>
          <w:color w:val="000000"/>
          <w:sz w:val="24"/>
          <w:szCs w:val="24"/>
          <w:lang w:val="sr-Latn-ME"/>
        </w:rPr>
        <w:t>Obrazloženje razloga zašto predmet nabavke nije podijeljen na partije:</w:t>
      </w:r>
      <w:r>
        <w:rPr>
          <w:rFonts w:ascii="Arial" w:hAnsi="Arial" w:eastAsia="Times New Roman" w:cs="Arial"/>
          <w:color w:val="000000"/>
          <w:sz w:val="24"/>
          <w:szCs w:val="24"/>
          <w:vertAlign w:val="superscript"/>
          <w:lang w:val="sr-Latn-ME"/>
        </w:rPr>
        <w:footnoteReference w:id="5"/>
      </w:r>
    </w:p>
    <w:p>
      <w:pPr>
        <w:spacing w:after="0" w:line="240" w:lineRule="auto"/>
        <w:jc w:val="both"/>
        <w:rPr>
          <w:rFonts w:ascii="Arial" w:hAnsi="Arial" w:eastAsia="Times New Roman" w:cs="Arial"/>
          <w:color w:val="000000"/>
          <w:sz w:val="24"/>
          <w:szCs w:val="24"/>
          <w:lang w:val="sr-Latn-ME"/>
        </w:rPr>
      </w:pPr>
    </w:p>
    <w:p>
      <w:pPr>
        <w:jc w:val="both"/>
        <w:rPr>
          <w:rFonts w:ascii="Arial" w:hAnsi="Arial" w:eastAsia="Times New Roman" w:cs="Arial"/>
          <w:sz w:val="24"/>
          <w:szCs w:val="24"/>
        </w:rPr>
      </w:pPr>
      <w:r>
        <w:rPr>
          <w:rFonts w:ascii="Arial" w:hAnsi="Arial" w:eastAsia="Calibri" w:cs="Arial"/>
          <w:sz w:val="24"/>
          <w:szCs w:val="24"/>
          <w:lang w:val="sr-Latn-ME"/>
        </w:rPr>
        <w:t xml:space="preserve">Predmet nabavke su usluge održavanja </w:t>
      </w:r>
      <w:r>
        <w:rPr>
          <w:rFonts w:ascii="Arial" w:hAnsi="Arial" w:eastAsia="Calibri" w:cs="Arial"/>
          <w:sz w:val="24"/>
          <w:szCs w:val="24"/>
          <w:lang w:val="it-IT"/>
        </w:rPr>
        <w:t xml:space="preserve">SAP licenci, nije podeljen na partije jer </w:t>
      </w:r>
      <w:r>
        <w:rPr>
          <w:rFonts w:ascii="Arial" w:hAnsi="Arial" w:eastAsia="Calibri" w:cs="Arial"/>
          <w:sz w:val="24"/>
          <w:szCs w:val="24"/>
          <w:lang w:val="sr-Latn-ME"/>
        </w:rPr>
        <w:t>predstavlja jedinstvenu tehničku cjelinu</w:t>
      </w:r>
      <w:r>
        <w:rPr>
          <w:rFonts w:ascii="Arial" w:hAnsi="Arial" w:eastAsia="Times New Roman" w:cs="Arial"/>
          <w:sz w:val="24"/>
          <w:szCs w:val="24"/>
        </w:rPr>
        <w:t>.</w:t>
      </w:r>
    </w:p>
    <w:p>
      <w:pPr>
        <w:spacing w:after="0" w:line="240" w:lineRule="auto"/>
        <w:jc w:val="both"/>
        <w:rPr>
          <w:rFonts w:ascii="Arial" w:hAnsi="Arial" w:eastAsia="Times New Roman" w:cs="Arial"/>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BFBFBF"/>
        <w:spacing w:after="0" w:line="240" w:lineRule="auto"/>
        <w:jc w:val="both"/>
        <w:rPr>
          <w:rFonts w:ascii="Arial" w:hAnsi="Arial" w:eastAsia="Times New Roman" w:cs="Arial"/>
          <w:color w:val="000000"/>
          <w:sz w:val="24"/>
          <w:szCs w:val="24"/>
          <w:lang w:val="sr-Latn-ME"/>
        </w:rPr>
      </w:pPr>
      <w:r>
        <w:rPr>
          <w:rFonts w:ascii="Arial" w:hAnsi="Arial" w:eastAsia="Times New Roman" w:cs="Arial"/>
          <w:b/>
          <w:color w:val="000000"/>
          <w:sz w:val="24"/>
          <w:szCs w:val="24"/>
          <w:lang w:val="sr-Latn-ME"/>
        </w:rPr>
        <w:t>PODACI O NARUČIOCIMA KOJI ZAKLJUČUJU ZAJEDNIČKU NABAVKU</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Nije primjenljivo</w:t>
      </w:r>
    </w:p>
    <w:p>
      <w:pPr>
        <w:spacing w:after="0" w:line="240" w:lineRule="auto"/>
        <w:jc w:val="both"/>
        <w:rPr>
          <w:rFonts w:ascii="Arial" w:hAnsi="Arial" w:eastAsia="Times New Roman" w:cs="Arial"/>
          <w:color w:val="000000"/>
          <w:sz w:val="24"/>
          <w:szCs w:val="24"/>
          <w:lang w:val="sr-Latn-ME"/>
        </w:rPr>
      </w:pPr>
    </w:p>
    <w:p>
      <w:pPr>
        <w:pBdr>
          <w:top w:val="single" w:color="auto" w:sz="4" w:space="1"/>
          <w:left w:val="single" w:color="auto" w:sz="4" w:space="0"/>
          <w:bottom w:val="single" w:color="auto" w:sz="4" w:space="1"/>
          <w:right w:val="single" w:color="auto" w:sz="4" w:space="4"/>
        </w:pBdr>
        <w:shd w:val="clear" w:color="auto" w:fill="BFBFBF"/>
        <w:spacing w:after="0" w:line="240" w:lineRule="auto"/>
        <w:jc w:val="both"/>
        <w:rPr>
          <w:rFonts w:ascii="Arial" w:hAnsi="Arial" w:eastAsia="Times New Roman" w:cs="Arial"/>
          <w:color w:val="000000"/>
          <w:sz w:val="24"/>
          <w:szCs w:val="24"/>
          <w:lang w:val="sr-Latn-ME"/>
        </w:rPr>
      </w:pPr>
      <w:r>
        <w:rPr>
          <w:rFonts w:ascii="Arial" w:hAnsi="Arial" w:eastAsia="Times New Roman" w:cs="Arial"/>
          <w:b/>
          <w:color w:val="000000"/>
          <w:sz w:val="24"/>
          <w:szCs w:val="24"/>
          <w:lang w:val="sr-Latn-ME"/>
        </w:rPr>
        <w:t>PODACI O NARUČIOCIMA KOJI SU UKLJUČENI U CENTRALIZOVANU NABAVKU</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Nije primjenljivo </w:t>
      </w:r>
    </w:p>
    <w:p>
      <w:pPr>
        <w:spacing w:after="0" w:line="240" w:lineRule="auto"/>
        <w:jc w:val="both"/>
        <w:rPr>
          <w:rFonts w:ascii="Arial" w:hAnsi="Arial" w:eastAsia="Times New Roman" w:cs="Arial"/>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NAČIN SPROVOĐENJA ELEKTRONSKE AUKCIJE</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222A35"/>
          <w:sz w:val="24"/>
          <w:szCs w:val="24"/>
          <w:lang w:val="sr-Latn-ME"/>
        </w:rPr>
      </w:pPr>
      <w:r>
        <w:rPr>
          <w:rFonts w:ascii="Arial" w:hAnsi="Arial" w:eastAsia="Times New Roman" w:cs="Arial"/>
          <w:color w:val="222A35"/>
          <w:sz w:val="24"/>
          <w:szCs w:val="24"/>
          <w:lang w:val="sr-Latn-ME"/>
        </w:rPr>
        <w:t>Nije primjenljivo</w:t>
      </w:r>
    </w:p>
    <w:p>
      <w:pPr>
        <w:spacing w:after="0" w:line="240" w:lineRule="auto"/>
        <w:jc w:val="both"/>
        <w:rPr>
          <w:rFonts w:ascii="Arial" w:hAnsi="Arial" w:eastAsia="Times New Roman" w:cs="Arial"/>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ELEKTRONSKI KATALOG</w:t>
      </w:r>
      <w:r>
        <w:rPr>
          <w:rFonts w:ascii="Arial" w:hAnsi="Arial" w:eastAsia="Times New Roman" w:cs="Arial"/>
          <w:b/>
          <w:color w:val="FF0000"/>
          <w:sz w:val="24"/>
          <w:szCs w:val="24"/>
          <w:lang w:val="sr-Latn-ME"/>
        </w:rPr>
        <w:t xml:space="preserve"> </w:t>
      </w:r>
    </w:p>
    <w:p>
      <w:pPr>
        <w:spacing w:after="0" w:line="240" w:lineRule="auto"/>
        <w:jc w:val="both"/>
        <w:rPr>
          <w:rFonts w:ascii="Arial" w:hAnsi="Arial" w:eastAsia="Times New Roman" w:cs="Arial"/>
          <w:color w:val="FF0000"/>
          <w:sz w:val="24"/>
          <w:szCs w:val="24"/>
          <w:lang w:val="sr-Latn-ME"/>
        </w:rPr>
      </w:pPr>
    </w:p>
    <w:p>
      <w:pPr>
        <w:spacing w:after="0" w:line="240" w:lineRule="auto"/>
        <w:jc w:val="both"/>
        <w:rPr>
          <w:rFonts w:ascii="Arial" w:hAnsi="Arial" w:eastAsia="Times New Roman" w:cs="Arial"/>
          <w:color w:val="222A35"/>
          <w:sz w:val="24"/>
          <w:szCs w:val="24"/>
          <w:lang w:val="sr-Latn-ME"/>
        </w:rPr>
      </w:pPr>
      <w:r>
        <w:rPr>
          <w:rFonts w:ascii="Arial" w:hAnsi="Arial" w:eastAsia="Times New Roman" w:cs="Arial"/>
          <w:color w:val="222A35"/>
          <w:sz w:val="24"/>
          <w:szCs w:val="24"/>
          <w:lang w:val="sr-Latn-ME"/>
        </w:rPr>
        <w:t>Nije primjenljivo</w:t>
      </w:r>
    </w:p>
    <w:p>
      <w:pPr>
        <w:spacing w:after="0" w:line="240" w:lineRule="auto"/>
        <w:jc w:val="both"/>
        <w:rPr>
          <w:rFonts w:ascii="Arial" w:hAnsi="Arial" w:eastAsia="Times New Roman" w:cs="Arial"/>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PONUDA SA VARIJANTAMA</w:t>
      </w:r>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Mogućnost podnošenja ponude sa varijantama</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Varijante ponude nijesu dozvoljene i neće biti razmatrane.</w:t>
      </w:r>
    </w:p>
    <w:p>
      <w:pPr>
        <w:spacing w:after="0" w:line="240" w:lineRule="auto"/>
        <w:jc w:val="both"/>
        <w:rPr>
          <w:rFonts w:ascii="Arial" w:hAnsi="Arial" w:eastAsia="Times New Roman" w:cs="Arial"/>
          <w:b/>
          <w:bCs/>
          <w:color w:val="FF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jc w:val="both"/>
        <w:rPr>
          <w:rFonts w:ascii="Arial" w:hAnsi="Arial" w:eastAsia="Times New Roman" w:cs="Arial"/>
          <w:b/>
          <w:bCs/>
          <w:color w:val="FF0000"/>
          <w:sz w:val="24"/>
          <w:szCs w:val="24"/>
          <w:lang w:val="sr-Latn-ME"/>
        </w:rPr>
      </w:pPr>
      <w:r>
        <w:rPr>
          <w:rFonts w:ascii="Arial" w:hAnsi="Arial" w:eastAsia="Times New Roman" w:cs="Arial"/>
          <w:b/>
          <w:sz w:val="24"/>
          <w:szCs w:val="24"/>
          <w:lang w:val="sr-Latn-ME"/>
        </w:rPr>
        <w:t>REZERVISANA NABAVKA</w:t>
      </w:r>
    </w:p>
    <w:p>
      <w:pPr>
        <w:spacing w:after="0" w:line="240" w:lineRule="auto"/>
        <w:jc w:val="both"/>
        <w:rPr>
          <w:rFonts w:ascii="Arial" w:hAnsi="Arial" w:eastAsia="Times New Roman" w:cs="Arial"/>
          <w:b/>
          <w:bCs/>
          <w:color w:val="FF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Ne</w:t>
      </w:r>
    </w:p>
    <w:p>
      <w:pPr>
        <w:spacing w:after="0" w:line="240" w:lineRule="auto"/>
        <w:jc w:val="both"/>
        <w:rPr>
          <w:rFonts w:ascii="Arial" w:hAnsi="Arial" w:eastAsia="Times New Roman" w:cs="Arial"/>
          <w:bCs/>
          <w:color w:val="FF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3" w:name="_Toc62730557"/>
      <w:r>
        <w:rPr>
          <w:rFonts w:ascii="Arial" w:hAnsi="Arial" w:eastAsia="Times New Roman" w:cs="Times New Roman"/>
          <w:b/>
          <w:sz w:val="24"/>
          <w:szCs w:val="32"/>
          <w:lang w:val="sr-Latn-ME"/>
        </w:rPr>
        <w:t>4. OSNOVI ZA OBAVEZNO ISKLJUČENJE IZ POSTUPKA JAVNE NABAVKE</w:t>
      </w:r>
      <w:bookmarkEnd w:id="3"/>
    </w:p>
    <w:p>
      <w:pPr>
        <w:spacing w:after="0" w:line="240" w:lineRule="auto"/>
        <w:jc w:val="both"/>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 xml:space="preserve">Privredni subjekat će se isključiti iz postupka javne nabavke, ako: </w:t>
      </w:r>
    </w:p>
    <w:p>
      <w:pPr>
        <w:numPr>
          <w:ilvl w:val="0"/>
          <w:numId w:val="5"/>
        </w:numPr>
        <w:spacing w:after="0" w:line="240" w:lineRule="auto"/>
        <w:rPr>
          <w:rFonts w:ascii="Arial" w:hAnsi="Arial" w:eastAsia="Times New Roman" w:cs="Arial"/>
          <w:sz w:val="24"/>
          <w:szCs w:val="24"/>
          <w:lang w:val="sr-Latn-ME"/>
        </w:rPr>
      </w:pPr>
      <w:bookmarkStart w:id="4" w:name="_Toc62730558"/>
      <w:r>
        <w:rPr>
          <w:rFonts w:ascii="Arial" w:hAnsi="Arial" w:eastAsia="Times New Roman" w:cs="Arial"/>
          <w:sz w:val="24"/>
          <w:szCs w:val="24"/>
          <w:lang w:val="sr-Latn-ME"/>
        </w:rPr>
        <w:t>je vršio neprimjeren uticaj u smislu člana 38 stav 2 tačka 1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sukob interesa iz člana 41 stav 1 tačka 2 ili člana 42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ne ispunjava uslov iz člana 99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ne ispunjava uslov iz čl. 102, 104 ili 106 ovog zakona predviđen tenderskom dokumentacijom;</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nije dostavio izjavu privrednog subjekta ili dostavljena izjava ne sadrži informacije i podatke tražene tenderskom dokumentacijom ili je nepravilno sačinjena;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razlog na osnovu kojeg se smatra da je odustao od prijave, odnosno ponude, a koji je propisan članom 120 stav 15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drugi razlog propisan ovim zakonom.</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r>
        <w:rPr>
          <w:rFonts w:ascii="Arial" w:hAnsi="Arial" w:eastAsia="Times New Roman" w:cs="Times New Roman"/>
          <w:b/>
          <w:sz w:val="24"/>
          <w:szCs w:val="32"/>
          <w:lang w:val="sr-Latn-ME"/>
        </w:rPr>
        <w:t>5. SREDSTVA FINANSIJSKOG OBEZBJEĐENJA UGOVORA O JAVNOJ NABAVCI</w:t>
      </w:r>
      <w:bookmarkEnd w:id="4"/>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Ponuđač čija ponuda bude izabrana kao najpovoljnija je dužan da uz potpisan ugovor o javnoj nabavci dostavi naručiocu:</w:t>
      </w:r>
    </w:p>
    <w:p>
      <w:pPr>
        <w:spacing w:after="0" w:line="240" w:lineRule="auto"/>
        <w:jc w:val="both"/>
        <w:rPr>
          <w:rFonts w:ascii="Arial" w:hAnsi="Arial" w:eastAsia="Times New Roman" w:cs="Arial"/>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 xml:space="preserve">garanciju za dobro izvršenje ugovora za slučaj </w:t>
      </w:r>
      <w:r>
        <w:rPr>
          <w:rFonts w:ascii="Arial" w:hAnsi="Arial" w:eastAsia="Times New Roman" w:cs="Arial"/>
          <w:color w:val="000000"/>
          <w:sz w:val="24"/>
          <w:szCs w:val="24"/>
          <w:lang w:val="sr-Latn-ME"/>
        </w:rPr>
        <w:t>povrede ugovorenih obaveze (ako je raskid ugovora nastao zbog neispunjenja ugovorenih obaveza natalih činjenjem ili nečinjenjem ponuđača),</w:t>
      </w:r>
      <w:r>
        <w:rPr>
          <w:rFonts w:ascii="Arial" w:hAnsi="Arial" w:eastAsia="Times New Roman" w:cs="Arial"/>
          <w:sz w:val="24"/>
          <w:szCs w:val="24"/>
          <w:lang w:val="sr-Latn-ME"/>
        </w:rPr>
        <w:t xml:space="preserve"> </w:t>
      </w:r>
      <w:r>
        <w:rPr>
          <w:rFonts w:ascii="Arial" w:hAnsi="Arial" w:eastAsia="Times New Roman" w:cs="Arial"/>
          <w:color w:val="000000"/>
          <w:sz w:val="24"/>
          <w:szCs w:val="24"/>
          <w:lang w:val="sr-Latn-ME"/>
        </w:rPr>
        <w:t>u iznosu od 10 % od vrijednosti ugovora.</w:t>
      </w:r>
      <w:r>
        <w:rPr>
          <w:rFonts w:ascii="Arial" w:hAnsi="Arial" w:eastAsia="Times New Roman" w:cs="Arial"/>
          <w:sz w:val="24"/>
          <w:szCs w:val="24"/>
          <w:vertAlign w:val="superscript"/>
          <w:lang w:val="sr-Latn-ME"/>
        </w:rPr>
        <w:t xml:space="preserve"> </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lang w:val="sr-Latn-ME"/>
        </w:rPr>
      </w:pPr>
      <w:bookmarkStart w:id="5" w:name="_Toc62730559"/>
      <w:r>
        <w:rPr>
          <w:rFonts w:ascii="Arial" w:hAnsi="Arial" w:eastAsia="Times New Roman" w:cs="Times New Roman"/>
          <w:b/>
          <w:sz w:val="24"/>
          <w:szCs w:val="32"/>
          <w:lang w:val="sr-Latn-ME"/>
        </w:rPr>
        <w:t>6. METODOLOGIJA VREDNOVANJA PONUDA</w:t>
      </w:r>
      <w:bookmarkEnd w:id="5"/>
    </w:p>
    <w:p>
      <w:pPr>
        <w:spacing w:after="0" w:line="240" w:lineRule="auto"/>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Naručilac će u postupku javne nabavki izabrati ekonomski najpovoljniju ponudu, primjenom pristupa isplativosti, po osnovu kriterijuma:</w:t>
      </w:r>
    </w:p>
    <w:p>
      <w:pPr>
        <w:spacing w:after="0" w:line="240" w:lineRule="auto"/>
        <w:jc w:val="both"/>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 xml:space="preserve">odnos cijene i kvaliteta </w:t>
      </w:r>
    </w:p>
    <w:p>
      <w:pPr>
        <w:spacing w:after="0" w:line="240" w:lineRule="auto"/>
        <w:jc w:val="both"/>
        <w:rPr>
          <w:rFonts w:ascii="Arial" w:hAnsi="Arial" w:eastAsia="Times New Roman" w:cs="Arial"/>
          <w:i/>
          <w:color w:val="000000"/>
          <w:sz w:val="24"/>
          <w:szCs w:val="24"/>
          <w:lang w:val="sr-Latn-ME"/>
        </w:rPr>
      </w:pPr>
    </w:p>
    <w:p>
      <w:pPr>
        <w:jc w:val="both"/>
        <w:rPr>
          <w:rFonts w:ascii="Arial" w:hAnsi="Arial" w:eastAsia="Calibri" w:cs="Arial"/>
          <w:sz w:val="24"/>
          <w:szCs w:val="24"/>
          <w:lang w:val="sr-Latn-ME"/>
        </w:rPr>
      </w:pPr>
      <w:r>
        <w:rPr>
          <w:rFonts w:ascii="Arial" w:hAnsi="Arial" w:eastAsia="Calibri" w:cs="Arial"/>
          <w:sz w:val="24"/>
          <w:szCs w:val="24"/>
          <w:lang w:val="sr-Latn-ME"/>
        </w:rPr>
        <w:t>Naručilac se opredijelio za vrednovanje ponuda po kriterijumu odnos cijene i kvaliteta, a shodno Pravilniku o metodologiji načina vrednovanja ponuda u postupku javnih nabavki.</w:t>
      </w:r>
    </w:p>
    <w:p>
      <w:pPr>
        <w:jc w:val="both"/>
        <w:rPr>
          <w:rFonts w:ascii="Arial" w:hAnsi="Arial" w:eastAsia="Calibri" w:cs="Arial"/>
          <w:sz w:val="24"/>
          <w:szCs w:val="24"/>
          <w:lang w:val="sr-Latn-ME"/>
        </w:rPr>
      </w:pPr>
      <w:r>
        <w:rPr>
          <w:rFonts w:ascii="Arial" w:hAnsi="Arial" w:eastAsia="Calibri" w:cs="Arial"/>
          <w:sz w:val="24"/>
          <w:szCs w:val="24"/>
          <w:lang w:val="sr-Latn-ME"/>
        </w:rPr>
        <w:t>Vrednovanje će se vršiti na osnovu sljedećih parametara:</w:t>
      </w:r>
    </w:p>
    <w:p>
      <w:pPr>
        <w:ind w:left="284"/>
        <w:rPr>
          <w:rFonts w:ascii="Arial" w:hAnsi="Arial" w:eastAsia="Calibri" w:cs="Arial"/>
          <w:sz w:val="24"/>
          <w:szCs w:val="24"/>
          <w:lang w:val="sr-Latn-ME"/>
        </w:rPr>
      </w:pPr>
      <w:r>
        <w:rPr>
          <w:rFonts w:ascii="Arial" w:hAnsi="Arial" w:eastAsia="Calibri" w:cs="Arial"/>
          <w:b/>
          <w:sz w:val="24"/>
          <w:szCs w:val="24"/>
          <w:lang w:val="sr-Latn-ME"/>
        </w:rPr>
        <w:t xml:space="preserve">         </w:t>
      </w:r>
      <w:r>
        <w:rPr>
          <w:rFonts w:ascii="Arial" w:hAnsi="Arial" w:eastAsia="Calibri" w:cs="Arial"/>
          <w:b/>
          <w:sz w:val="24"/>
          <w:szCs w:val="24"/>
          <w:lang w:val="sr-Latn-ME"/>
        </w:rPr>
        <w:sym w:font="Wingdings" w:char="F0FE"/>
      </w:r>
      <w:r>
        <w:rPr>
          <w:rFonts w:ascii="Arial" w:hAnsi="Arial" w:eastAsia="Calibri" w:cs="Arial"/>
          <w:sz w:val="24"/>
          <w:szCs w:val="24"/>
          <w:lang w:val="sr-Latn-ME"/>
        </w:rPr>
        <w:t xml:space="preserve"> najniža ponuđena cijena </w:t>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 xml:space="preserve">         broj bodova  </w:t>
      </w:r>
      <w:r>
        <w:rPr>
          <w:rFonts w:ascii="Arial" w:hAnsi="Arial" w:eastAsia="Calibri" w:cs="Arial"/>
          <w:sz w:val="24"/>
          <w:szCs w:val="24"/>
          <w:bdr w:val="single" w:color="auto" w:sz="4" w:space="0"/>
          <w:lang w:val="sr-Latn-ME"/>
        </w:rPr>
        <w:t xml:space="preserve">90 </w:t>
      </w:r>
    </w:p>
    <w:p>
      <w:pPr>
        <w:ind w:left="284"/>
        <w:jc w:val="center"/>
        <w:rPr>
          <w:rFonts w:ascii="Arial" w:hAnsi="Arial" w:eastAsia="Calibri" w:cs="Arial"/>
          <w:sz w:val="24"/>
          <w:szCs w:val="24"/>
          <w:bdr w:val="single" w:color="auto" w:sz="4" w:space="0"/>
          <w:lang w:val="sr-Latn-ME"/>
        </w:rPr>
      </w:pPr>
      <w:r>
        <w:rPr>
          <w:rFonts w:ascii="Arial" w:hAnsi="Arial" w:eastAsia="Calibri" w:cs="Arial"/>
          <w:b/>
          <w:sz w:val="24"/>
          <w:szCs w:val="24"/>
          <w:lang w:val="sr-Latn-ME"/>
        </w:rPr>
        <w:sym w:font="Wingdings" w:char="F0FE"/>
      </w:r>
      <w:r>
        <w:rPr>
          <w:rFonts w:ascii="Arial" w:hAnsi="Arial" w:eastAsia="Calibri" w:cs="Arial"/>
          <w:sz w:val="24"/>
          <w:szCs w:val="24"/>
          <w:lang w:val="sr-Latn-ME"/>
        </w:rPr>
        <w:t xml:space="preserve"> kvalitet  </w:t>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 xml:space="preserve">           broj bodova  </w:t>
      </w:r>
      <w:r>
        <w:rPr>
          <w:rFonts w:ascii="Arial" w:hAnsi="Arial" w:eastAsia="Calibri" w:cs="Arial"/>
          <w:sz w:val="24"/>
          <w:szCs w:val="24"/>
          <w:bdr w:val="single" w:color="auto" w:sz="4" w:space="0"/>
          <w:lang w:val="sr-Latn-ME"/>
        </w:rPr>
        <w:t>10</w:t>
      </w:r>
    </w:p>
    <w:p>
      <w:pPr>
        <w:jc w:val="both"/>
        <w:rPr>
          <w:rFonts w:ascii="Arial" w:hAnsi="Arial" w:eastAsia="Calibri" w:cs="Arial"/>
          <w:b/>
          <w:sz w:val="24"/>
          <w:szCs w:val="24"/>
          <w:lang w:val="sr-Latn-ME"/>
        </w:rPr>
      </w:pPr>
      <w:r>
        <w:rPr>
          <w:rFonts w:ascii="Arial" w:hAnsi="Arial" w:eastAsia="Calibri" w:cs="Arial"/>
          <w:color w:val="000000"/>
          <w:sz w:val="24"/>
          <w:szCs w:val="24"/>
          <w:lang w:val="sr-Latn-ME"/>
        </w:rPr>
        <w:sym w:font="Wingdings" w:char="F0FE"/>
      </w:r>
      <w:r>
        <w:rPr>
          <w:rFonts w:ascii="Arial" w:hAnsi="Arial" w:eastAsia="Calibri" w:cs="Arial"/>
          <w:color w:val="000000"/>
          <w:sz w:val="24"/>
          <w:szCs w:val="24"/>
          <w:lang w:val="sr-Latn-ME"/>
        </w:rPr>
        <w:t xml:space="preserve"> </w:t>
      </w:r>
      <w:r>
        <w:rPr>
          <w:rFonts w:ascii="Arial" w:hAnsi="Arial" w:eastAsia="Calibri" w:cs="Arial"/>
          <w:b/>
          <w:sz w:val="24"/>
          <w:szCs w:val="24"/>
          <w:lang w:val="sr-Latn-ME"/>
        </w:rPr>
        <w:t>parametar najniža ponuđena cijena vrednovaće se na sljedeći način: ukupno 90 bodova</w:t>
      </w:r>
    </w:p>
    <w:p>
      <w:pPr>
        <w:tabs>
          <w:tab w:val="left" w:pos="0"/>
        </w:tabs>
        <w:jc w:val="both"/>
        <w:rPr>
          <w:rFonts w:ascii="Arial" w:hAnsi="Arial" w:eastAsia="Calibri" w:cs="Arial"/>
          <w:iCs/>
          <w:sz w:val="24"/>
          <w:szCs w:val="24"/>
          <w:lang w:val="sr-Latn-ME"/>
        </w:rPr>
      </w:pPr>
      <w:r>
        <w:rPr>
          <w:rFonts w:ascii="Arial" w:hAnsi="Arial" w:eastAsia="Calibri" w:cs="Arial"/>
          <w:iCs/>
          <w:sz w:val="24"/>
          <w:szCs w:val="24"/>
          <w:lang w:val="sr-Latn-ME"/>
        </w:rPr>
        <w:t>Bodovi za parametar ponuđena cijena izračunavaju se na način što se kao osnova za vrednovanje uzima najniža ponuđena cijena, koja dobija maksimalan broj bodova.</w:t>
      </w:r>
    </w:p>
    <w:p>
      <w:pPr>
        <w:rPr>
          <w:rFonts w:ascii="Arial" w:hAnsi="Arial" w:eastAsia="Calibri" w:cs="Arial"/>
          <w:sz w:val="24"/>
          <w:szCs w:val="24"/>
          <w:lang w:val="sr-Latn-ME"/>
        </w:rPr>
      </w:pPr>
      <w:r>
        <w:rPr>
          <w:rFonts w:ascii="Arial" w:hAnsi="Arial" w:eastAsia="Calibri" w:cs="Arial"/>
          <w:sz w:val="24"/>
          <w:szCs w:val="24"/>
          <w:lang w:val="sr-Latn-ME"/>
        </w:rPr>
        <w:t>Maksimalno predviđeni broj bodova je 90.</w:t>
      </w:r>
    </w:p>
    <w:p>
      <w:pPr>
        <w:jc w:val="both"/>
        <w:rPr>
          <w:rFonts w:ascii="Arial" w:hAnsi="Arial" w:eastAsia="PMingLiU" w:cs="Arial"/>
          <w:sz w:val="24"/>
          <w:szCs w:val="24"/>
          <w:lang w:val="sr-Latn-ME" w:eastAsia="zh-TW"/>
        </w:rPr>
      </w:pPr>
      <w:r>
        <w:rPr>
          <w:rFonts w:ascii="Arial" w:hAnsi="Arial" w:eastAsia="PMingLiU" w:cs="Arial"/>
          <w:sz w:val="24"/>
          <w:szCs w:val="24"/>
          <w:lang w:val="sr-Latn-ME" w:eastAsia="zh-TW"/>
        </w:rPr>
        <w:t>Ponuđena cijena će se bodovati na sljedeći način:</w:t>
      </w:r>
    </w:p>
    <w:p>
      <w:pPr>
        <w:numPr>
          <w:ilvl w:val="0"/>
          <w:numId w:val="6"/>
        </w:numPr>
        <w:spacing w:after="0" w:line="240" w:lineRule="auto"/>
        <w:ind w:left="567"/>
        <w:jc w:val="both"/>
        <w:rPr>
          <w:rFonts w:ascii="Arial" w:hAnsi="Arial" w:eastAsia="PMingLiU" w:cs="Arial"/>
          <w:sz w:val="24"/>
          <w:szCs w:val="24"/>
          <w:lang w:val="sr-Latn-ME" w:eastAsia="zh-TW"/>
        </w:rPr>
      </w:pPr>
      <w:r>
        <w:rPr>
          <w:rFonts w:ascii="Arial" w:hAnsi="Arial" w:eastAsia="PMingLiU" w:cs="Arial"/>
          <w:sz w:val="24"/>
          <w:szCs w:val="24"/>
          <w:lang w:val="sr-Latn-ME" w:eastAsia="zh-TW"/>
        </w:rPr>
        <w:t xml:space="preserve">Najniža cijena dobija maksimalni broj bodova </w:t>
      </w:r>
    </w:p>
    <w:p>
      <w:pPr>
        <w:numPr>
          <w:ilvl w:val="0"/>
          <w:numId w:val="6"/>
        </w:numPr>
        <w:spacing w:after="0" w:line="240" w:lineRule="auto"/>
        <w:ind w:left="567"/>
        <w:rPr>
          <w:rFonts w:ascii="Arial" w:hAnsi="Arial" w:eastAsia="PMingLiU" w:cs="Arial"/>
          <w:sz w:val="24"/>
          <w:szCs w:val="24"/>
          <w:u w:val="single"/>
          <w:lang w:val="sr-Latn-ME" w:eastAsia="zh-TW"/>
        </w:rPr>
      </w:pPr>
      <w:r>
        <w:rPr>
          <w:rFonts w:ascii="Arial" w:hAnsi="Arial" w:eastAsia="PMingLiU" w:cs="Arial"/>
          <w:sz w:val="24"/>
          <w:szCs w:val="24"/>
          <w:lang w:val="sr-Latn-ME" w:eastAsia="zh-TW"/>
        </w:rPr>
        <w:t xml:space="preserve">Ostale ponude će dobiti bodove po sljedećoj formuli: </w:t>
      </w:r>
    </w:p>
    <w:p>
      <w:pPr>
        <w:spacing w:before="96" w:after="0" w:line="240" w:lineRule="auto"/>
        <w:ind w:left="567"/>
        <w:rPr>
          <w:rFonts w:ascii="Arial" w:hAnsi="Arial" w:eastAsia="PMingLiU" w:cs="Arial"/>
          <w:sz w:val="24"/>
          <w:szCs w:val="24"/>
          <w:u w:val="single"/>
          <w:lang w:val="sr-Latn-ME" w:eastAsia="zh-TW"/>
        </w:rPr>
      </w:pPr>
      <w:r>
        <w:rPr>
          <w:rFonts w:ascii="Arial" w:hAnsi="Arial" w:eastAsia="PMingLiU" w:cs="Arial"/>
          <w:sz w:val="24"/>
          <w:szCs w:val="24"/>
          <w:lang w:val="sr-Latn-ME" w:eastAsia="zh-TW"/>
        </w:rPr>
        <w:t xml:space="preserve">           C= (C</w:t>
      </w:r>
      <w:r>
        <w:rPr>
          <w:rFonts w:ascii="Arial" w:hAnsi="Arial" w:eastAsia="PMingLiU" w:cs="Arial"/>
          <w:sz w:val="24"/>
          <w:szCs w:val="24"/>
          <w:vertAlign w:val="subscript"/>
          <w:lang w:val="sr-Latn-ME" w:eastAsia="zh-TW"/>
        </w:rPr>
        <w:t>min</w:t>
      </w:r>
      <w:r>
        <w:rPr>
          <w:rFonts w:ascii="Arial" w:hAnsi="Arial" w:eastAsia="PMingLiU" w:cs="Arial"/>
          <w:sz w:val="24"/>
          <w:szCs w:val="24"/>
          <w:lang w:val="sr-Latn-ME" w:eastAsia="zh-TW"/>
        </w:rPr>
        <w:t>/ C</w:t>
      </w:r>
      <w:r>
        <w:rPr>
          <w:rFonts w:ascii="Arial" w:hAnsi="Arial" w:eastAsia="PMingLiU" w:cs="Arial"/>
          <w:sz w:val="24"/>
          <w:szCs w:val="24"/>
          <w:vertAlign w:val="subscript"/>
          <w:lang w:val="sr-Latn-ME" w:eastAsia="zh-TW"/>
        </w:rPr>
        <w:t>p</w:t>
      </w:r>
      <w:r>
        <w:rPr>
          <w:rFonts w:ascii="Arial" w:hAnsi="Arial" w:eastAsia="PMingLiU" w:cs="Arial"/>
          <w:sz w:val="24"/>
          <w:szCs w:val="24"/>
          <w:lang w:val="sr-Latn-ME" w:eastAsia="zh-TW"/>
        </w:rPr>
        <w:t>) x 90</w:t>
      </w:r>
    </w:p>
    <w:p>
      <w:pPr>
        <w:ind w:left="851"/>
        <w:jc w:val="both"/>
        <w:rPr>
          <w:rFonts w:ascii="Arial" w:hAnsi="Arial" w:eastAsia="Calibri" w:cs="Arial"/>
          <w:b/>
          <w:bCs/>
          <w:i/>
          <w:iCs/>
          <w:color w:val="000000"/>
          <w:sz w:val="24"/>
          <w:szCs w:val="24"/>
          <w:lang w:val="sr-Latn-ME"/>
        </w:rPr>
      </w:pPr>
      <w:r>
        <w:rPr>
          <w:rFonts w:ascii="Arial" w:hAnsi="Arial" w:eastAsia="PMingLiU" w:cs="Arial"/>
          <w:sz w:val="24"/>
          <w:szCs w:val="24"/>
          <w:lang w:val="sr-Latn-ME" w:eastAsia="zh-TW"/>
        </w:rPr>
        <w:t xml:space="preserve">      C</w:t>
      </w:r>
      <w:r>
        <w:rPr>
          <w:rFonts w:ascii="Arial" w:hAnsi="Arial" w:eastAsia="PMingLiU" w:cs="Arial"/>
          <w:sz w:val="24"/>
          <w:szCs w:val="24"/>
          <w:vertAlign w:val="subscript"/>
          <w:lang w:val="sr-Latn-ME" w:eastAsia="zh-TW"/>
        </w:rPr>
        <w:t>min</w:t>
      </w:r>
      <w:r>
        <w:rPr>
          <w:rFonts w:ascii="Arial" w:hAnsi="Arial" w:eastAsia="PMingLiU" w:cs="Arial"/>
          <w:sz w:val="24"/>
          <w:szCs w:val="24"/>
          <w:lang w:val="sr-Latn-ME" w:eastAsia="zh-TW"/>
        </w:rPr>
        <w:t xml:space="preserve"> – najniža ponuđena cijena </w:t>
      </w:r>
    </w:p>
    <w:p>
      <w:pPr>
        <w:ind w:left="1134"/>
        <w:rPr>
          <w:rFonts w:ascii="Arial" w:hAnsi="Arial" w:eastAsia="PMingLiU" w:cs="Arial"/>
          <w:sz w:val="24"/>
          <w:szCs w:val="24"/>
          <w:lang w:val="sr-Latn-ME" w:eastAsia="zh-TW"/>
        </w:rPr>
      </w:pPr>
      <w:r>
        <w:rPr>
          <w:rFonts w:ascii="Arial" w:hAnsi="Arial" w:eastAsia="PMingLiU" w:cs="Arial"/>
          <w:sz w:val="24"/>
          <w:szCs w:val="24"/>
          <w:lang w:val="sr-Latn-ME" w:eastAsia="zh-TW"/>
        </w:rPr>
        <w:t xml:space="preserve">  C</w:t>
      </w:r>
      <w:r>
        <w:rPr>
          <w:rFonts w:ascii="Arial" w:hAnsi="Arial" w:eastAsia="PMingLiU" w:cs="Arial"/>
          <w:sz w:val="24"/>
          <w:szCs w:val="24"/>
          <w:vertAlign w:val="subscript"/>
          <w:lang w:val="sr-Latn-ME" w:eastAsia="zh-TW"/>
        </w:rPr>
        <w:t>p</w:t>
      </w:r>
      <w:r>
        <w:rPr>
          <w:rFonts w:ascii="Arial" w:hAnsi="Arial" w:eastAsia="PMingLiU" w:cs="Arial"/>
          <w:sz w:val="24"/>
          <w:szCs w:val="24"/>
          <w:lang w:val="sr-Latn-ME" w:eastAsia="zh-TW"/>
        </w:rPr>
        <w:t xml:space="preserve">   – ponuđena cijena </w:t>
      </w:r>
    </w:p>
    <w:p>
      <w:pPr>
        <w:spacing w:after="0" w:line="240" w:lineRule="auto"/>
        <w:jc w:val="both"/>
        <w:rPr>
          <w:rFonts w:ascii="Arial" w:hAnsi="Arial" w:eastAsia="Calibri" w:cs="Arial"/>
          <w:sz w:val="24"/>
          <w:szCs w:val="24"/>
          <w:lang w:val="sr-Latn-ME"/>
        </w:rPr>
      </w:pPr>
      <w:bookmarkStart w:id="6" w:name="_Hlk93145186"/>
    </w:p>
    <w:p>
      <w:pPr>
        <w:spacing w:after="0" w:line="240" w:lineRule="auto"/>
        <w:jc w:val="both"/>
        <w:rPr>
          <w:rFonts w:ascii="Arial" w:hAnsi="Arial" w:eastAsia="Times New Roman" w:cs="Arial"/>
          <w:sz w:val="24"/>
          <w:szCs w:val="24"/>
        </w:rPr>
      </w:pPr>
      <w:r>
        <w:rPr>
          <w:rFonts w:ascii="Arial" w:hAnsi="Arial" w:eastAsia="Calibri" w:cs="Arial"/>
          <w:b/>
          <w:color w:val="000000"/>
          <w:sz w:val="24"/>
          <w:szCs w:val="24"/>
          <w:lang w:val="sr-Latn-ME"/>
        </w:rPr>
        <w:sym w:font="Wingdings" w:char="F0FE"/>
      </w:r>
      <w:r>
        <w:rPr>
          <w:rFonts w:ascii="Arial" w:hAnsi="Arial" w:eastAsia="Calibri" w:cs="Arial"/>
          <w:b/>
          <w:sz w:val="24"/>
          <w:szCs w:val="24"/>
          <w:lang w:val="sr-Latn-ME"/>
        </w:rPr>
        <w:t xml:space="preserve"> parametar kvalitet (K) </w:t>
      </w:r>
      <w:r>
        <w:rPr>
          <w:rFonts w:ascii="Calibri" w:hAnsi="Calibri" w:eastAsia="Calibri" w:cs="Times New Roman"/>
          <w:color w:val="000000"/>
          <w:lang w:val="sr-Latn-CS"/>
        </w:rPr>
        <w:t>–</w:t>
      </w:r>
      <w:r>
        <w:rPr>
          <w:rFonts w:ascii="Arial" w:hAnsi="Arial" w:eastAsia="Times New Roman" w:cs="Arial"/>
          <w:sz w:val="24"/>
          <w:szCs w:val="24"/>
        </w:rPr>
        <w:t xml:space="preserve"> uspostavljen sistem upravljanja kvalitetom iz oblasti predmeta nabavke vrednovaće se -</w:t>
      </w:r>
      <w:r>
        <w:rPr>
          <w:rFonts w:ascii="Calibri" w:hAnsi="Calibri" w:eastAsia="Calibri" w:cs="Times New Roman"/>
          <w:color w:val="000000"/>
          <w:lang w:val="sr-Latn-CS"/>
        </w:rPr>
        <w:t xml:space="preserve"> </w:t>
      </w:r>
      <w:r>
        <w:rPr>
          <w:rFonts w:ascii="Arial" w:hAnsi="Arial" w:eastAsia="Calibri" w:cs="Arial"/>
          <w:b/>
          <w:sz w:val="24"/>
          <w:szCs w:val="24"/>
          <w:lang w:val="sr-Latn-ME"/>
        </w:rPr>
        <w:t>ukupno 10 bodova</w:t>
      </w:r>
      <w:r>
        <w:rPr>
          <w:rFonts w:ascii="Arial" w:hAnsi="Arial" w:eastAsia="Calibri" w:cs="Arial"/>
          <w:sz w:val="24"/>
          <w:szCs w:val="24"/>
          <w:lang w:val="sr-Latn-ME"/>
        </w:rPr>
        <w:t xml:space="preserve"> </w:t>
      </w:r>
    </w:p>
    <w:p>
      <w:pPr>
        <w:spacing w:before="240" w:after="0" w:line="240" w:lineRule="auto"/>
        <w:jc w:val="both"/>
        <w:rPr>
          <w:rFonts w:ascii="Arial" w:hAnsi="Arial" w:eastAsia="Times New Roman" w:cs="Arial"/>
          <w:sz w:val="24"/>
          <w:szCs w:val="24"/>
        </w:rPr>
      </w:pPr>
      <w:r>
        <w:rPr>
          <w:rFonts w:ascii="Arial" w:hAnsi="Arial" w:eastAsia="Calibri" w:cs="Arial"/>
          <w:sz w:val="24"/>
          <w:szCs w:val="24"/>
          <w:lang w:val="sr-Latn-ME"/>
        </w:rPr>
        <w:t xml:space="preserve">Vrednovanje se vrši primjenom apsolutnog metoda. Privredni subjekat koji ima </w:t>
      </w:r>
      <w:r>
        <w:rPr>
          <w:rFonts w:ascii="Arial" w:hAnsi="Arial" w:eastAsia="Times New Roman" w:cs="Arial"/>
          <w:sz w:val="24"/>
          <w:szCs w:val="24"/>
        </w:rPr>
        <w:t xml:space="preserve">uspostavljen sistem upravljanja kvalitetom iz oblasti predmeta nabavke, </w:t>
      </w:r>
      <w:r>
        <w:rPr>
          <w:rFonts w:ascii="Arial" w:hAnsi="Arial" w:eastAsia="Calibri" w:cs="Arial"/>
          <w:sz w:val="24"/>
          <w:szCs w:val="24"/>
          <w:lang w:val="sr-Latn-ME"/>
        </w:rPr>
        <w:t>dobija ukupno 10 bodova.</w:t>
      </w:r>
    </w:p>
    <w:p>
      <w:pPr>
        <w:spacing w:after="0"/>
        <w:jc w:val="both"/>
        <w:rPr>
          <w:rFonts w:ascii="Arial" w:hAnsi="Arial" w:eastAsia="Calibri" w:cs="Arial"/>
          <w:color w:val="000000"/>
          <w:sz w:val="24"/>
          <w:szCs w:val="24"/>
        </w:rPr>
      </w:pPr>
      <w:r>
        <w:rPr>
          <w:rFonts w:ascii="Arial" w:hAnsi="Arial" w:eastAsia="Calibri" w:cs="Arial"/>
          <w:sz w:val="24"/>
          <w:szCs w:val="24"/>
          <w:u w:val="single"/>
          <w:lang w:val="sr-Latn-ME"/>
        </w:rPr>
        <w:t xml:space="preserve">Kao dokaz potrebno </w:t>
      </w:r>
      <w:r>
        <w:rPr>
          <w:rFonts w:ascii="Arial" w:hAnsi="Arial" w:eastAsia="Calibri" w:cs="Arial"/>
          <w:sz w:val="24"/>
          <w:szCs w:val="24"/>
          <w:lang w:val="sr-Latn-ME"/>
        </w:rPr>
        <w:t xml:space="preserve">je dostaviti </w:t>
      </w:r>
      <w:r>
        <w:rPr>
          <w:rFonts w:ascii="Arial" w:hAnsi="Arial" w:eastAsia="Times New Roman" w:cs="Arial"/>
          <w:sz w:val="24"/>
          <w:szCs w:val="24"/>
        </w:rPr>
        <w:t xml:space="preserve">sertifikat, koje izdaju akreditovana sertifikaciona tijela, o uspostavljenom sistemu upravljanja kvalitetom iz oblasti predmeta nabavke (sertifikat ISO 27001 o uspostavljenom </w:t>
      </w:r>
      <w:r>
        <w:rPr>
          <w:rFonts w:ascii="Arial" w:hAnsi="Arial" w:eastAsia="Calibri" w:cs="Arial"/>
          <w:color w:val="000000"/>
          <w:sz w:val="24"/>
          <w:szCs w:val="24"/>
        </w:rPr>
        <w:t>sistemu upravljanja sigurnošću informacionih sistema ili ekvivalent).</w:t>
      </w:r>
    </w:p>
    <w:bookmarkEnd w:id="6"/>
    <w:p>
      <w:pPr>
        <w:spacing w:after="0"/>
        <w:jc w:val="both"/>
        <w:rPr>
          <w:rFonts w:ascii="Arial" w:hAnsi="Arial" w:eastAsia="Calibri" w:cs="Arial"/>
          <w:color w:val="000000"/>
          <w:sz w:val="24"/>
          <w:szCs w:val="24"/>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r>
        <w:rPr>
          <w:rFonts w:ascii="Arial" w:hAnsi="Arial" w:eastAsia="Times New Roman" w:cs="Times New Roman"/>
          <w:b/>
          <w:sz w:val="24"/>
          <w:szCs w:val="32"/>
          <w:lang w:val="sr-Latn-ME"/>
        </w:rPr>
        <w:t>7. JEZIK PONUDE</w:t>
      </w:r>
    </w:p>
    <w:p>
      <w:pPr>
        <w:spacing w:before="240"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Ponuda se sačinjava na:</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crnogorski jezik i drugi jezik koji je u službenoj upotrebi u Crnoj Gori, u skladu sa Ustavom i zakonom</w:t>
      </w:r>
    </w:p>
    <w:p>
      <w:pPr>
        <w:spacing w:after="0" w:line="240" w:lineRule="auto"/>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sym w:font="Wingdings" w:char="F078"/>
      </w:r>
      <w:r>
        <w:rPr>
          <w:rFonts w:ascii="Arial" w:hAnsi="Arial" w:eastAsia="Calibri" w:cs="Arial"/>
          <w:color w:val="000000"/>
          <w:sz w:val="24"/>
          <w:szCs w:val="24"/>
          <w:lang w:val="sr-Latn-ME"/>
        </w:rPr>
        <w:t xml:space="preserve">  engleski jezik za djelove ponude koji se odnose na:</w:t>
      </w:r>
    </w:p>
    <w:p>
      <w:pPr>
        <w:tabs>
          <w:tab w:val="left" w:pos="426"/>
        </w:tabs>
        <w:spacing w:before="96" w:after="0" w:line="240" w:lineRule="auto"/>
        <w:ind w:left="630" w:hanging="270"/>
        <w:jc w:val="both"/>
        <w:rPr>
          <w:rFonts w:ascii="Arial" w:hAnsi="Arial" w:eastAsia="Calibri" w:cs="Arial"/>
          <w:sz w:val="24"/>
          <w:szCs w:val="24"/>
          <w:lang w:val="sr-Latn-CS" w:eastAsia="zh-CN"/>
        </w:rPr>
      </w:pPr>
      <w:r>
        <w:rPr>
          <w:rFonts w:ascii="Times New Roman" w:hAnsi="Times New Roman" w:eastAsia="Calibri" w:cs="Times New Roman"/>
          <w:sz w:val="24"/>
          <w:szCs w:val="24"/>
          <w:lang w:val="sr-Latn-CS" w:eastAsia="zh-CN"/>
        </w:rPr>
        <w:t xml:space="preserve">- </w:t>
      </w:r>
      <w:r>
        <w:rPr>
          <w:rFonts w:ascii="Arial" w:hAnsi="Arial" w:eastAsia="Calibri" w:cs="Arial"/>
          <w:sz w:val="24"/>
          <w:szCs w:val="24"/>
          <w:lang w:val="sr-Latn-CS" w:eastAsia="zh-CN"/>
        </w:rPr>
        <w:t>tehničke karakteristike u dijelu opisa predmeta nabavke, a koje je Naručilac naveo na engleskom jeziku.</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7" w:name="_Toc62730561"/>
      <w:r>
        <w:rPr>
          <w:rFonts w:ascii="Arial" w:hAnsi="Arial" w:eastAsia="Times New Roman" w:cs="Times New Roman"/>
          <w:b/>
          <w:sz w:val="24"/>
          <w:szCs w:val="32"/>
          <w:lang w:val="sr-Latn-ME"/>
        </w:rPr>
        <w:t>8. NAČIN, MJESTO I VRIJEME PODNOŠENJA PONUDA I OTVARANJA PONUDA</w:t>
      </w:r>
      <w:bookmarkEnd w:id="7"/>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color w:val="000000"/>
          <w:sz w:val="24"/>
          <w:szCs w:val="24"/>
          <w:highlight w:val="none"/>
          <w:lang w:val="sr-Latn-ME"/>
        </w:rPr>
      </w:pPr>
      <w:r>
        <w:rPr>
          <w:rFonts w:ascii="Arial" w:hAnsi="Arial" w:eastAsia="Times New Roman" w:cs="Arial"/>
          <w:color w:val="000000"/>
          <w:sz w:val="24"/>
          <w:szCs w:val="24"/>
          <w:highlight w:val="none"/>
          <w:lang w:val="sr-Latn-ME"/>
        </w:rPr>
        <w:t xml:space="preserve">Ponude se podnose preko ESJN-a zaključno sa danom </w:t>
      </w:r>
      <w:r>
        <w:rPr>
          <w:rFonts w:hint="default" w:ascii="Arial" w:hAnsi="Arial" w:eastAsia="Times New Roman" w:cs="Arial"/>
          <w:color w:val="000000"/>
          <w:sz w:val="24"/>
          <w:szCs w:val="24"/>
          <w:highlight w:val="none"/>
          <w:lang w:val="sr-Latn-RS"/>
        </w:rPr>
        <w:t>29.11</w:t>
      </w:r>
      <w:r>
        <w:rPr>
          <w:rFonts w:hint="default" w:ascii="Arial" w:hAnsi="Arial" w:eastAsia="Times New Roman" w:cs="Arial"/>
          <w:color w:val="000000"/>
          <w:sz w:val="24"/>
          <w:szCs w:val="24"/>
          <w:highlight w:val="none"/>
          <w:lang w:val="sr-Latn-ME"/>
        </w:rPr>
        <w:t>.2024</w:t>
      </w:r>
      <w:r>
        <w:rPr>
          <w:rFonts w:ascii="Arial" w:hAnsi="Arial" w:eastAsia="Times New Roman" w:cs="Arial"/>
          <w:color w:val="000000"/>
          <w:sz w:val="24"/>
          <w:szCs w:val="24"/>
          <w:highlight w:val="none"/>
          <w:lang w:val="sr-Latn-ME"/>
        </w:rPr>
        <w:t>. godine do 1</w:t>
      </w:r>
      <w:r>
        <w:rPr>
          <w:rFonts w:hint="default" w:ascii="Arial" w:hAnsi="Arial" w:eastAsia="Times New Roman" w:cs="Arial"/>
          <w:color w:val="000000"/>
          <w:sz w:val="24"/>
          <w:szCs w:val="24"/>
          <w:highlight w:val="none"/>
          <w:lang w:val="sr-Latn-ME"/>
        </w:rPr>
        <w:t>4</w:t>
      </w:r>
      <w:r>
        <w:rPr>
          <w:rFonts w:ascii="Arial" w:hAnsi="Arial" w:eastAsia="Times New Roman" w:cs="Arial"/>
          <w:color w:val="000000"/>
          <w:sz w:val="24"/>
          <w:szCs w:val="24"/>
          <w:highlight w:val="none"/>
          <w:lang w:val="sr-Latn-ME"/>
        </w:rPr>
        <w:t>:00 sati.</w:t>
      </w:r>
    </w:p>
    <w:p>
      <w:pPr>
        <w:spacing w:after="0" w:line="240" w:lineRule="auto"/>
        <w:jc w:val="both"/>
        <w:rPr>
          <w:rFonts w:ascii="Arial" w:hAnsi="Arial" w:eastAsia="Times New Roman" w:cs="Arial"/>
          <w:b/>
          <w:bCs/>
          <w:i/>
          <w:iCs/>
          <w:color w:val="000000"/>
          <w:sz w:val="24"/>
          <w:szCs w:val="24"/>
          <w:highlight w:val="none"/>
          <w:lang w:val="sr-Latn-ME"/>
        </w:rPr>
      </w:pPr>
    </w:p>
    <w:p>
      <w:pPr>
        <w:spacing w:after="0" w:line="240" w:lineRule="auto"/>
        <w:jc w:val="both"/>
        <w:rPr>
          <w:rFonts w:ascii="Arial" w:hAnsi="Arial" w:eastAsia="Times New Roman" w:cs="Arial"/>
          <w:color w:val="000000"/>
          <w:sz w:val="24"/>
          <w:szCs w:val="24"/>
          <w:highlight w:val="none"/>
          <w:lang w:val="sr-Latn-ME"/>
        </w:rPr>
      </w:pPr>
      <w:r>
        <w:rPr>
          <w:rFonts w:ascii="Arial" w:hAnsi="Arial" w:eastAsia="Times New Roman" w:cs="Arial"/>
          <w:color w:val="000000"/>
          <w:sz w:val="24"/>
          <w:szCs w:val="24"/>
          <w:highlight w:val="none"/>
          <w:lang w:val="sr-Latn-ME"/>
        </w:rPr>
        <w:t xml:space="preserve">Otvaranje ponuda održaće se dana </w:t>
      </w:r>
      <w:r>
        <w:rPr>
          <w:rFonts w:hint="default" w:ascii="Arial" w:hAnsi="Arial" w:eastAsia="Times New Roman" w:cs="Arial"/>
          <w:color w:val="000000"/>
          <w:sz w:val="24"/>
          <w:szCs w:val="24"/>
          <w:highlight w:val="none"/>
          <w:lang w:val="sr-Latn-ME"/>
        </w:rPr>
        <w:t>2</w:t>
      </w:r>
      <w:r>
        <w:rPr>
          <w:rFonts w:hint="default" w:ascii="Arial" w:hAnsi="Arial" w:eastAsia="Times New Roman" w:cs="Arial"/>
          <w:color w:val="000000"/>
          <w:sz w:val="24"/>
          <w:szCs w:val="24"/>
          <w:highlight w:val="none"/>
          <w:lang w:val="sr-Latn-RS"/>
        </w:rPr>
        <w:t>9.11</w:t>
      </w:r>
      <w:r>
        <w:rPr>
          <w:rFonts w:hint="default" w:ascii="Arial" w:hAnsi="Arial" w:eastAsia="Times New Roman" w:cs="Arial"/>
          <w:color w:val="000000"/>
          <w:sz w:val="24"/>
          <w:szCs w:val="24"/>
          <w:highlight w:val="none"/>
          <w:lang w:val="sr-Latn-ME"/>
        </w:rPr>
        <w:t>.2024</w:t>
      </w:r>
      <w:r>
        <w:rPr>
          <w:rFonts w:ascii="Arial" w:hAnsi="Arial" w:eastAsia="Times New Roman" w:cs="Arial"/>
          <w:color w:val="000000"/>
          <w:sz w:val="24"/>
          <w:szCs w:val="24"/>
          <w:highlight w:val="none"/>
          <w:lang w:val="sr-Latn-ME"/>
        </w:rPr>
        <w:t>. godine u 1</w:t>
      </w:r>
      <w:r>
        <w:rPr>
          <w:rFonts w:hint="default" w:ascii="Arial" w:hAnsi="Arial" w:eastAsia="Times New Roman" w:cs="Arial"/>
          <w:color w:val="000000"/>
          <w:sz w:val="24"/>
          <w:szCs w:val="24"/>
          <w:highlight w:val="none"/>
          <w:lang w:val="sr-Latn-ME"/>
        </w:rPr>
        <w:t>4</w:t>
      </w:r>
      <w:r>
        <w:rPr>
          <w:rFonts w:ascii="Arial" w:hAnsi="Arial" w:eastAsia="Times New Roman" w:cs="Arial"/>
          <w:color w:val="000000"/>
          <w:sz w:val="24"/>
          <w:szCs w:val="24"/>
          <w:highlight w:val="none"/>
          <w:lang w:val="sr-Latn-ME"/>
        </w:rPr>
        <w:t xml:space="preserve">:00 sati. </w:t>
      </w:r>
    </w:p>
    <w:p>
      <w:pPr>
        <w:spacing w:after="0" w:line="240" w:lineRule="auto"/>
        <w:jc w:val="both"/>
        <w:rPr>
          <w:rFonts w:ascii="Arial" w:hAnsi="Arial" w:eastAsia="Times New Roman" w:cs="Arial"/>
          <w:color w:val="000000"/>
          <w:sz w:val="24"/>
          <w:szCs w:val="24"/>
          <w:highlight w:val="none"/>
          <w:lang w:val="sr-Latn-ME"/>
        </w:rPr>
      </w:pPr>
    </w:p>
    <w:p>
      <w:pPr>
        <w:spacing w:after="0" w:line="240" w:lineRule="auto"/>
        <w:jc w:val="both"/>
        <w:rPr>
          <w:rFonts w:ascii="Arial" w:hAnsi="Arial" w:eastAsia="Times New Roman" w:cs="Arial"/>
          <w:color w:val="000000"/>
          <w:sz w:val="24"/>
          <w:szCs w:val="24"/>
          <w:highlight w:val="none"/>
          <w:lang w:val="sr-Latn-ME"/>
        </w:rPr>
      </w:pPr>
      <w:r>
        <w:rPr>
          <w:rFonts w:ascii="Arial" w:hAnsi="Arial" w:eastAsia="Times New Roman" w:cs="Arial"/>
          <w:color w:val="000000"/>
          <w:sz w:val="24"/>
          <w:szCs w:val="24"/>
          <w:highlight w:val="none"/>
          <w:lang w:val="sr-Latn-ME"/>
        </w:rPr>
        <w:t xml:space="preserve">Garancija ponude podnosi se u elektronskom obliku putem ESJN, izuzetno ako ponuđač ne može garanciju ponude da podnese u elekotronskom obliku, </w:t>
      </w:r>
      <w:r>
        <w:rPr>
          <w:rFonts w:ascii="Arial" w:hAnsi="Arial" w:eastAsia="Times New Roman" w:cs="Arial"/>
          <w:b/>
          <w:color w:val="000000"/>
          <w:sz w:val="24"/>
          <w:szCs w:val="24"/>
          <w:highlight w:val="none"/>
          <w:lang w:val="sr-Latn-ME"/>
        </w:rPr>
        <w:t>dužan je da putem ESJN dostavi kopiju garancije ponude, a da original garancije ponude dostavi, odnosno uruči naručiocu</w:t>
      </w:r>
      <w:r>
        <w:rPr>
          <w:rFonts w:ascii="Arial" w:hAnsi="Arial" w:eastAsia="Times New Roman" w:cs="Arial"/>
          <w:color w:val="000000"/>
          <w:sz w:val="24"/>
          <w:szCs w:val="24"/>
          <w:highlight w:val="none"/>
          <w:lang w:val="sr-Latn-ME"/>
        </w:rPr>
        <w:t>:</w:t>
      </w:r>
    </w:p>
    <w:p>
      <w:pPr>
        <w:pStyle w:val="13"/>
        <w:numPr>
          <w:ilvl w:val="0"/>
          <w:numId w:val="7"/>
        </w:numPr>
        <w:spacing w:after="0" w:line="240" w:lineRule="auto"/>
        <w:jc w:val="both"/>
        <w:rPr>
          <w:rFonts w:ascii="Arial" w:hAnsi="Arial" w:eastAsia="Times New Roman" w:cs="Arial"/>
          <w:sz w:val="24"/>
          <w:szCs w:val="24"/>
          <w:highlight w:val="none"/>
          <w:lang w:val="sr-Latn-ME"/>
        </w:rPr>
      </w:pPr>
      <w:r>
        <w:rPr>
          <w:rFonts w:ascii="Arial" w:hAnsi="Arial" w:eastAsia="Times New Roman" w:cs="Arial"/>
          <w:color w:val="000000"/>
          <w:sz w:val="24"/>
          <w:szCs w:val="24"/>
          <w:highlight w:val="none"/>
          <w:lang w:val="sr-Latn-ME"/>
        </w:rPr>
        <w:t xml:space="preserve">neposrednom predajom na arhivi naručioca na adresi </w:t>
      </w:r>
      <w:r>
        <w:rPr>
          <w:rFonts w:ascii="Arial" w:hAnsi="Arial" w:eastAsia="Calibri" w:cs="Arial"/>
          <w:color w:val="000000"/>
          <w:sz w:val="24"/>
          <w:szCs w:val="24"/>
          <w:highlight w:val="none"/>
          <w:lang w:val="sr-Latn-ME"/>
        </w:rPr>
        <w:t xml:space="preserve">Bulevar </w:t>
      </w:r>
      <w:r>
        <w:rPr>
          <w:rFonts w:ascii="Arial" w:hAnsi="Arial" w:eastAsia="Times New Roman" w:cs="Arial"/>
          <w:sz w:val="24"/>
          <w:szCs w:val="24"/>
          <w:highlight w:val="none"/>
          <w:lang w:val="sr-Latn-ME"/>
        </w:rPr>
        <w:t>Stanka Dragojevića br. 2, ili</w:t>
      </w:r>
    </w:p>
    <w:p>
      <w:pPr>
        <w:pStyle w:val="13"/>
        <w:numPr>
          <w:ilvl w:val="0"/>
          <w:numId w:val="7"/>
        </w:numPr>
        <w:spacing w:after="0" w:line="240" w:lineRule="auto"/>
        <w:jc w:val="both"/>
        <w:rPr>
          <w:rFonts w:ascii="Arial" w:hAnsi="Arial" w:eastAsia="Times New Roman" w:cs="Arial"/>
          <w:color w:val="000000"/>
          <w:sz w:val="24"/>
          <w:szCs w:val="24"/>
          <w:highlight w:val="none"/>
          <w:lang w:val="sr-Latn-ME"/>
        </w:rPr>
      </w:pPr>
      <w:r>
        <w:rPr>
          <w:rFonts w:ascii="Arial" w:hAnsi="Arial" w:eastAsia="Times New Roman" w:cs="Arial"/>
          <w:color w:val="000000"/>
          <w:sz w:val="24"/>
          <w:szCs w:val="24"/>
          <w:highlight w:val="none"/>
          <w:lang w:val="sr-Latn-ME"/>
        </w:rPr>
        <w:t xml:space="preserve">putem pošte preporučenom pošiljkom sa povratnicom </w:t>
      </w:r>
      <w:r>
        <w:rPr>
          <w:rFonts w:ascii="Arial" w:hAnsi="Arial" w:eastAsia="Calibri" w:cs="Arial"/>
          <w:color w:val="000000"/>
          <w:sz w:val="24"/>
          <w:szCs w:val="24"/>
          <w:highlight w:val="none"/>
          <w:lang w:val="sr-Latn-ME"/>
        </w:rPr>
        <w:t xml:space="preserve">na adresi Bulevar </w:t>
      </w:r>
      <w:r>
        <w:rPr>
          <w:rFonts w:ascii="Arial" w:hAnsi="Arial" w:eastAsia="Times New Roman" w:cs="Arial"/>
          <w:sz w:val="24"/>
          <w:szCs w:val="24"/>
          <w:highlight w:val="none"/>
          <w:lang w:val="sr-Latn-ME"/>
        </w:rPr>
        <w:t xml:space="preserve">Stanka Dragojevića br. 2, </w:t>
      </w:r>
    </w:p>
    <w:p>
      <w:pPr>
        <w:spacing w:after="0" w:line="240" w:lineRule="auto"/>
        <w:jc w:val="both"/>
        <w:rPr>
          <w:rFonts w:ascii="Arial" w:hAnsi="Arial" w:eastAsia="Times New Roman" w:cs="Arial"/>
          <w:color w:val="000000"/>
          <w:sz w:val="24"/>
          <w:szCs w:val="24"/>
          <w:highlight w:val="none"/>
          <w:lang w:val="sr-Latn-ME"/>
        </w:rPr>
      </w:pPr>
      <w:r>
        <w:rPr>
          <w:rFonts w:ascii="Arial" w:hAnsi="Arial" w:eastAsia="Times New Roman" w:cs="Arial"/>
          <w:color w:val="000000"/>
          <w:sz w:val="24"/>
          <w:szCs w:val="24"/>
          <w:highlight w:val="none"/>
          <w:lang w:val="sr-Latn-ME"/>
        </w:rPr>
        <w:t xml:space="preserve">radnim danima od 8:00 do 14:00 sati, zaključno sa danom </w:t>
      </w:r>
      <w:r>
        <w:rPr>
          <w:rFonts w:hint="default" w:ascii="Arial" w:hAnsi="Arial" w:eastAsia="Times New Roman" w:cs="Arial"/>
          <w:color w:val="000000"/>
          <w:sz w:val="24"/>
          <w:szCs w:val="24"/>
          <w:highlight w:val="none"/>
          <w:lang w:val="sr-Latn-RS"/>
        </w:rPr>
        <w:t>29.11</w:t>
      </w:r>
      <w:r>
        <w:rPr>
          <w:rFonts w:hint="default" w:ascii="Arial" w:hAnsi="Arial" w:eastAsia="Times New Roman" w:cs="Arial"/>
          <w:color w:val="000000"/>
          <w:sz w:val="24"/>
          <w:szCs w:val="24"/>
          <w:highlight w:val="none"/>
          <w:lang w:val="sr-Latn-ME"/>
        </w:rPr>
        <w:t>.2024</w:t>
      </w:r>
      <w:r>
        <w:rPr>
          <w:rFonts w:ascii="Arial" w:hAnsi="Arial" w:eastAsia="Times New Roman" w:cs="Arial"/>
          <w:color w:val="000000"/>
          <w:sz w:val="24"/>
          <w:szCs w:val="24"/>
          <w:highlight w:val="none"/>
          <w:lang w:val="sr-Latn-ME"/>
        </w:rPr>
        <w:t xml:space="preserve">. godine </w:t>
      </w:r>
      <w:r>
        <w:rPr>
          <w:rFonts w:ascii="Arial" w:hAnsi="Arial" w:eastAsia="Times New Roman" w:cs="Arial"/>
          <w:b/>
          <w:color w:val="000000"/>
          <w:sz w:val="24"/>
          <w:szCs w:val="24"/>
          <w:highlight w:val="none"/>
          <w:lang w:val="sr-Latn-ME"/>
        </w:rPr>
        <w:t>najkasnije prije isteka roka za podnošenje ponuda</w:t>
      </w:r>
      <w:r>
        <w:rPr>
          <w:rFonts w:ascii="Arial" w:hAnsi="Arial" w:eastAsia="Times New Roman" w:cs="Arial"/>
          <w:color w:val="000000"/>
          <w:sz w:val="24"/>
          <w:szCs w:val="24"/>
          <w:highlight w:val="none"/>
          <w:lang w:val="sr-Latn-ME"/>
        </w:rPr>
        <w:t xml:space="preserve"> (do 1</w:t>
      </w:r>
      <w:r>
        <w:rPr>
          <w:rFonts w:hint="default" w:ascii="Arial" w:hAnsi="Arial" w:eastAsia="Times New Roman" w:cs="Arial"/>
          <w:color w:val="000000"/>
          <w:sz w:val="24"/>
          <w:szCs w:val="24"/>
          <w:highlight w:val="none"/>
          <w:lang w:val="sr-Latn-ME"/>
        </w:rPr>
        <w:t>4</w:t>
      </w:r>
      <w:r>
        <w:rPr>
          <w:rFonts w:ascii="Arial" w:hAnsi="Arial" w:eastAsia="Times New Roman" w:cs="Arial"/>
          <w:color w:val="000000"/>
          <w:sz w:val="24"/>
          <w:szCs w:val="24"/>
          <w:highlight w:val="none"/>
          <w:lang w:val="sr-Latn-ME"/>
        </w:rPr>
        <w:t>:00 sati).</w:t>
      </w:r>
    </w:p>
    <w:p>
      <w:pPr>
        <w:spacing w:after="0" w:line="240" w:lineRule="auto"/>
        <w:rPr>
          <w:rFonts w:ascii="Arial" w:hAnsi="Arial" w:eastAsia="Times New Roman" w:cs="Arial"/>
          <w:i/>
          <w:iCs/>
          <w:color w:val="000000"/>
          <w:sz w:val="24"/>
          <w:szCs w:val="24"/>
          <w:highlight w:val="none"/>
          <w:lang w:val="sr-Latn-ME"/>
        </w:rPr>
      </w:pPr>
    </w:p>
    <w:p>
      <w:pPr>
        <w:spacing w:after="0" w:line="240" w:lineRule="auto"/>
        <w:jc w:val="both"/>
        <w:rPr>
          <w:rFonts w:ascii="Arial" w:hAnsi="Arial" w:eastAsia="Calibri" w:cs="Arial"/>
          <w:sz w:val="24"/>
          <w:szCs w:val="24"/>
          <w:highlight w:val="none"/>
          <w:lang w:val="sr-Latn-CS"/>
        </w:rPr>
      </w:pPr>
      <w:r>
        <w:rPr>
          <w:rFonts w:ascii="Arial" w:hAnsi="Arial" w:eastAsia="Times New Roman" w:cs="Arial"/>
          <w:color w:val="000000"/>
          <w:sz w:val="24"/>
          <w:szCs w:val="24"/>
          <w:highlight w:val="none"/>
          <w:lang w:val="sr-Latn-ME"/>
        </w:rPr>
        <w:t xml:space="preserve">Original garancije ponude u pisanom obliku dostavlja se u koverti, na kojoj se navodi: naziv i sjedište naručioca, </w:t>
      </w:r>
      <w:r>
        <w:rPr>
          <w:rFonts w:ascii="Arial" w:hAnsi="Arial" w:eastAsia="Calibri" w:cs="Arial"/>
          <w:sz w:val="24"/>
          <w:szCs w:val="24"/>
          <w:highlight w:val="none"/>
          <w:lang w:val="sr-Latn-CS"/>
        </w:rPr>
        <w:t>broj tenderske dokumentacije za koju se podnosi garancija, naziv, sjedište i adresa ponuđača i naznake „garancija ponude“ i "ne otvaraj prije roka za otvaranja ponuda".</w:t>
      </w:r>
    </w:p>
    <w:p>
      <w:pPr>
        <w:spacing w:after="0" w:line="240" w:lineRule="auto"/>
        <w:rPr>
          <w:rFonts w:ascii="Arial" w:hAnsi="Arial" w:eastAsia="Times New Roman" w:cs="Arial"/>
          <w:i/>
          <w:iCs/>
          <w:color w:val="000000"/>
          <w:sz w:val="24"/>
          <w:szCs w:val="24"/>
          <w:highlight w:val="yellow"/>
          <w:lang w:val="sr-Latn-ME"/>
        </w:rPr>
      </w:pPr>
    </w:p>
    <w:p>
      <w:pPr>
        <w:spacing w:after="0" w:line="240" w:lineRule="auto"/>
        <w:rPr>
          <w:rFonts w:ascii="Arial" w:hAnsi="Arial" w:eastAsia="Times New Roman" w:cs="Arial"/>
          <w:i/>
          <w:iCs/>
          <w:color w:val="000000"/>
          <w:sz w:val="24"/>
          <w:szCs w:val="24"/>
          <w:highlight w:val="yellow"/>
          <w:lang w:val="sr-Latn-ME"/>
        </w:rPr>
      </w:pPr>
    </w:p>
    <w:p>
      <w:pPr>
        <w:spacing w:after="0" w:line="240" w:lineRule="auto"/>
        <w:rPr>
          <w:rFonts w:hint="default" w:ascii="Arial" w:hAnsi="Arial" w:eastAsia="Times New Roman"/>
          <w:i/>
          <w:iCs/>
          <w:color w:val="000000"/>
          <w:sz w:val="24"/>
          <w:szCs w:val="24"/>
          <w:highlight w:val="none"/>
          <w:lang w:val="sr-Latn-ME"/>
        </w:rPr>
      </w:pPr>
      <w:r>
        <w:rPr>
          <w:rFonts w:ascii="Arial" w:hAnsi="Arial" w:eastAsia="Calibri" w:cs="Arial"/>
          <w:color w:val="000000"/>
          <w:sz w:val="24"/>
          <w:szCs w:val="24"/>
          <w:highlight w:val="none"/>
          <w:lang w:val="sr-Latn-ME"/>
        </w:rPr>
        <w:sym w:font="Wingdings" w:char="F078"/>
      </w:r>
      <w:r>
        <w:rPr>
          <w:rFonts w:ascii="Arial" w:hAnsi="Arial" w:eastAsia="Calibri" w:cs="Arial"/>
          <w:color w:val="000000"/>
          <w:sz w:val="24"/>
          <w:szCs w:val="24"/>
          <w:highlight w:val="none"/>
          <w:lang w:val="sr-Latn-ME"/>
        </w:rPr>
        <w:t xml:space="preserve"> </w:t>
      </w:r>
      <w:r>
        <w:rPr>
          <w:rFonts w:hint="default" w:ascii="Arial" w:hAnsi="Arial" w:eastAsia="Times New Roman"/>
          <w:i/>
          <w:iCs/>
          <w:color w:val="000000"/>
          <w:sz w:val="24"/>
          <w:szCs w:val="24"/>
          <w:highlight w:val="none"/>
          <w:lang w:val="sr-Latn-ME"/>
        </w:rPr>
        <w:t xml:space="preserve"> </w:t>
      </w:r>
      <w:r>
        <w:rPr>
          <w:rFonts w:hint="default" w:ascii="Arial" w:hAnsi="Arial" w:eastAsia="Times New Roman"/>
          <w:b/>
          <w:bCs/>
          <w:i/>
          <w:iCs/>
          <w:color w:val="000000"/>
          <w:sz w:val="24"/>
          <w:szCs w:val="24"/>
          <w:highlight w:val="none"/>
          <w:lang w:val="sr-Latn-ME"/>
        </w:rPr>
        <w:t>Razlozi hitnosti za skraćenje roka za podnošenje ponuda.</w:t>
      </w:r>
    </w:p>
    <w:p>
      <w:pPr>
        <w:spacing w:after="0" w:line="240" w:lineRule="auto"/>
        <w:jc w:val="both"/>
        <w:rPr>
          <w:rFonts w:hint="default" w:ascii="Arial" w:hAnsi="Arial" w:eastAsia="Times New Roman"/>
          <w:i/>
          <w:iCs/>
          <w:color w:val="000000"/>
          <w:sz w:val="24"/>
          <w:szCs w:val="24"/>
          <w:highlight w:val="none"/>
          <w:lang w:val="sr-Latn-RS"/>
        </w:rPr>
      </w:pPr>
      <w:r>
        <w:rPr>
          <w:rFonts w:hint="default" w:ascii="Arial" w:hAnsi="Arial" w:eastAsia="Times New Roman"/>
          <w:i/>
          <w:iCs/>
          <w:color w:val="000000"/>
          <w:sz w:val="24"/>
          <w:szCs w:val="24"/>
          <w:highlight w:val="none"/>
          <w:lang w:val="sr-Latn-ME"/>
        </w:rPr>
        <w:t>Rok za dostavljanje ponuda za predmetnu javnu nabavku, u skladu sa odredbama član 54 stav 4 Zakona o javnim nabavkama ("Službeni list Crne Gore", broj 74/19</w:t>
      </w:r>
      <w:r>
        <w:rPr>
          <w:rFonts w:hint="default" w:ascii="Arial" w:hAnsi="Arial" w:eastAsia="Times New Roman"/>
          <w:i/>
          <w:iCs/>
          <w:color w:val="000000"/>
          <w:sz w:val="24"/>
          <w:szCs w:val="24"/>
          <w:highlight w:val="none"/>
          <w:lang w:val="sr-Latn-RS"/>
        </w:rPr>
        <w:t>,003/23 i 011/23</w:t>
      </w:r>
      <w:r>
        <w:rPr>
          <w:rFonts w:hint="default" w:ascii="Arial" w:hAnsi="Arial" w:eastAsia="Times New Roman"/>
          <w:i/>
          <w:iCs/>
          <w:color w:val="000000"/>
          <w:sz w:val="24"/>
          <w:szCs w:val="24"/>
          <w:highlight w:val="none"/>
          <w:lang w:val="sr-Latn-ME"/>
        </w:rPr>
        <w:t>), se skraćuje iz razloga hitnosti i određuje na 15 dana od dana objavljivanja tenderske dokumentacije na ESJN</w:t>
      </w:r>
      <w:r>
        <w:rPr>
          <w:rFonts w:hint="default" w:ascii="Arial" w:hAnsi="Arial" w:eastAsia="Times New Roman"/>
          <w:i/>
          <w:iCs/>
          <w:color w:val="000000"/>
          <w:sz w:val="24"/>
          <w:szCs w:val="24"/>
          <w:highlight w:val="none"/>
          <w:lang w:val="sr-Latn-RS"/>
        </w:rPr>
        <w:t>-u.</w:t>
      </w:r>
    </w:p>
    <w:p>
      <w:pPr>
        <w:spacing w:after="0" w:line="240" w:lineRule="auto"/>
        <w:jc w:val="both"/>
        <w:rPr>
          <w:rFonts w:hint="default" w:ascii="Arial" w:hAnsi="Arial" w:eastAsia="Times New Roman"/>
          <w:i/>
          <w:iCs/>
          <w:color w:val="000000"/>
          <w:sz w:val="24"/>
          <w:szCs w:val="24"/>
          <w:highlight w:val="none"/>
          <w:lang w:val="sr-Latn-ME"/>
        </w:rPr>
      </w:pPr>
      <w:r>
        <w:rPr>
          <w:rFonts w:hint="default" w:ascii="Arial" w:hAnsi="Arial" w:eastAsia="Times New Roman"/>
          <w:i/>
          <w:iCs/>
          <w:color w:val="000000"/>
          <w:sz w:val="24"/>
          <w:szCs w:val="24"/>
          <w:highlight w:val="none"/>
          <w:lang w:val="sr-Latn-ME"/>
        </w:rPr>
        <w:t>Razlog hitnosti skraćenja roka za podnošenje ponuda je u činjenici da </w:t>
      </w:r>
      <w:r>
        <w:rPr>
          <w:rFonts w:hint="default" w:ascii="Arial" w:hAnsi="Arial" w:eastAsia="Times New Roman"/>
          <w:i/>
          <w:iCs/>
          <w:color w:val="000000"/>
          <w:sz w:val="24"/>
          <w:szCs w:val="24"/>
          <w:highlight w:val="none"/>
          <w:lang w:val="sr-Latn-RS"/>
        </w:rPr>
        <w:t>je prethodni postupak morao biti poni</w:t>
      </w:r>
      <w:r>
        <w:rPr>
          <w:rFonts w:hint="default" w:ascii="Arial" w:hAnsi="Arial" w:eastAsia="Times New Roman"/>
          <w:i/>
          <w:iCs/>
          <w:color w:val="000000"/>
          <w:sz w:val="24"/>
          <w:szCs w:val="24"/>
          <w:highlight w:val="none"/>
          <w:lang w:val="sr-Latn-ME"/>
        </w:rPr>
        <w:t xml:space="preserve">šten jer ponuda koja je dostavljena nije bila ispravna. Prekid kontinuiteta u održavanju licenci i održavanju od strane SAP-a mogao bi da izazove dodatne troškove za Ministarstvo,  te smatramo da </w:t>
      </w:r>
      <w:r>
        <w:rPr>
          <w:rFonts w:hint="default" w:ascii="Arial" w:hAnsi="Arial" w:eastAsia="Times New Roman"/>
          <w:i/>
          <w:iCs/>
          <w:color w:val="000000"/>
          <w:sz w:val="24"/>
          <w:szCs w:val="24"/>
          <w:highlight w:val="none"/>
          <w:lang w:val="sr-Latn-RS"/>
        </w:rPr>
        <w:t>rok koji nije kra</w:t>
      </w:r>
      <w:r>
        <w:rPr>
          <w:rFonts w:hint="default" w:ascii="Arial" w:hAnsi="Arial" w:eastAsia="Times New Roman"/>
          <w:i/>
          <w:iCs/>
          <w:color w:val="000000"/>
          <w:sz w:val="24"/>
          <w:szCs w:val="24"/>
          <w:highlight w:val="none"/>
          <w:lang w:val="sr-Latn-ME"/>
        </w:rPr>
        <w:t>ći od 15 dana dovoljan za pripremu ponude, kako bi se navedena nabavka sprovela u otvorenom postupku sa skraćenim rokom.</w:t>
      </w:r>
    </w:p>
    <w:p>
      <w:pPr>
        <w:spacing w:after="0" w:line="240" w:lineRule="auto"/>
        <w:jc w:val="both"/>
        <w:rPr>
          <w:rFonts w:ascii="Arial" w:hAnsi="Arial" w:eastAsia="Times New Roman" w:cs="Arial"/>
          <w:i/>
          <w:iCs/>
          <w:color w:val="000000"/>
          <w:sz w:val="24"/>
          <w:szCs w:val="24"/>
          <w:highlight w:val="none"/>
          <w:lang w:val="sr-Latn-ME"/>
        </w:rPr>
      </w:pPr>
      <w:r>
        <w:rPr>
          <w:rFonts w:hint="default" w:ascii="Arial" w:hAnsi="Arial" w:eastAsia="Times New Roman"/>
          <w:i/>
          <w:iCs/>
          <w:color w:val="000000"/>
          <w:sz w:val="24"/>
          <w:szCs w:val="24"/>
          <w:highlight w:val="none"/>
          <w:lang w:val="sr-Latn-ME"/>
        </w:rPr>
        <w:t>Imajući u vidu gore navedeno, a na osnovu člana 54 stav 4 i 5 ZJN rok za podnošenje ponuda je skraćen na 15 dana.</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8" w:name="_Toc62730562"/>
      <w:r>
        <w:rPr>
          <w:rFonts w:ascii="Arial" w:hAnsi="Arial" w:eastAsia="Times New Roman" w:cs="Times New Roman"/>
          <w:b/>
          <w:sz w:val="24"/>
          <w:szCs w:val="32"/>
          <w:lang w:val="sr-Latn-ME"/>
        </w:rPr>
        <w:t>9. USLOVI ZA AKTIVIRANJE GARANCIJE PONUDE</w:t>
      </w:r>
      <w:r>
        <w:rPr>
          <w:rFonts w:ascii="Arial" w:hAnsi="Arial" w:eastAsia="Times New Roman" w:cs="Times New Roman"/>
          <w:b/>
          <w:sz w:val="24"/>
          <w:szCs w:val="32"/>
          <w:vertAlign w:val="superscript"/>
          <w:lang w:val="sr-Latn-ME"/>
        </w:rPr>
        <w:footnoteReference w:id="6"/>
      </w:r>
      <w:bookmarkEnd w:id="8"/>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Garancija ponude će se aktivirati ako ponuđač: </w:t>
      </w:r>
    </w:p>
    <w:p>
      <w:pPr>
        <w:autoSpaceDE w:val="0"/>
        <w:autoSpaceDN w:val="0"/>
        <w:adjustRightInd w:val="0"/>
        <w:spacing w:before="60" w:after="60" w:line="240" w:lineRule="auto"/>
        <w:ind w:left="567" w:hanging="283"/>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1) odustane od ponude u roku važenja ponude i/ili</w:t>
      </w:r>
    </w:p>
    <w:p>
      <w:pPr>
        <w:autoSpaceDE w:val="0"/>
        <w:autoSpaceDN w:val="0"/>
        <w:adjustRightInd w:val="0"/>
        <w:spacing w:before="60" w:after="60" w:line="240" w:lineRule="auto"/>
        <w:ind w:firstLine="283"/>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2) odbije da zaključi ugovor o javnoj nabavci ili okvirni sporazum.</w:t>
      </w:r>
    </w:p>
    <w:p>
      <w:pPr>
        <w:spacing w:after="0" w:line="240" w:lineRule="auto"/>
        <w:jc w:val="both"/>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9" w:name="_Toc62730563"/>
      <w:r>
        <w:rPr>
          <w:rFonts w:ascii="Arial" w:hAnsi="Arial" w:eastAsia="Times New Roman" w:cs="Times New Roman"/>
          <w:b/>
          <w:sz w:val="24"/>
          <w:szCs w:val="32"/>
          <w:lang w:val="sr-Latn-ME"/>
        </w:rPr>
        <w:t>10. TAJNOST PODATAKA</w:t>
      </w:r>
      <w:bookmarkEnd w:id="9"/>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Tenderska dokumentacija sadrži tajne podatke</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ne</w:t>
      </w:r>
    </w:p>
    <w:p>
      <w:pPr>
        <w:spacing w:after="0" w:line="240" w:lineRule="auto"/>
        <w:rPr>
          <w:rFonts w:ascii="Arial" w:hAnsi="Arial" w:eastAsia="Times New Roman" w:cs="Arial"/>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10" w:name="_Toc62730564"/>
      <w:r>
        <w:rPr>
          <w:rFonts w:ascii="Arial" w:hAnsi="Arial" w:eastAsia="Times New Roman" w:cs="Times New Roman"/>
          <w:b/>
          <w:sz w:val="24"/>
          <w:szCs w:val="32"/>
          <w:lang w:val="sr-Latn-ME"/>
        </w:rPr>
        <w:t>11. UPUTSTVO ZA SAČINJAVANJE PONUDE</w:t>
      </w:r>
      <w:bookmarkEnd w:id="10"/>
    </w:p>
    <w:p>
      <w:pPr>
        <w:spacing w:after="0" w:line="240" w:lineRule="auto"/>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Ponude se sačinjava u ESJN u skladu sa tenderskom dokumentacijom i važećim Pravilnikom o sadržaju ponude i uputstvu za sačinjavanje i podnošenje ponude. </w:t>
      </w: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Ispunjenost uslova za učešće u postupku javne nabavke dokazuje se izjavom privrednog subjekta, koja se sačinjava na obrascu datom u Pravilniku o obrascu izjave privrednog subjekta.</w:t>
      </w:r>
    </w:p>
    <w:p>
      <w:pPr>
        <w:spacing w:after="0" w:line="240" w:lineRule="auto"/>
        <w:jc w:val="both"/>
        <w:rPr>
          <w:rFonts w:ascii="Arial" w:hAnsi="Arial" w:eastAsia="Calibri" w:cs="Arial"/>
          <w:sz w:val="24"/>
          <w:szCs w:val="24"/>
          <w:lang w:val="sr-Latn-ME"/>
        </w:rPr>
      </w:pPr>
      <w:r>
        <w:rPr>
          <w:rFonts w:ascii="Arial" w:hAnsi="Arial" w:eastAsia="Times New Roman" w:cs="Arial"/>
          <w:sz w:val="24"/>
          <w:szCs w:val="24"/>
          <w:lang w:val="sr-Latn-ME"/>
        </w:rPr>
        <w:t xml:space="preserve">Ponuđač je dužan da tačno, potpuno, pravilno i nedvosmisleno popuni </w:t>
      </w:r>
      <w:r>
        <w:rPr>
          <w:rFonts w:ascii="Arial" w:hAnsi="Arial" w:eastAsia="Calibri" w:cs="Arial"/>
          <w:sz w:val="24"/>
          <w:szCs w:val="24"/>
          <w:lang w:val="sr-Latn-ME"/>
        </w:rPr>
        <w:t>Izjavu privrednog subjekta u skladu sa zahtjevima iz tenderske dokumentacije.</w:t>
      </w:r>
    </w:p>
    <w:p>
      <w:pPr>
        <w:spacing w:after="0" w:line="240" w:lineRule="auto"/>
        <w:jc w:val="both"/>
        <w:rPr>
          <w:rFonts w:ascii="Arial" w:hAnsi="Arial" w:eastAsia="Times New Roman" w:cs="Arial"/>
          <w:i/>
          <w:iCs/>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sz w:val="24"/>
          <w:szCs w:val="32"/>
          <w:lang w:val="sr-Latn-ME"/>
        </w:rPr>
      </w:pPr>
      <w:bookmarkStart w:id="11" w:name="_Toc62730565"/>
      <w:r>
        <w:rPr>
          <w:rFonts w:ascii="Arial" w:hAnsi="Arial" w:eastAsia="Times New Roman" w:cs="Times New Roman"/>
          <w:b/>
          <w:sz w:val="24"/>
          <w:szCs w:val="32"/>
          <w:lang w:val="sr-Latn-ME"/>
        </w:rPr>
        <w:t>12. NAČIN ZAKLJUČIVANJA I IZMJENE UGOVORA O JAVNOJ NABAVCI</w:t>
      </w:r>
      <w:bookmarkEnd w:id="11"/>
    </w:p>
    <w:p>
      <w:pPr>
        <w:spacing w:after="0" w:line="240" w:lineRule="auto"/>
        <w:jc w:val="both"/>
        <w:rPr>
          <w:rFonts w:ascii="Arial" w:hAnsi="Arial" w:eastAsia="Times New Roman" w:cs="Arial"/>
          <w:i/>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Ugovor o javnoj nabavci mora da bude u skladu sa uslovima utvrđenim tenderskom dokumentacijom, izabranom ponudom i odlukom o izboru najpovoljnije ponude, osim u pogledu iskazivanja PDV-a.</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Ugovor između naručioca i ponuđača čija je ponuda izabrana kao najpovoljnija, </w:t>
      </w:r>
      <w:r>
        <w:rPr>
          <w:rFonts w:ascii="Arial" w:hAnsi="Arial" w:eastAsia="Times New Roman" w:cs="Arial"/>
          <w:b/>
          <w:color w:val="000000"/>
          <w:sz w:val="24"/>
          <w:szCs w:val="24"/>
          <w:lang w:val="sr-Latn-ME"/>
        </w:rPr>
        <w:t>pored uslova koji su propisani ovom tenderskom dokumentacijom</w:t>
      </w:r>
      <w:r>
        <w:rPr>
          <w:rFonts w:ascii="Arial" w:hAnsi="Arial" w:eastAsia="Times New Roman" w:cs="Arial"/>
          <w:color w:val="000000"/>
          <w:sz w:val="24"/>
          <w:szCs w:val="24"/>
          <w:lang w:val="sr-Latn-ME"/>
        </w:rPr>
        <w:t>, će sadržati i sljedeće:</w:t>
      </w:r>
      <w:r>
        <w:rPr>
          <w:rFonts w:ascii="Arial" w:hAnsi="Arial" w:eastAsia="Times New Roman" w:cs="Arial"/>
          <w:color w:val="000000"/>
          <w:sz w:val="24"/>
          <w:szCs w:val="24"/>
          <w:vertAlign w:val="superscript"/>
          <w:lang w:val="sr-Latn-ME"/>
        </w:rPr>
        <w:footnoteReference w:id="7"/>
      </w:r>
    </w:p>
    <w:p>
      <w:pPr>
        <w:spacing w:after="0" w:line="240" w:lineRule="auto"/>
        <w:jc w:val="both"/>
        <w:rPr>
          <w:rFonts w:ascii="Arial" w:hAnsi="Arial" w:eastAsia="Times New Roman" w:cs="Arial"/>
          <w:color w:val="000000"/>
          <w:sz w:val="24"/>
          <w:szCs w:val="24"/>
          <w:lang w:val="sr-Latn-ME"/>
        </w:rPr>
      </w:pPr>
    </w:p>
    <w:p>
      <w:pPr>
        <w:spacing w:line="240" w:lineRule="auto"/>
        <w:jc w:val="both"/>
        <w:rPr>
          <w:rFonts w:ascii="Arial" w:hAnsi="Arial" w:eastAsia="Calibri" w:cs="Arial"/>
          <w:sz w:val="24"/>
          <w:szCs w:val="24"/>
          <w:u w:val="single"/>
          <w:lang w:val="sr-Latn-ME"/>
        </w:rPr>
      </w:pPr>
      <w:r>
        <w:rPr>
          <w:rFonts w:ascii="Arial" w:hAnsi="Arial" w:eastAsia="Calibri" w:cs="Arial"/>
          <w:sz w:val="24"/>
          <w:szCs w:val="24"/>
          <w:u w:val="single"/>
          <w:lang w:val="sr-Latn-ME"/>
        </w:rPr>
        <w:t>Naknada štete</w:t>
      </w:r>
    </w:p>
    <w:p>
      <w:pPr>
        <w:spacing w:after="0" w:line="240" w:lineRule="auto"/>
        <w:jc w:val="both"/>
        <w:rPr>
          <w:rFonts w:ascii="Arial" w:hAnsi="Arial" w:eastAsia="PMingLiU" w:cs="Arial"/>
          <w:sz w:val="24"/>
          <w:szCs w:val="24"/>
          <w:lang w:val="sr-Latn-ME" w:eastAsia="zh-TW"/>
        </w:rPr>
      </w:pPr>
      <w:r>
        <w:rPr>
          <w:rFonts w:ascii="Arial" w:hAnsi="Arial" w:eastAsia="PMingLiU" w:cs="Arial"/>
          <w:sz w:val="24"/>
          <w:szCs w:val="24"/>
          <w:lang w:val="sr-Latn-ME" w:eastAsia="zh-TW"/>
        </w:rPr>
        <w:t>Ukoliko Izvršilac, namjerno ili krajnjom nepažnjom, postupi suprotno odredbama Ugovora, a zbog toga dođe do neoperativnosti i nefunkcionisanja softverskih licenci, te zbog toga Naručilac pretrpi štetu, dužan je da prouzrokovanu štetu nadoknadi.</w:t>
      </w:r>
    </w:p>
    <w:p>
      <w:pPr>
        <w:spacing w:after="0" w:line="240" w:lineRule="auto"/>
        <w:jc w:val="both"/>
        <w:rPr>
          <w:rFonts w:ascii="Arial" w:hAnsi="Arial" w:eastAsia="PMingLiU" w:cs="Arial"/>
          <w:sz w:val="24"/>
          <w:szCs w:val="24"/>
          <w:lang w:val="sr-Latn-ME" w:eastAsia="zh-TW"/>
        </w:rPr>
      </w:pPr>
    </w:p>
    <w:p>
      <w:pPr>
        <w:spacing w:after="0" w:line="240" w:lineRule="auto"/>
        <w:jc w:val="both"/>
        <w:rPr>
          <w:rFonts w:ascii="Arial" w:hAnsi="Arial" w:eastAsia="PMingLiU" w:cs="Arial"/>
          <w:sz w:val="24"/>
          <w:szCs w:val="24"/>
          <w:lang w:val="sr-Latn-ME" w:eastAsia="zh-TW"/>
        </w:rPr>
      </w:pPr>
      <w:r>
        <w:rPr>
          <w:rFonts w:ascii="Arial" w:hAnsi="Arial" w:eastAsia="PMingLiU" w:cs="Arial"/>
          <w:sz w:val="24"/>
          <w:szCs w:val="24"/>
          <w:lang w:val="sr-Latn-ME" w:eastAsia="zh-TW"/>
        </w:rPr>
        <w:t>Procjenu uzroka štete izvršiće Komisija Naručioca u prisustvu predstavnika Izvršioca. Ukoliko Komisija Naručioca u prisustvu predstavnika Izvršioca utvrdi da je uzrok nastale štete neispunjavanje ugovrnih obaveza, Naručilac će imati pravo na naknadu štete i na raskid ovog Ugovora.</w:t>
      </w:r>
    </w:p>
    <w:p>
      <w:pPr>
        <w:spacing w:after="0" w:line="240" w:lineRule="auto"/>
        <w:jc w:val="both"/>
        <w:rPr>
          <w:rFonts w:ascii="Arial" w:hAnsi="Arial" w:eastAsia="PMingLiU" w:cs="Arial"/>
          <w:highlight w:val="yellow"/>
          <w:lang w:val="sr-Latn-ME" w:eastAsia="zh-TW"/>
        </w:rPr>
      </w:pPr>
    </w:p>
    <w:p>
      <w:pPr>
        <w:spacing w:line="240" w:lineRule="auto"/>
        <w:jc w:val="both"/>
        <w:rPr>
          <w:rFonts w:ascii="Arial" w:hAnsi="Arial" w:eastAsia="PMingLiU" w:cs="Arial"/>
          <w:u w:val="single"/>
          <w:lang w:val="sr-Latn-ME" w:eastAsia="zh-TW"/>
        </w:rPr>
      </w:pPr>
      <w:r>
        <w:rPr>
          <w:rFonts w:ascii="Arial" w:hAnsi="Arial" w:eastAsia="PMingLiU" w:cs="Arial"/>
          <w:u w:val="single"/>
          <w:lang w:val="sr-Latn-ME" w:eastAsia="zh-TW"/>
        </w:rPr>
        <w:t>Raskid ugovora</w:t>
      </w:r>
    </w:p>
    <w:p>
      <w:pPr>
        <w:spacing w:before="100" w:beforeAutospacing="1" w:after="0" w:line="240" w:lineRule="auto"/>
        <w:jc w:val="both"/>
        <w:rPr>
          <w:rFonts w:ascii="Arial" w:hAnsi="Arial" w:eastAsia="Calibri" w:cs="Arial"/>
          <w:sz w:val="24"/>
          <w:szCs w:val="24"/>
          <w:lang w:val="sr-Latn-ME"/>
        </w:rPr>
      </w:pPr>
      <w:r>
        <w:rPr>
          <w:rFonts w:ascii="Arial" w:hAnsi="Arial" w:eastAsia="Calibri" w:cs="Arial"/>
          <w:sz w:val="24"/>
          <w:szCs w:val="24"/>
          <w:lang w:val="sr-Latn-ME"/>
        </w:rPr>
        <w:t>Naručilac će jednostrano rakinuti ovaj ugovor u slučaju ako:</w:t>
      </w:r>
    </w:p>
    <w:p>
      <w:pPr>
        <w:spacing w:after="0" w:line="240" w:lineRule="auto"/>
        <w:jc w:val="both"/>
        <w:rPr>
          <w:rFonts w:ascii="Arial" w:hAnsi="Arial" w:eastAsia="Calibri" w:cs="Arial"/>
          <w:color w:val="000000"/>
          <w:sz w:val="24"/>
          <w:szCs w:val="24"/>
        </w:rPr>
      </w:pPr>
      <w:r>
        <w:rPr>
          <w:rFonts w:ascii="Arial" w:hAnsi="Arial" w:eastAsia="Calibri" w:cs="Arial"/>
          <w:sz w:val="24"/>
          <w:szCs w:val="24"/>
          <w:lang w:val="sr-Latn-ME"/>
        </w:rPr>
        <w:t xml:space="preserve">1) Izvršilac </w:t>
      </w:r>
      <w:r>
        <w:rPr>
          <w:rFonts w:ascii="Arial" w:hAnsi="Arial" w:eastAsia="Calibri" w:cs="Arial"/>
          <w:color w:val="000000"/>
          <w:sz w:val="24"/>
          <w:szCs w:val="24"/>
        </w:rPr>
        <w:t>ne bude izvršavao svoje obaveze u rokovima i na način predviđenim Ugovorom;</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2) nastupe okolnosti koje za posljedicu imaju bitnu izmjenu ugovora koja iziskuje sprovođenje novog postupka javne nabavke;</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 xml:space="preserve">2) nastupi neki razlog koji predstavlja osnov za obavezno isključenje iz člana 108 Zakona o javnim nabavkama („Službeni list CG“ br.74/19, 3/23 i 11/23) ili člana 110 ovog zakona, koji je predviđen tenderskom dokumentacijom. </w:t>
      </w:r>
    </w:p>
    <w:p>
      <w:pPr>
        <w:autoSpaceDE w:val="0"/>
        <w:autoSpaceDN w:val="0"/>
        <w:adjustRightInd w:val="0"/>
        <w:spacing w:before="240" w:after="0" w:line="240" w:lineRule="auto"/>
        <w:jc w:val="both"/>
        <w:rPr>
          <w:rFonts w:ascii="Arial" w:hAnsi="Arial" w:eastAsia="Calibri" w:cs="Arial"/>
          <w:sz w:val="24"/>
          <w:szCs w:val="24"/>
          <w:lang w:val="sr-Latn-ME"/>
        </w:rPr>
      </w:pPr>
      <w:r>
        <w:rPr>
          <w:rFonts w:ascii="Arial" w:hAnsi="Arial" w:eastAsia="Calibri" w:cs="Arial"/>
          <w:sz w:val="24"/>
          <w:szCs w:val="24"/>
          <w:lang w:val="sr-Latn-ME"/>
        </w:rPr>
        <w:t>Bitnom izmjenom ugovora iz stava 1 tačka 2 ovog člana smatra se izmjena prirode ugovora u materijalnom smislu u odnosu na ugovor koji je prvobitno zaključen ako je ispunjen jedan ili više sljedećih uslova:</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2) izmjenom se mijenja privredna ravnoteža ugovora u korist privrednog subjekta sa kojim je zaključen ugovor na način koji nije predviđen prvobitnim ugovorom;</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3) izmjenom se značajno povećava obim ugovora;</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4) promjena privrednog subjekta sa kojim je zaključen ugovor o javnoj nabavci, osim u slučaju iz člana 151 stav 1 tačka 4 ZJN;</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5) ako ponuđač ne izvršava ugovorene obaveze i u drugim slučajevima utvrđenim tenderskom dokumentacijom u skladu sa Zakona o javnim nabavkama („Službeni list CG“ br.74/19, 3/23 i 11/23).</w:t>
      </w:r>
    </w:p>
    <w:p>
      <w:pPr>
        <w:spacing w:before="100" w:beforeAutospacing="1" w:after="0" w:line="240" w:lineRule="auto"/>
        <w:jc w:val="both"/>
        <w:rPr>
          <w:rFonts w:ascii="Arial" w:hAnsi="Arial" w:eastAsia="Calibri" w:cs="Arial"/>
          <w:color w:val="000000"/>
          <w:sz w:val="24"/>
          <w:szCs w:val="24"/>
        </w:rPr>
      </w:pPr>
      <w:r>
        <w:rPr>
          <w:rFonts w:ascii="Arial" w:hAnsi="Arial" w:eastAsia="Calibri" w:cs="Arial"/>
          <w:color w:val="000000"/>
          <w:sz w:val="24"/>
          <w:szCs w:val="24"/>
        </w:rPr>
        <w:t>Izvršilac ima pravo da jednostrano raskine Ugovor ako Naručilac ne plaća Izvršiocu u rokovima i na način predviđen Ugovorom.</w:t>
      </w:r>
    </w:p>
    <w:p>
      <w:pPr>
        <w:autoSpaceDE w:val="0"/>
        <w:autoSpaceDN w:val="0"/>
        <w:adjustRightInd w:val="0"/>
        <w:spacing w:after="0" w:line="240" w:lineRule="auto"/>
        <w:jc w:val="both"/>
        <w:rPr>
          <w:rFonts w:ascii="Arial" w:hAnsi="Arial" w:eastAsia="Calibri" w:cs="Arial"/>
        </w:rPr>
      </w:pPr>
    </w:p>
    <w:p>
      <w:pPr>
        <w:spacing w:line="240" w:lineRule="auto"/>
        <w:jc w:val="both"/>
        <w:rPr>
          <w:rFonts w:ascii="Arial" w:hAnsi="Arial" w:eastAsia="PMingLiU" w:cs="Arial"/>
          <w:sz w:val="24"/>
          <w:szCs w:val="24"/>
          <w:lang w:val="sr-Latn-ME"/>
        </w:rPr>
      </w:pPr>
      <w:r>
        <w:rPr>
          <w:rFonts w:ascii="Arial" w:hAnsi="Arial" w:eastAsia="PMingLiU" w:cs="Arial"/>
          <w:sz w:val="24"/>
          <w:szCs w:val="24"/>
          <w:lang w:val="sr-Latn-ME"/>
        </w:rPr>
        <w:t xml:space="preserve">U bilo kom slučaju prestanka važenja Ugovora iz ovog člana, otkazni rok je 30 dana od dana </w:t>
      </w:r>
      <w:r>
        <w:rPr>
          <w:rFonts w:ascii="Arial" w:hAnsi="Arial" w:eastAsia="Calibri" w:cs="Arial"/>
          <w:sz w:val="24"/>
          <w:szCs w:val="24"/>
          <w:lang w:val="sr-Latn-ME"/>
        </w:rPr>
        <w:t>prijema</w:t>
      </w:r>
      <w:r>
        <w:rPr>
          <w:rFonts w:ascii="Arial" w:hAnsi="Arial" w:eastAsia="PMingLiU" w:cs="Arial"/>
          <w:sz w:val="24"/>
          <w:szCs w:val="24"/>
          <w:lang w:val="sr-Latn-ME"/>
        </w:rPr>
        <w:t xml:space="preserve"> obavještenja o raskidu Ugovora, u kom su oba ugovarača dužna da izvršavaju svoje ugovorene obaveze do isteka otkaznog roka.</w:t>
      </w:r>
    </w:p>
    <w:p>
      <w:pPr>
        <w:spacing w:line="240" w:lineRule="auto"/>
        <w:jc w:val="both"/>
        <w:rPr>
          <w:rFonts w:ascii="Arial" w:hAnsi="Arial" w:eastAsia="PMingLiU" w:cs="Arial"/>
          <w:sz w:val="24"/>
          <w:szCs w:val="24"/>
          <w:lang w:val="sr-Latn-ME"/>
        </w:rPr>
      </w:pPr>
      <w:r>
        <w:rPr>
          <w:rFonts w:ascii="Arial" w:hAnsi="Arial" w:eastAsia="PMingLiU" w:cs="Arial"/>
          <w:sz w:val="24"/>
          <w:szCs w:val="24"/>
          <w:lang w:val="sr-Latn-ME"/>
        </w:rPr>
        <w:t>Ako strane Ugovora sporazumno raskinu ugovor, sporazumom o raskidu ugovora utvrđuju se međusobna prava i obaveze koje proističu iz ugovora.</w:t>
      </w:r>
    </w:p>
    <w:p>
      <w:pPr>
        <w:autoSpaceDE w:val="0"/>
        <w:autoSpaceDN w:val="0"/>
        <w:adjustRightInd w:val="0"/>
        <w:spacing w:after="0" w:line="240" w:lineRule="auto"/>
        <w:jc w:val="both"/>
        <w:rPr>
          <w:rFonts w:ascii="Arial" w:hAnsi="Arial" w:eastAsia="Calibri" w:cs="Arial"/>
        </w:rPr>
      </w:pPr>
    </w:p>
    <w:p>
      <w:pPr>
        <w:spacing w:line="240" w:lineRule="auto"/>
        <w:jc w:val="both"/>
        <w:rPr>
          <w:rFonts w:ascii="Arial" w:hAnsi="Arial" w:eastAsia="PMingLiU" w:cs="Arial"/>
          <w:sz w:val="24"/>
          <w:szCs w:val="24"/>
          <w:u w:val="single"/>
          <w:lang w:val="sr-Latn-ME"/>
        </w:rPr>
      </w:pPr>
      <w:r>
        <w:rPr>
          <w:rFonts w:ascii="Arial" w:hAnsi="Arial" w:eastAsia="PMingLiU" w:cs="Arial"/>
          <w:sz w:val="24"/>
          <w:szCs w:val="24"/>
          <w:u w:val="single"/>
          <w:lang w:val="sr-Latn-ME"/>
        </w:rPr>
        <w:t>Zaštita poslovnih interesa i čuvanje poslovne tajne</w:t>
      </w:r>
    </w:p>
    <w:p>
      <w:pPr>
        <w:spacing w:line="240" w:lineRule="auto"/>
        <w:jc w:val="both"/>
        <w:rPr>
          <w:rFonts w:ascii="Arial" w:hAnsi="Arial" w:eastAsia="PMingLiU" w:cs="Arial"/>
          <w:sz w:val="24"/>
          <w:szCs w:val="24"/>
          <w:lang w:val="sr-Latn-ME"/>
        </w:rPr>
      </w:pPr>
      <w:r>
        <w:rPr>
          <w:rFonts w:ascii="Arial" w:hAnsi="Arial" w:eastAsia="PMingLiU" w:cs="Arial"/>
          <w:sz w:val="24"/>
          <w:szCs w:val="24"/>
          <w:lang w:val="sr-Latn-ME"/>
        </w:rPr>
        <w:t>Ugovorne strane se obavezuju da sa pažnjom dobrog privrednika čuvaju i štite poslovne interese druge ugovorne strane, koje proizilaze iz ovog Ugovora, kao i da u obostranom interesu rade na unapređenju svojih odnosa.</w:t>
      </w:r>
    </w:p>
    <w:p>
      <w:pPr>
        <w:spacing w:line="240" w:lineRule="auto"/>
        <w:jc w:val="both"/>
        <w:rPr>
          <w:rFonts w:ascii="Arial" w:hAnsi="Arial" w:eastAsia="PMingLiU" w:cs="Arial"/>
          <w:sz w:val="24"/>
          <w:szCs w:val="24"/>
          <w:lang w:val="sr-Latn-ME"/>
        </w:rPr>
      </w:pPr>
      <w:r>
        <w:rPr>
          <w:rFonts w:ascii="Arial" w:hAnsi="Arial" w:eastAsia="PMingLiU" w:cs="Arial"/>
          <w:sz w:val="24"/>
          <w:szCs w:val="24"/>
          <w:lang w:val="sr-Latn-ME"/>
        </w:rPr>
        <w:t>Izvršilac se obavezuje na čuvanje svih podataka iz predmeta nabavke, te da iste ni na koji način neće učiniti dostupnim trećim licima bez saglasnosti Naručioca.</w:t>
      </w:r>
    </w:p>
    <w:p>
      <w:pPr>
        <w:spacing w:after="0" w:line="240" w:lineRule="auto"/>
        <w:jc w:val="both"/>
        <w:rPr>
          <w:rFonts w:ascii="Arial" w:hAnsi="Arial" w:eastAsia="PMingLiU" w:cs="Arial"/>
          <w:sz w:val="24"/>
          <w:szCs w:val="24"/>
          <w:highlight w:val="yellow"/>
          <w:lang w:val="sr-Latn-ME"/>
        </w:rPr>
      </w:pPr>
    </w:p>
    <w:p>
      <w:pPr>
        <w:spacing w:line="240" w:lineRule="auto"/>
        <w:jc w:val="both"/>
        <w:rPr>
          <w:rFonts w:ascii="Arial" w:hAnsi="Arial" w:eastAsia="PMingLiU" w:cs="Arial"/>
          <w:sz w:val="24"/>
          <w:szCs w:val="24"/>
          <w:u w:val="single"/>
          <w:lang w:val="sr-Latn-ME"/>
        </w:rPr>
      </w:pPr>
      <w:r>
        <w:rPr>
          <w:rFonts w:ascii="Arial" w:hAnsi="Arial" w:eastAsia="PMingLiU" w:cs="Arial"/>
          <w:sz w:val="24"/>
          <w:szCs w:val="24"/>
          <w:u w:val="single"/>
          <w:lang w:val="sr-Latn-ME"/>
        </w:rPr>
        <w:t>Ostali elementi ugovora</w:t>
      </w:r>
    </w:p>
    <w:p>
      <w:pPr>
        <w:spacing w:after="0" w:line="276" w:lineRule="auto"/>
        <w:jc w:val="both"/>
        <w:rPr>
          <w:rFonts w:ascii="Arial" w:hAnsi="Arial" w:eastAsia="Calibri" w:cs="Arial"/>
          <w:color w:val="000000"/>
          <w:sz w:val="24"/>
          <w:szCs w:val="24"/>
          <w:lang w:val="sl-SI"/>
        </w:rPr>
      </w:pPr>
      <w:r>
        <w:rPr>
          <w:rFonts w:ascii="Arial" w:hAnsi="Arial" w:eastAsia="Calibri" w:cs="Arial"/>
          <w:color w:val="000000"/>
          <w:sz w:val="24"/>
          <w:szCs w:val="24"/>
          <w:lang w:val="sl-SI"/>
        </w:rPr>
        <w:t>Ugovor o javnoj nabavci koji je zaključen uz kršenje antikorupcijskih pravila u skladu sa odredbama člana 38 Zakona o javnim nabavkama („Službeni list CG“ br. 74/19, 3/23 i 11/23) ništav je.</w:t>
      </w:r>
    </w:p>
    <w:p>
      <w:pPr>
        <w:spacing w:after="0" w:line="240" w:lineRule="auto"/>
        <w:jc w:val="both"/>
        <w:rPr>
          <w:rFonts w:ascii="Arial" w:hAnsi="Arial" w:eastAsia="Calibri" w:cs="Arial"/>
          <w:bCs/>
          <w:color w:val="000000"/>
          <w:sz w:val="24"/>
          <w:szCs w:val="24"/>
          <w:lang w:val="sr-Latn-CS"/>
        </w:rPr>
      </w:pPr>
    </w:p>
    <w:p>
      <w:pPr>
        <w:jc w:val="both"/>
        <w:rPr>
          <w:rFonts w:ascii="Arial" w:hAnsi="Arial" w:eastAsia="Calibri" w:cs="Arial"/>
          <w:sz w:val="24"/>
          <w:szCs w:val="24"/>
          <w:lang w:val="sl-SI"/>
        </w:rPr>
      </w:pPr>
      <w:r>
        <w:rPr>
          <w:rFonts w:ascii="Arial" w:hAnsi="Arial" w:eastAsia="Calibri" w:cs="Arial"/>
          <w:sz w:val="24"/>
          <w:szCs w:val="24"/>
          <w:lang w:val="sl-SI"/>
        </w:rPr>
        <w:t>Za sve što nije definisano ovim ugovorom primjenjivaće se odredbe Zakona o obligacionim odnosima.</w:t>
      </w:r>
    </w:p>
    <w:p>
      <w:pPr>
        <w:jc w:val="both"/>
        <w:rPr>
          <w:rFonts w:ascii="Arial" w:hAnsi="Arial" w:eastAsia="Calibri" w:cs="Arial"/>
          <w:color w:val="000000"/>
          <w:sz w:val="24"/>
          <w:szCs w:val="24"/>
          <w:lang w:val="sl-SI"/>
        </w:rPr>
      </w:pPr>
      <w:r>
        <w:rPr>
          <w:rFonts w:ascii="Arial" w:hAnsi="Arial" w:eastAsia="Calibri" w:cs="Arial"/>
          <w:color w:val="000000"/>
          <w:sz w:val="24"/>
          <w:szCs w:val="24"/>
          <w:lang w:val="sl-SI"/>
        </w:rPr>
        <w:t>Eventualne nesporazume koji mogu da se pojave u vezi ovog Ugovora ugovorne strane će pokušati da  riješe sporazumno. Sve sporove koji nasta</w:t>
      </w:r>
      <w:r>
        <w:rPr>
          <w:rFonts w:ascii="Arial" w:hAnsi="Arial" w:eastAsia="Calibri" w:cs="Arial"/>
          <w:color w:val="000000"/>
          <w:sz w:val="24"/>
          <w:szCs w:val="24"/>
          <w:lang w:val="sr-Latn-CS"/>
        </w:rPr>
        <w:t>nu</w:t>
      </w:r>
      <w:r>
        <w:rPr>
          <w:rFonts w:ascii="Arial" w:hAnsi="Arial" w:eastAsia="Calibri" w:cs="Arial"/>
          <w:color w:val="000000"/>
          <w:sz w:val="24"/>
          <w:szCs w:val="24"/>
          <w:lang w:val="sl-SI"/>
        </w:rPr>
        <w:t xml:space="preserve"> u vezi ovog Ugovora rješavaće nadležni sud u Podgorici.</w:t>
      </w:r>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color w:val="000000"/>
          <w:sz w:val="24"/>
          <w:szCs w:val="24"/>
          <w:u w:val="single"/>
          <w:lang w:val="sr-Latn-ME"/>
        </w:rPr>
        <w:t>Izmjena ugovora</w:t>
      </w:r>
      <w:r>
        <w:rPr>
          <w:rFonts w:ascii="Arial" w:hAnsi="Arial" w:eastAsia="Times New Roman" w:cs="Arial"/>
          <w:color w:val="000000"/>
          <w:sz w:val="24"/>
          <w:szCs w:val="24"/>
          <w:lang w:val="sr-Latn-ME"/>
        </w:rPr>
        <w:t>:</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Ugovor o javnoj nabavci tokom njegovog trajanja može da se izmijeni bez sprovođenja novog postupka javne nabavke u skladu sa članom 151 Zakona o javnim nabavkama, i to: </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kad se vrši zamjena podugovarača, u skladu sa članom 128 st. 10, 11 i 12 ovog zakona;</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ako privrednog subjekta nakon restruktuiranja, uključujući preuzimanje, spajanje, kupovina ili stečaj, zamjenjuje u potpunosti ili djelimično novi pravni sljedbenik, odnosno privredni subjekat, koji ispunjava prvobitno određene uslove zaključenog ugovora o javnoij nabavci, a izmjene su predviđene tenderskom dokumentaciojom, pod uslovom da se ne vrše druge bitne izmjene ugovora iz člana 15 stav 2 ovog zakona.</w:t>
      </w:r>
    </w:p>
    <w:p>
      <w:pPr>
        <w:spacing w:after="0" w:line="240" w:lineRule="auto"/>
        <w:jc w:val="both"/>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sz w:val="24"/>
          <w:szCs w:val="32"/>
          <w:lang w:val="sr-Latn-ME"/>
        </w:rPr>
      </w:pPr>
      <w:bookmarkStart w:id="12" w:name="_Toc62730566"/>
      <w:r>
        <w:rPr>
          <w:rFonts w:ascii="Arial" w:hAnsi="Arial" w:eastAsia="Times New Roman" w:cs="Times New Roman"/>
          <w:b/>
          <w:sz w:val="24"/>
          <w:szCs w:val="32"/>
          <w:lang w:val="sr-Latn-ME"/>
        </w:rPr>
        <w:t>13. ZAHTJEV ZA POJAŠNJENJE ILI IZMJENU I DOPUNU TENDERSKE DOKUMENTACIJE</w:t>
      </w:r>
      <w:bookmarkEnd w:id="12"/>
    </w:p>
    <w:p>
      <w:pPr>
        <w:spacing w:after="0" w:line="240" w:lineRule="auto"/>
        <w:jc w:val="both"/>
        <w:rPr>
          <w:rFonts w:ascii="Arial" w:hAnsi="Arial" w:eastAsia="Times New Roman" w:cs="Arial"/>
          <w:sz w:val="24"/>
          <w:szCs w:val="24"/>
          <w:lang w:val="sr-Latn-ME"/>
        </w:rPr>
      </w:pPr>
    </w:p>
    <w:p>
      <w:pPr>
        <w:autoSpaceDE w:val="0"/>
        <w:autoSpaceDN w:val="0"/>
        <w:adjustRightInd w:val="0"/>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Privredni subjekat ima pravo da pisanim zahtjevom traži od naručioca pojašnjenje tenderske dokumentacije najkasnije deset dana prije isteka roka određenog za dostavljanje ponuda.</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Zahtjev se podnosi isključivo putem ESJN-a.</w:t>
      </w:r>
    </w:p>
    <w:p>
      <w:pPr>
        <w:spacing w:after="0" w:line="240" w:lineRule="auto"/>
        <w:jc w:val="both"/>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color w:val="000000"/>
          <w:sz w:val="24"/>
          <w:szCs w:val="32"/>
          <w:lang w:val="sr-Latn-ME"/>
        </w:rPr>
      </w:pPr>
      <w:bookmarkStart w:id="13" w:name="_Toc62730567"/>
      <w:bookmarkStart w:id="14" w:name="_Toc416180136"/>
      <w:bookmarkStart w:id="15" w:name="_Toc508349235"/>
      <w:r>
        <w:rPr>
          <w:rFonts w:ascii="Arial" w:hAnsi="Arial" w:eastAsia="Times New Roman" w:cs="Times New Roman"/>
          <w:b/>
          <w:sz w:val="24"/>
          <w:szCs w:val="32"/>
          <w:lang w:val="sr-Latn-ME"/>
        </w:rPr>
        <w:t>14. IZJAVA NARUČIOCA O NEPOSTOJANJU SUKOBA INTERESA</w:t>
      </w:r>
      <w:bookmarkEnd w:id="13"/>
      <w:bookmarkEnd w:id="14"/>
      <w:bookmarkEnd w:id="15"/>
    </w:p>
    <w:p>
      <w:pPr>
        <w:tabs>
          <w:tab w:val="left" w:pos="1701"/>
          <w:tab w:val="left" w:pos="4820"/>
        </w:tabs>
        <w:spacing w:after="0" w:line="240" w:lineRule="auto"/>
        <w:jc w:val="both"/>
        <w:rPr>
          <w:rFonts w:ascii="Arial" w:hAnsi="Arial" w:eastAsia="Times New Roman" w:cs="Arial"/>
          <w:color w:val="000000"/>
          <w:sz w:val="24"/>
          <w:szCs w:val="24"/>
          <w:highlight w:val="yellow"/>
          <w:u w:val="single"/>
          <w:lang w:val="sr-Latn-ME"/>
        </w:rPr>
      </w:pPr>
    </w:p>
    <w:p>
      <w:pPr>
        <w:tabs>
          <w:tab w:val="left" w:pos="851"/>
          <w:tab w:val="right" w:pos="3402"/>
        </w:tabs>
        <w:spacing w:after="0" w:line="240" w:lineRule="auto"/>
        <w:jc w:val="both"/>
        <w:rPr>
          <w:rFonts w:ascii="Arial" w:hAnsi="Arial" w:eastAsia="Calibri" w:cs="Arial"/>
          <w:color w:val="000000"/>
          <w:highlight w:val="none"/>
          <w:lang w:val="pl-PL"/>
        </w:rPr>
      </w:pPr>
      <w:bookmarkStart w:id="16" w:name="_Toc62730568"/>
      <w:r>
        <w:rPr>
          <w:rFonts w:ascii="Arial" w:hAnsi="Arial" w:eastAsia="Calibri" w:cs="Arial"/>
          <w:color w:val="000000"/>
          <w:highlight w:val="none"/>
          <w:lang w:val="pl-PL"/>
        </w:rPr>
        <w:t xml:space="preserve">Naručilac: Ministarstvo finansija </w:t>
      </w:r>
    </w:p>
    <w:p>
      <w:pPr>
        <w:tabs>
          <w:tab w:val="right" w:pos="3402"/>
        </w:tabs>
        <w:spacing w:after="0" w:line="240" w:lineRule="auto"/>
        <w:jc w:val="both"/>
        <w:rPr>
          <w:rFonts w:hint="default" w:ascii="Arial" w:hAnsi="Arial" w:eastAsia="Calibri" w:cs="Arial"/>
          <w:highlight w:val="none"/>
          <w:lang w:val="sr-Latn-RS"/>
        </w:rPr>
      </w:pPr>
      <w:r>
        <w:rPr>
          <w:rFonts w:ascii="Arial" w:hAnsi="Arial" w:eastAsia="Calibri" w:cs="Arial"/>
          <w:highlight w:val="none"/>
          <w:lang w:val="pl-PL"/>
        </w:rPr>
        <w:t xml:space="preserve">Broj: </w:t>
      </w:r>
      <w:r>
        <w:rPr>
          <w:rFonts w:hint="default" w:ascii="Arial" w:hAnsi="Arial" w:eastAsia="Calibri" w:cs="Arial"/>
          <w:highlight w:val="none"/>
          <w:lang w:val="sr-Latn-RS"/>
        </w:rPr>
        <w:t>21-426/24-7438</w:t>
      </w:r>
      <w:bookmarkStart w:id="17" w:name="_GoBack"/>
      <w:bookmarkEnd w:id="17"/>
      <w:r>
        <w:rPr>
          <w:rFonts w:hint="default" w:ascii="Arial" w:hAnsi="Arial" w:eastAsia="Calibri" w:cs="Arial"/>
          <w:highlight w:val="none"/>
          <w:lang w:val="sr-Latn-RS"/>
        </w:rPr>
        <w:t>/1</w:t>
      </w:r>
    </w:p>
    <w:p>
      <w:pPr>
        <w:tabs>
          <w:tab w:val="right" w:pos="3402"/>
        </w:tabs>
        <w:spacing w:after="0" w:line="240" w:lineRule="auto"/>
        <w:rPr>
          <w:rFonts w:ascii="Arial" w:hAnsi="Arial" w:eastAsia="Calibri" w:cs="Arial"/>
          <w:highlight w:val="none"/>
          <w:lang w:val="pl-PL"/>
        </w:rPr>
      </w:pPr>
      <w:r>
        <w:rPr>
          <w:rFonts w:ascii="Arial" w:hAnsi="Arial" w:eastAsia="Calibri" w:cs="Arial"/>
          <w:highlight w:val="none"/>
          <w:lang w:val="pl-PL"/>
        </w:rPr>
        <w:t>Podgorica,</w:t>
      </w:r>
      <w:r>
        <w:rPr>
          <w:rFonts w:hint="default" w:ascii="Arial" w:hAnsi="Arial" w:eastAsia="Calibri" w:cs="Arial"/>
          <w:highlight w:val="none"/>
          <w:lang w:val="sr-Latn-RS"/>
        </w:rPr>
        <w:t>12.11</w:t>
      </w:r>
      <w:r>
        <w:rPr>
          <w:rFonts w:hint="default" w:ascii="Arial" w:hAnsi="Arial" w:eastAsia="Calibri" w:cs="Arial"/>
          <w:highlight w:val="none"/>
          <w:lang w:val="sr-Latn-ME"/>
        </w:rPr>
        <w:t>.2024.</w:t>
      </w:r>
      <w:r>
        <w:rPr>
          <w:rFonts w:ascii="Arial" w:hAnsi="Arial" w:eastAsia="Calibri" w:cs="Arial"/>
          <w:highlight w:val="none"/>
          <w:lang w:val="pl-PL"/>
        </w:rPr>
        <w:t xml:space="preserve"> godine</w:t>
      </w:r>
    </w:p>
    <w:p>
      <w:pPr>
        <w:spacing w:after="0" w:line="240" w:lineRule="auto"/>
        <w:jc w:val="both"/>
        <w:rPr>
          <w:rFonts w:ascii="Arial" w:hAnsi="Arial" w:eastAsia="Times New Roman" w:cs="Arial"/>
          <w:b/>
          <w:bCs/>
          <w:color w:val="000000"/>
          <w:highlight w:val="none"/>
          <w:lang w:val="sr-Latn-ME"/>
        </w:rPr>
      </w:pPr>
    </w:p>
    <w:p>
      <w:pPr>
        <w:tabs>
          <w:tab w:val="left" w:pos="3290"/>
        </w:tabs>
        <w:spacing w:after="0" w:line="240" w:lineRule="auto"/>
        <w:ind w:firstLine="708"/>
        <w:jc w:val="both"/>
        <w:rPr>
          <w:rFonts w:ascii="Arial" w:hAnsi="Arial" w:eastAsia="Times New Roman" w:cs="Arial"/>
          <w:color w:val="000000"/>
          <w:highlight w:val="none"/>
          <w:lang w:val="sr-Latn-ME"/>
        </w:rPr>
      </w:pPr>
      <w:r>
        <w:rPr>
          <w:rFonts w:ascii="Arial" w:hAnsi="Arial" w:eastAsia="Times New Roman" w:cs="Arial"/>
          <w:color w:val="000000"/>
          <w:highlight w:val="none"/>
          <w:lang w:val="sr-Latn-ME"/>
        </w:rPr>
        <w:t xml:space="preserve">U skladu sa članom 43 stav 1 Zakona o javnim nabavkama („Službeni list CG”, br.74/19, 3/23 i 11/23), </w:t>
      </w:r>
    </w:p>
    <w:p>
      <w:pPr>
        <w:tabs>
          <w:tab w:val="left" w:pos="3290"/>
        </w:tabs>
        <w:spacing w:after="0" w:line="240" w:lineRule="auto"/>
        <w:jc w:val="both"/>
        <w:rPr>
          <w:rFonts w:ascii="Arial" w:hAnsi="Arial" w:eastAsia="Times New Roman" w:cs="Arial"/>
          <w:color w:val="000000"/>
          <w:highlight w:val="none"/>
          <w:lang w:val="sr-Latn-ME"/>
        </w:rPr>
      </w:pPr>
    </w:p>
    <w:p>
      <w:pPr>
        <w:tabs>
          <w:tab w:val="left" w:pos="3290"/>
        </w:tabs>
        <w:spacing w:after="0" w:line="240" w:lineRule="auto"/>
        <w:jc w:val="both"/>
        <w:rPr>
          <w:rFonts w:ascii="Arial" w:hAnsi="Arial" w:eastAsia="Times New Roman" w:cs="Arial"/>
          <w:color w:val="000000"/>
          <w:highlight w:val="none"/>
          <w:lang w:val="sr-Latn-ME"/>
        </w:rPr>
      </w:pPr>
    </w:p>
    <w:p>
      <w:pPr>
        <w:tabs>
          <w:tab w:val="left" w:pos="3290"/>
        </w:tabs>
        <w:spacing w:after="0" w:line="240" w:lineRule="auto"/>
        <w:jc w:val="center"/>
        <w:rPr>
          <w:rFonts w:ascii="Arial" w:hAnsi="Arial" w:eastAsia="Times New Roman" w:cs="Arial"/>
          <w:b/>
          <w:bCs/>
          <w:color w:val="000000"/>
          <w:highlight w:val="none"/>
          <w:lang w:val="sr-Latn-ME"/>
        </w:rPr>
      </w:pPr>
      <w:r>
        <w:rPr>
          <w:rFonts w:ascii="Arial" w:hAnsi="Arial" w:eastAsia="Times New Roman" w:cs="Arial"/>
          <w:b/>
          <w:bCs/>
          <w:color w:val="000000"/>
          <w:highlight w:val="none"/>
          <w:lang w:val="sr-Latn-ME"/>
        </w:rPr>
        <w:t>Izjavljujem</w:t>
      </w:r>
    </w:p>
    <w:p>
      <w:pPr>
        <w:tabs>
          <w:tab w:val="left" w:pos="3290"/>
        </w:tabs>
        <w:spacing w:after="0" w:line="240" w:lineRule="auto"/>
        <w:jc w:val="both"/>
        <w:rPr>
          <w:rFonts w:ascii="Arial" w:hAnsi="Arial" w:eastAsia="Times New Roman" w:cs="Arial"/>
          <w:color w:val="000000"/>
          <w:highlight w:val="none"/>
          <w:lang w:val="sr-Latn-ME"/>
        </w:rPr>
      </w:pPr>
    </w:p>
    <w:p>
      <w:pPr>
        <w:tabs>
          <w:tab w:val="left" w:pos="3290"/>
        </w:tabs>
        <w:spacing w:after="0" w:line="240" w:lineRule="auto"/>
        <w:jc w:val="both"/>
        <w:rPr>
          <w:rFonts w:ascii="Arial" w:hAnsi="Arial" w:eastAsia="Calibri" w:cs="Arial"/>
          <w:highlight w:val="none"/>
          <w:lang w:val="sr-Latn-CS"/>
        </w:rPr>
      </w:pPr>
      <w:r>
        <w:rPr>
          <w:rFonts w:ascii="Arial" w:hAnsi="Arial" w:eastAsia="Times New Roman" w:cs="Arial"/>
          <w:color w:val="000000"/>
          <w:highlight w:val="none"/>
          <w:lang w:val="sr-Latn-ME"/>
        </w:rPr>
        <w:t xml:space="preserve">da u postupku javne nabavke redni broj 4 iz Plana javnih nabavki </w:t>
      </w:r>
      <w:r>
        <w:rPr>
          <w:rFonts w:hint="default" w:ascii="Arial" w:hAnsi="Arial" w:eastAsia="Times New Roman"/>
          <w:color w:val="000000"/>
          <w:highlight w:val="none"/>
          <w:lang w:val="sr-Latn-ME"/>
        </w:rPr>
        <w:t xml:space="preserve"> </w:t>
      </w:r>
      <w:r>
        <w:rPr>
          <w:rFonts w:hint="default" w:ascii="Arial" w:hAnsi="Arial" w:eastAsia="Times New Roman"/>
          <w:color w:val="000000"/>
          <w:highlight w:val="none"/>
          <w:lang w:val="sr-Latn-RS"/>
        </w:rPr>
        <w:t xml:space="preserve">broj 18-426/24-595/1 </w:t>
      </w:r>
      <w:r>
        <w:rPr>
          <w:rFonts w:hint="default" w:ascii="Arial" w:hAnsi="Arial" w:eastAsia="Times New Roman"/>
          <w:color w:val="000000"/>
          <w:highlight w:val="none"/>
          <w:lang w:val="sr-Latn-ME"/>
        </w:rPr>
        <w:t xml:space="preserve">od </w:t>
      </w:r>
      <w:r>
        <w:rPr>
          <w:rFonts w:hint="default" w:ascii="Arial" w:hAnsi="Arial" w:eastAsia="Times New Roman"/>
          <w:color w:val="000000"/>
          <w:highlight w:val="none"/>
          <w:lang w:val="sr-Latn-RS"/>
        </w:rPr>
        <w:t>30.01</w:t>
      </w:r>
      <w:r>
        <w:rPr>
          <w:rFonts w:hint="default" w:ascii="Arial" w:hAnsi="Arial" w:eastAsia="Times New Roman"/>
          <w:color w:val="000000"/>
          <w:highlight w:val="none"/>
          <w:lang w:val="sr-Latn-ME"/>
        </w:rPr>
        <w:t>.2024. godine, šifra plana 18936</w:t>
      </w:r>
      <w:r>
        <w:rPr>
          <w:rFonts w:ascii="Arial" w:hAnsi="Arial" w:eastAsia="Calibri" w:cs="Arial"/>
          <w:highlight w:val="none"/>
          <w:lang w:val="sr-Latn-CS"/>
        </w:rPr>
        <w:t>,</w:t>
      </w:r>
      <w:r>
        <w:rPr>
          <w:rFonts w:ascii="Arial" w:hAnsi="Arial" w:eastAsia="Times New Roman" w:cs="Arial"/>
          <w:color w:val="000000"/>
          <w:highlight w:val="none"/>
          <w:lang w:val="sr-Latn-ME"/>
        </w:rPr>
        <w:t xml:space="preserve"> za </w:t>
      </w:r>
      <w:r>
        <w:rPr>
          <w:rFonts w:ascii="Arial" w:hAnsi="Arial" w:eastAsia="Calibri" w:cs="Arial"/>
          <w:highlight w:val="none"/>
          <w:lang w:val="sr-Latn-CS"/>
        </w:rPr>
        <w:t xml:space="preserve">nabavku usluga </w:t>
      </w:r>
      <w:r>
        <w:rPr>
          <w:rFonts w:ascii="Arial" w:hAnsi="Arial" w:eastAsia="Calibri" w:cs="Arial"/>
          <w:highlight w:val="none"/>
          <w:lang w:val="sr-Latn-ME"/>
        </w:rPr>
        <w:t>održavanja SAP licenci</w:t>
      </w:r>
      <w:r>
        <w:rPr>
          <w:rFonts w:ascii="Arial" w:hAnsi="Arial" w:eastAsia="Times New Roman" w:cs="Arial"/>
          <w:color w:val="000000"/>
          <w:highlight w:val="none"/>
          <w:lang w:val="sr-Latn-ME"/>
        </w:rPr>
        <w:t>, nijesam u sukobu interesa u smislu člana 41 stav 1 tačka 1 Zakona o javnim nabavkama i da ne postoji ekonomski i drugi lični interes koji može uticati na moju nepristrasnost i nezavisnost u ovom postupku javne nabavke.</w:t>
      </w:r>
    </w:p>
    <w:p>
      <w:pPr>
        <w:tabs>
          <w:tab w:val="left" w:pos="3290"/>
        </w:tabs>
        <w:spacing w:after="0" w:line="240" w:lineRule="auto"/>
        <w:jc w:val="both"/>
        <w:rPr>
          <w:rFonts w:ascii="Arial" w:hAnsi="Arial" w:eastAsia="Times New Roman" w:cs="Arial"/>
          <w:color w:val="000000"/>
          <w:highlight w:val="none"/>
          <w:lang w:val="sr-Latn-ME"/>
        </w:rPr>
      </w:pPr>
    </w:p>
    <w:p>
      <w:pPr>
        <w:tabs>
          <w:tab w:val="left" w:pos="3290"/>
        </w:tabs>
        <w:spacing w:after="0" w:line="240" w:lineRule="auto"/>
        <w:jc w:val="both"/>
        <w:rPr>
          <w:rFonts w:ascii="Arial" w:hAnsi="Arial" w:eastAsia="Times New Roman" w:cs="Arial"/>
          <w:color w:val="000000"/>
          <w:highlight w:val="none"/>
          <w:lang w:val="sr-Latn-ME"/>
        </w:rPr>
      </w:pPr>
    </w:p>
    <w:p>
      <w:pPr>
        <w:spacing w:after="0" w:line="240" w:lineRule="auto"/>
        <w:ind w:firstLine="1134"/>
        <w:rPr>
          <w:rFonts w:ascii="Arial" w:hAnsi="Arial" w:eastAsia="Calibri" w:cs="Arial"/>
          <w:color w:val="000000"/>
          <w:highlight w:val="none"/>
          <w:lang w:val="sr-Latn-CS"/>
        </w:rPr>
      </w:pPr>
      <w:r>
        <w:rPr>
          <w:rFonts w:ascii="Arial" w:hAnsi="Arial" w:eastAsia="Calibri" w:cs="Arial"/>
          <w:color w:val="000000"/>
          <w:highlight w:val="none"/>
          <w:lang w:val="sr-Latn-CS"/>
        </w:rPr>
        <w:t xml:space="preserve">                         Ovlašćeno lice naručioca:                                   </w:t>
      </w:r>
    </w:p>
    <w:p>
      <w:pPr>
        <w:spacing w:after="0" w:line="240" w:lineRule="auto"/>
        <w:ind w:firstLine="1134"/>
        <w:jc w:val="center"/>
        <w:rPr>
          <w:rFonts w:ascii="Arial" w:hAnsi="Arial" w:eastAsia="Calibri" w:cs="Arial"/>
          <w:color w:val="000000"/>
          <w:highlight w:val="none"/>
          <w:lang w:val="sr-Latn-CS"/>
        </w:rPr>
      </w:pPr>
      <w:r>
        <w:rPr>
          <w:rFonts w:ascii="Arial" w:hAnsi="Arial" w:eastAsia="Calibri" w:cs="Arial"/>
          <w:color w:val="000000"/>
          <w:highlight w:val="none"/>
          <w:lang w:val="sr-Latn-CS"/>
        </w:rPr>
        <w:t xml:space="preserve">                                                                               </w:t>
      </w:r>
      <w:r>
        <w:rPr>
          <w:rFonts w:hint="default" w:ascii="Arial" w:hAnsi="Arial" w:eastAsia="Calibri" w:cs="Arial"/>
          <w:color w:val="000000"/>
          <w:highlight w:val="none"/>
          <w:lang w:val="sr-Latn-RS"/>
        </w:rPr>
        <w:t>Maja Mitrovi</w:t>
      </w:r>
      <w:r>
        <w:rPr>
          <w:rFonts w:hint="default" w:ascii="Arial" w:hAnsi="Arial" w:eastAsia="Calibri" w:cs="Arial"/>
          <w:color w:val="000000"/>
          <w:highlight w:val="none"/>
          <w:lang w:val="sr-Latn-ME"/>
        </w:rPr>
        <w:t>ć</w:t>
      </w:r>
      <w:r>
        <w:rPr>
          <w:rFonts w:ascii="Arial" w:hAnsi="Arial" w:eastAsia="Calibri" w:cs="Arial"/>
          <w:color w:val="000000"/>
          <w:highlight w:val="none"/>
          <w:lang w:val="sr-Latn-CS"/>
        </w:rPr>
        <w:t>, sekretarka</w:t>
      </w:r>
    </w:p>
    <w:p>
      <w:pPr>
        <w:spacing w:after="0" w:line="240" w:lineRule="auto"/>
        <w:ind w:left="5664" w:firstLine="708"/>
        <w:rPr>
          <w:rFonts w:ascii="Arial" w:hAnsi="Arial" w:eastAsia="Calibri" w:cs="Arial"/>
          <w:i/>
          <w:iCs/>
          <w:color w:val="000000"/>
          <w:highlight w:val="none"/>
        </w:rPr>
      </w:pPr>
      <w:r>
        <w:rPr>
          <w:rFonts w:ascii="Arial" w:hAnsi="Arial" w:eastAsia="Calibri" w:cs="Arial"/>
          <w:i/>
          <w:iCs/>
          <w:color w:val="000000"/>
          <w:highlight w:val="none"/>
          <w:lang w:val="sr-Latn-CS"/>
        </w:rPr>
        <w:t xml:space="preserve">                   s.r.</w:t>
      </w:r>
    </w:p>
    <w:p>
      <w:pPr>
        <w:spacing w:after="0" w:line="240" w:lineRule="auto"/>
        <w:jc w:val="right"/>
        <w:rPr>
          <w:rFonts w:ascii="Arial" w:hAnsi="Arial" w:eastAsia="Calibri" w:cs="Arial"/>
          <w:color w:val="000000"/>
          <w:highlight w:val="none"/>
        </w:rPr>
      </w:pPr>
    </w:p>
    <w:p>
      <w:pPr>
        <w:spacing w:after="0" w:line="240" w:lineRule="auto"/>
        <w:rPr>
          <w:rFonts w:ascii="Arial" w:hAnsi="Arial" w:eastAsia="Calibri" w:cs="Arial"/>
          <w:i/>
          <w:iCs/>
          <w:color w:val="000000"/>
          <w:highlight w:val="none"/>
          <w:lang w:val="sr-Latn-CS"/>
        </w:rPr>
      </w:pPr>
    </w:p>
    <w:p>
      <w:pPr>
        <w:spacing w:after="0" w:line="240" w:lineRule="auto"/>
        <w:rPr>
          <w:rFonts w:ascii="Arial" w:hAnsi="Arial" w:eastAsia="Calibri" w:cs="Arial"/>
          <w:iCs/>
          <w:color w:val="000000"/>
          <w:highlight w:val="none"/>
          <w:lang w:val="sr-Latn-CS"/>
        </w:rPr>
      </w:pPr>
      <w:r>
        <w:rPr>
          <w:rFonts w:ascii="Arial" w:hAnsi="Arial" w:eastAsia="Calibri" w:cs="Arial"/>
          <w:iCs/>
          <w:color w:val="000000"/>
          <w:highlight w:val="none"/>
          <w:lang w:val="sr-Latn-CS"/>
        </w:rPr>
        <w:t>Načelnica Službe za materijalno-finansijske, računovodstvene poslove i javne nabavke:</w:t>
      </w:r>
    </w:p>
    <w:p>
      <w:pPr>
        <w:spacing w:after="0" w:line="240" w:lineRule="auto"/>
        <w:jc w:val="center"/>
        <w:rPr>
          <w:rFonts w:hint="default" w:ascii="Arial" w:hAnsi="Arial" w:eastAsia="Calibri" w:cs="Arial"/>
          <w:iCs/>
          <w:color w:val="000000"/>
          <w:highlight w:val="none"/>
          <w:lang w:val="sr-Latn-ME"/>
        </w:rPr>
      </w:pPr>
      <w:r>
        <w:rPr>
          <w:rFonts w:ascii="Arial" w:hAnsi="Arial" w:eastAsia="Calibri" w:cs="Arial"/>
          <w:iCs/>
          <w:color w:val="000000"/>
          <w:highlight w:val="none"/>
          <w:lang w:val="sr-Latn-CS"/>
        </w:rPr>
        <w:t xml:space="preserve">                                                                                                            </w:t>
      </w:r>
      <w:r>
        <w:rPr>
          <w:rFonts w:hint="default" w:ascii="Arial" w:hAnsi="Arial" w:eastAsia="Calibri" w:cs="Arial"/>
          <w:iCs/>
          <w:color w:val="000000"/>
          <w:highlight w:val="none"/>
          <w:lang w:val="sr-Latn-ME"/>
        </w:rPr>
        <w:t>Ivana Šofranac</w:t>
      </w:r>
    </w:p>
    <w:p>
      <w:pPr>
        <w:tabs>
          <w:tab w:val="left" w:pos="8160"/>
        </w:tabs>
        <w:spacing w:after="0" w:line="240" w:lineRule="auto"/>
        <w:jc w:val="center"/>
        <w:rPr>
          <w:rFonts w:ascii="Arial" w:hAnsi="Arial" w:eastAsia="Calibri" w:cs="Arial"/>
          <w:i/>
          <w:color w:val="000000"/>
          <w:highlight w:val="none"/>
        </w:rPr>
      </w:pPr>
      <w:r>
        <w:rPr>
          <w:rFonts w:ascii="Arial" w:hAnsi="Arial" w:eastAsia="Calibri" w:cs="Arial"/>
          <w:color w:val="000000"/>
          <w:highlight w:val="none"/>
        </w:rPr>
        <w:t xml:space="preserve">                                                                                                         </w:t>
      </w:r>
      <w:r>
        <w:rPr>
          <w:rFonts w:ascii="Arial" w:hAnsi="Arial" w:eastAsia="Calibri" w:cs="Arial"/>
          <w:i/>
          <w:color w:val="000000"/>
          <w:highlight w:val="none"/>
        </w:rPr>
        <w:t>s.r.</w:t>
      </w:r>
    </w:p>
    <w:p>
      <w:pPr>
        <w:tabs>
          <w:tab w:val="left" w:pos="8160"/>
        </w:tabs>
        <w:spacing w:after="0" w:line="240" w:lineRule="auto"/>
        <w:jc w:val="center"/>
        <w:rPr>
          <w:rFonts w:ascii="Arial" w:hAnsi="Arial" w:eastAsia="Calibri" w:cs="Arial"/>
          <w:i/>
          <w:color w:val="000000"/>
          <w:highlight w:val="none"/>
        </w:rPr>
      </w:pPr>
    </w:p>
    <w:p>
      <w:pPr>
        <w:tabs>
          <w:tab w:val="left" w:pos="8160"/>
        </w:tabs>
        <w:spacing w:after="0" w:line="240" w:lineRule="auto"/>
        <w:jc w:val="center"/>
        <w:rPr>
          <w:rFonts w:ascii="Arial" w:hAnsi="Arial" w:eastAsia="Calibri" w:cs="Arial"/>
          <w:i/>
          <w:color w:val="000000"/>
          <w:highlight w:val="none"/>
        </w:rPr>
      </w:pPr>
    </w:p>
    <w:p>
      <w:pPr>
        <w:tabs>
          <w:tab w:val="left" w:pos="6405"/>
        </w:tabs>
        <w:spacing w:after="0" w:line="240" w:lineRule="auto"/>
        <w:rPr>
          <w:rFonts w:ascii="Arial" w:hAnsi="Arial" w:eastAsia="Calibri" w:cs="Arial"/>
          <w:color w:val="000000"/>
          <w:highlight w:val="none"/>
        </w:rPr>
      </w:pPr>
      <w:r>
        <w:rPr>
          <w:rFonts w:ascii="Arial" w:hAnsi="Arial" w:eastAsia="Calibri" w:cs="Arial"/>
          <w:color w:val="000000"/>
          <w:highlight w:val="none"/>
        </w:rPr>
        <w:t>Lica koja su učestvovala u planiranju javne nabavke:</w:t>
      </w:r>
    </w:p>
    <w:p>
      <w:pPr>
        <w:tabs>
          <w:tab w:val="left" w:pos="6405"/>
        </w:tabs>
        <w:spacing w:after="0" w:line="240" w:lineRule="auto"/>
        <w:rPr>
          <w:rFonts w:ascii="Arial" w:hAnsi="Arial" w:eastAsia="Calibri" w:cs="Arial"/>
          <w:color w:val="000000"/>
          <w:highlight w:val="none"/>
        </w:rPr>
      </w:pPr>
    </w:p>
    <w:p>
      <w:pPr>
        <w:tabs>
          <w:tab w:val="left" w:pos="6405"/>
        </w:tabs>
        <w:spacing w:after="0" w:line="240" w:lineRule="auto"/>
        <w:rPr>
          <w:rFonts w:ascii="Arial" w:hAnsi="Arial" w:eastAsia="Calibri" w:cs="Arial"/>
          <w:color w:val="000000"/>
          <w:highlight w:val="none"/>
          <w:lang w:val="it-IT"/>
        </w:rPr>
      </w:pPr>
      <w:r>
        <w:rPr>
          <w:rFonts w:ascii="Arial" w:hAnsi="Arial" w:eastAsia="Calibri" w:cs="Arial"/>
          <w:color w:val="000000"/>
          <w:highlight w:val="none"/>
        </w:rPr>
        <w:t xml:space="preserve">                                                                         G</w:t>
      </w:r>
      <w:r>
        <w:rPr>
          <w:rFonts w:ascii="Arial" w:hAnsi="Arial" w:eastAsia="Calibri" w:cs="Arial"/>
          <w:color w:val="000000"/>
          <w:highlight w:val="none"/>
          <w:lang w:val="it-IT"/>
        </w:rPr>
        <w:t>eneralni direktor Direktorata državnog trezora</w:t>
      </w:r>
    </w:p>
    <w:p>
      <w:pPr>
        <w:tabs>
          <w:tab w:val="left" w:pos="6405"/>
          <w:tab w:val="left" w:pos="8235"/>
          <w:tab w:val="right" w:pos="9360"/>
        </w:tabs>
        <w:spacing w:after="0" w:line="240" w:lineRule="auto"/>
        <w:rPr>
          <w:rFonts w:hint="default" w:ascii="Arial" w:hAnsi="Arial" w:eastAsia="Calibri" w:cs="Arial"/>
          <w:color w:val="000000"/>
          <w:highlight w:val="none"/>
          <w:lang w:val="sr-Latn-ME"/>
        </w:rPr>
      </w:pPr>
      <w:r>
        <w:rPr>
          <w:rFonts w:ascii="Arial" w:hAnsi="Arial" w:eastAsia="Calibri" w:cs="Arial"/>
          <w:color w:val="000000"/>
          <w:highlight w:val="none"/>
          <w:lang w:val="it-IT"/>
        </w:rPr>
        <w:t xml:space="preserve">                                                                                                                         </w:t>
      </w:r>
      <w:r>
        <w:rPr>
          <w:rFonts w:hint="default" w:ascii="Arial" w:hAnsi="Arial" w:eastAsia="Calibri" w:cs="Arial"/>
          <w:color w:val="000000"/>
          <w:highlight w:val="none"/>
          <w:lang w:val="sr-Latn-ME"/>
        </w:rPr>
        <w:t>Dragan Darmanović</w:t>
      </w:r>
    </w:p>
    <w:p>
      <w:pPr>
        <w:tabs>
          <w:tab w:val="left" w:pos="6405"/>
          <w:tab w:val="left" w:pos="6480"/>
          <w:tab w:val="left" w:pos="7200"/>
        </w:tabs>
        <w:spacing w:after="0" w:line="240" w:lineRule="auto"/>
        <w:rPr>
          <w:rFonts w:ascii="Arial" w:hAnsi="Arial" w:eastAsia="Calibri" w:cs="Arial"/>
          <w:i/>
          <w:color w:val="000000"/>
          <w:highlight w:val="none"/>
          <w:lang w:val="it-IT"/>
        </w:rPr>
      </w:pPr>
      <w:r>
        <w:rPr>
          <w:rFonts w:ascii="Arial" w:hAnsi="Arial" w:eastAsia="Calibri" w:cs="Arial"/>
          <w:color w:val="000000"/>
          <w:highlight w:val="none"/>
          <w:lang w:val="it-IT"/>
        </w:rPr>
        <w:t xml:space="preserve">                  </w:t>
      </w:r>
      <w:r>
        <w:rPr>
          <w:rFonts w:ascii="Arial" w:hAnsi="Arial" w:eastAsia="Calibri" w:cs="Arial"/>
          <w:color w:val="000000"/>
          <w:highlight w:val="none"/>
          <w:lang w:val="it-IT"/>
        </w:rPr>
        <w:tab/>
      </w:r>
      <w:r>
        <w:rPr>
          <w:rFonts w:ascii="Arial" w:hAnsi="Arial" w:eastAsia="Calibri" w:cs="Arial"/>
          <w:color w:val="000000"/>
          <w:highlight w:val="none"/>
          <w:lang w:val="it-IT"/>
        </w:rPr>
        <w:t xml:space="preserve">       </w:t>
      </w:r>
      <w:r>
        <w:rPr>
          <w:rFonts w:ascii="Arial" w:hAnsi="Arial" w:eastAsia="Calibri" w:cs="Arial"/>
          <w:color w:val="000000"/>
          <w:highlight w:val="none"/>
          <w:lang w:val="it-IT"/>
        </w:rPr>
        <w:tab/>
      </w:r>
      <w:r>
        <w:rPr>
          <w:rFonts w:ascii="Arial" w:hAnsi="Arial" w:eastAsia="Calibri" w:cs="Arial"/>
          <w:color w:val="000000"/>
          <w:highlight w:val="none"/>
          <w:lang w:val="it-IT"/>
        </w:rPr>
        <w:tab/>
      </w:r>
      <w:r>
        <w:rPr>
          <w:rFonts w:ascii="Arial" w:hAnsi="Arial" w:eastAsia="Calibri" w:cs="Arial"/>
          <w:color w:val="000000"/>
          <w:highlight w:val="none"/>
          <w:lang w:val="it-IT"/>
        </w:rPr>
        <w:t xml:space="preserve">  </w:t>
      </w:r>
      <w:r>
        <w:rPr>
          <w:rFonts w:ascii="Arial" w:hAnsi="Arial" w:eastAsia="Calibri" w:cs="Arial"/>
          <w:i/>
          <w:color w:val="000000"/>
          <w:highlight w:val="none"/>
          <w:lang w:val="it-IT"/>
        </w:rPr>
        <w:t>s.r.</w:t>
      </w:r>
    </w:p>
    <w:p>
      <w:pPr>
        <w:tabs>
          <w:tab w:val="left" w:pos="6405"/>
          <w:tab w:val="left" w:pos="6480"/>
          <w:tab w:val="left" w:pos="7200"/>
        </w:tabs>
        <w:spacing w:after="0" w:line="240" w:lineRule="auto"/>
        <w:rPr>
          <w:rFonts w:ascii="Arial" w:hAnsi="Arial" w:eastAsia="Calibri" w:cs="Arial"/>
          <w:i/>
          <w:color w:val="000000"/>
          <w:highlight w:val="none"/>
          <w:lang w:val="it-IT"/>
        </w:rPr>
      </w:pPr>
    </w:p>
    <w:p>
      <w:pPr>
        <w:tabs>
          <w:tab w:val="left" w:pos="6405"/>
        </w:tabs>
        <w:spacing w:after="0" w:line="240" w:lineRule="auto"/>
        <w:rPr>
          <w:rFonts w:ascii="Arial" w:hAnsi="Arial" w:eastAsia="Calibri" w:cs="Arial"/>
          <w:i/>
          <w:iCs/>
          <w:color w:val="000000"/>
          <w:highlight w:val="none"/>
          <w:lang w:val="sr-Latn-CS"/>
        </w:rPr>
      </w:pPr>
      <w:r>
        <w:rPr>
          <w:rFonts w:ascii="Arial" w:hAnsi="Arial" w:eastAsia="Calibri" w:cs="Arial"/>
          <w:color w:val="000000"/>
          <w:highlight w:val="none"/>
          <w:lang w:val="it-IT"/>
        </w:rPr>
        <w:t xml:space="preserve">                                                                                                 </w:t>
      </w:r>
    </w:p>
    <w:p>
      <w:pPr>
        <w:tabs>
          <w:tab w:val="left" w:pos="3290"/>
        </w:tabs>
        <w:spacing w:after="0" w:line="240" w:lineRule="auto"/>
        <w:rPr>
          <w:rFonts w:ascii="Arial" w:hAnsi="Arial" w:eastAsia="Times New Roman" w:cs="Arial"/>
          <w:iCs/>
          <w:color w:val="000000"/>
          <w:sz w:val="24"/>
          <w:szCs w:val="24"/>
          <w:highlight w:val="none"/>
        </w:rPr>
      </w:pPr>
      <w:r>
        <w:rPr>
          <w:rFonts w:ascii="Arial" w:hAnsi="Arial" w:eastAsia="Times New Roman" w:cs="Arial"/>
          <w:iCs/>
          <w:color w:val="000000"/>
          <w:sz w:val="24"/>
          <w:szCs w:val="24"/>
          <w:highlight w:val="none"/>
        </w:rPr>
        <w:t xml:space="preserve">                </w:t>
      </w:r>
    </w:p>
    <w:p>
      <w:pPr>
        <w:tabs>
          <w:tab w:val="left" w:pos="3290"/>
        </w:tabs>
        <w:spacing w:after="0" w:line="240" w:lineRule="auto"/>
        <w:rPr>
          <w:rFonts w:ascii="Arial" w:hAnsi="Arial" w:eastAsia="Times New Roman" w:cs="Arial"/>
          <w:iCs/>
          <w:color w:val="000000"/>
          <w:highlight w:val="none"/>
        </w:rPr>
      </w:pPr>
      <w:r>
        <w:rPr>
          <w:rFonts w:ascii="Arial" w:hAnsi="Arial" w:eastAsia="Times New Roman" w:cs="Arial"/>
          <w:iCs/>
          <w:color w:val="000000"/>
          <w:highlight w:val="none"/>
        </w:rPr>
        <w:t xml:space="preserve">Član komisije </w:t>
      </w:r>
      <w:r>
        <w:rPr>
          <w:rFonts w:ascii="Arial" w:hAnsi="Arial" w:eastAsia="Times New Roman" w:cs="Arial"/>
          <w:highlight w:val="none"/>
        </w:rPr>
        <w:t>za sprovođenje postupka javne nabavk</w:t>
      </w:r>
      <w:r>
        <w:rPr>
          <w:rFonts w:ascii="Arial" w:hAnsi="Arial" w:eastAsia="Times New Roman" w:cs="Arial"/>
          <w:iCs/>
          <w:color w:val="000000"/>
          <w:highlight w:val="none"/>
        </w:rPr>
        <w:t xml:space="preserve">e: Zorica Tadić, predsjednik, </w:t>
      </w:r>
    </w:p>
    <w:p>
      <w:pPr>
        <w:tabs>
          <w:tab w:val="left" w:pos="3290"/>
        </w:tabs>
        <w:spacing w:after="0" w:line="480" w:lineRule="auto"/>
        <w:rPr>
          <w:rFonts w:ascii="Arial" w:hAnsi="Arial" w:eastAsia="Times New Roman" w:cs="Arial"/>
          <w:iCs/>
          <w:color w:val="000000"/>
          <w:highlight w:val="none"/>
        </w:rPr>
      </w:pPr>
    </w:p>
    <w:p>
      <w:pPr>
        <w:tabs>
          <w:tab w:val="left" w:pos="3290"/>
        </w:tabs>
        <w:spacing w:after="0" w:line="480" w:lineRule="auto"/>
        <w:rPr>
          <w:rFonts w:ascii="Arial" w:hAnsi="Arial" w:eastAsia="Times New Roman" w:cs="Arial"/>
          <w:iCs/>
          <w:color w:val="000000"/>
          <w:highlight w:val="none"/>
        </w:rPr>
      </w:pPr>
      <w:r>
        <w:rPr>
          <w:rFonts w:ascii="Arial" w:hAnsi="Arial" w:eastAsia="Times New Roman" w:cs="Arial"/>
          <w:iCs/>
          <w:color w:val="000000"/>
          <w:highlight w:val="none"/>
        </w:rPr>
        <w:t xml:space="preserve">Član komisije </w:t>
      </w:r>
      <w:r>
        <w:rPr>
          <w:rFonts w:ascii="Arial" w:hAnsi="Arial" w:eastAsia="Times New Roman" w:cs="Arial"/>
          <w:highlight w:val="none"/>
        </w:rPr>
        <w:t>za sprovođenje postupka javne nabavk</w:t>
      </w:r>
      <w:r>
        <w:rPr>
          <w:rFonts w:ascii="Arial" w:hAnsi="Arial" w:eastAsia="Times New Roman" w:cs="Arial"/>
          <w:iCs/>
          <w:color w:val="000000"/>
          <w:highlight w:val="none"/>
        </w:rPr>
        <w:t xml:space="preserve">e: Ljeposava Pavlović, član, </w:t>
      </w:r>
    </w:p>
    <w:p>
      <w:pPr>
        <w:tabs>
          <w:tab w:val="left" w:pos="3290"/>
        </w:tabs>
        <w:spacing w:after="0" w:line="240" w:lineRule="auto"/>
        <w:rPr>
          <w:rFonts w:ascii="Arial" w:hAnsi="Arial" w:eastAsia="Times New Roman" w:cs="Arial"/>
          <w:i/>
          <w:iCs/>
          <w:color w:val="000000"/>
          <w:sz w:val="20"/>
          <w:szCs w:val="20"/>
          <w:highlight w:val="none"/>
        </w:rPr>
      </w:pPr>
      <w:r>
        <w:rPr>
          <w:rFonts w:ascii="Arial" w:hAnsi="Arial" w:eastAsia="Times New Roman" w:cs="Arial"/>
          <w:iCs/>
          <w:color w:val="000000"/>
          <w:highlight w:val="none"/>
        </w:rPr>
        <w:t xml:space="preserve">        </w:t>
      </w:r>
    </w:p>
    <w:p>
      <w:pPr>
        <w:tabs>
          <w:tab w:val="left" w:pos="3290"/>
        </w:tabs>
        <w:spacing w:after="0" w:line="480" w:lineRule="auto"/>
        <w:rPr>
          <w:rFonts w:ascii="Arial" w:hAnsi="Arial" w:eastAsia="Times New Roman" w:cs="Arial"/>
          <w:iCs/>
          <w:color w:val="000000"/>
          <w:highlight w:val="none"/>
        </w:rPr>
      </w:pPr>
      <w:r>
        <w:rPr>
          <w:rFonts w:ascii="Arial" w:hAnsi="Arial" w:eastAsia="Times New Roman" w:cs="Arial"/>
          <w:iCs/>
          <w:color w:val="000000"/>
          <w:highlight w:val="none"/>
        </w:rPr>
        <w:t xml:space="preserve">Član komisije </w:t>
      </w:r>
      <w:r>
        <w:rPr>
          <w:rFonts w:ascii="Arial" w:hAnsi="Arial" w:eastAsia="Times New Roman" w:cs="Arial"/>
          <w:highlight w:val="none"/>
        </w:rPr>
        <w:t>za sprovođenje postupka javne nabavk</w:t>
      </w:r>
      <w:r>
        <w:rPr>
          <w:rFonts w:ascii="Arial" w:hAnsi="Arial" w:eastAsia="Times New Roman" w:cs="Arial"/>
          <w:iCs/>
          <w:color w:val="000000"/>
          <w:highlight w:val="none"/>
        </w:rPr>
        <w:t xml:space="preserve">e: </w:t>
      </w:r>
      <w:r>
        <w:rPr>
          <w:rFonts w:hint="default" w:ascii="Arial" w:hAnsi="Arial" w:eastAsia="Times New Roman" w:cs="Arial"/>
          <w:iCs/>
          <w:color w:val="000000"/>
          <w:highlight w:val="none"/>
          <w:lang w:val="sr-Latn-ME"/>
        </w:rPr>
        <w:t>Dragan Prenkić</w:t>
      </w:r>
      <w:r>
        <w:rPr>
          <w:rFonts w:ascii="Arial" w:hAnsi="Arial" w:eastAsia="Times New Roman" w:cs="Arial"/>
          <w:iCs/>
          <w:color w:val="000000"/>
          <w:highlight w:val="none"/>
        </w:rPr>
        <w:t>,</w:t>
      </w:r>
      <w:r>
        <w:rPr>
          <w:rFonts w:hint="default" w:ascii="Arial" w:hAnsi="Arial" w:eastAsia="Times New Roman" w:cs="Arial"/>
          <w:iCs/>
          <w:color w:val="000000"/>
          <w:highlight w:val="none"/>
          <w:lang w:val="sr-Latn-ME"/>
        </w:rPr>
        <w:t xml:space="preserve"> </w:t>
      </w:r>
      <w:r>
        <w:rPr>
          <w:rFonts w:ascii="Arial" w:hAnsi="Arial" w:eastAsia="Times New Roman" w:cs="Arial"/>
          <w:iCs/>
          <w:color w:val="000000"/>
          <w:highlight w:val="none"/>
        </w:rPr>
        <w:t xml:space="preserve">član,          </w:t>
      </w:r>
    </w:p>
    <w:p>
      <w:pPr>
        <w:tabs>
          <w:tab w:val="left" w:pos="3290"/>
        </w:tabs>
        <w:spacing w:after="0" w:line="480" w:lineRule="auto"/>
        <w:rPr>
          <w:rFonts w:ascii="Arial" w:hAnsi="Arial" w:eastAsia="Times New Roman" w:cs="Arial"/>
          <w:iCs/>
          <w:color w:val="000000"/>
          <w:highlight w:val="none"/>
        </w:rPr>
      </w:pPr>
    </w:p>
    <w:p>
      <w:pPr>
        <w:tabs>
          <w:tab w:val="left" w:pos="3290"/>
        </w:tabs>
        <w:spacing w:after="0" w:line="480" w:lineRule="auto"/>
        <w:rPr>
          <w:rFonts w:ascii="Arial" w:hAnsi="Arial" w:eastAsia="Times New Roman" w:cs="Arial"/>
          <w:iCs/>
          <w:color w:val="000000"/>
          <w:highlight w:val="yellow"/>
        </w:rPr>
      </w:pPr>
    </w:p>
    <w:p>
      <w:pPr>
        <w:tabs>
          <w:tab w:val="left" w:pos="3290"/>
        </w:tabs>
        <w:spacing w:after="0" w:line="480" w:lineRule="auto"/>
        <w:rPr>
          <w:rFonts w:ascii="Arial" w:hAnsi="Arial" w:eastAsia="Times New Roman" w:cs="Arial"/>
          <w:iCs/>
          <w:color w:val="000000"/>
          <w:highlight w:val="yellow"/>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iCs/>
          <w:sz w:val="24"/>
          <w:szCs w:val="24"/>
          <w:lang w:val="sr-Latn-ME"/>
        </w:rPr>
      </w:pPr>
      <w:r>
        <w:rPr>
          <w:rFonts w:ascii="Arial" w:hAnsi="Arial" w:eastAsia="Times New Roman" w:cs="Times New Roman"/>
          <w:b/>
          <w:sz w:val="24"/>
          <w:szCs w:val="24"/>
          <w:lang w:val="sr-Latn-ME"/>
        </w:rPr>
        <w:t>15. UPUTSTVO O PRAVNOM SREDSTVU</w:t>
      </w:r>
      <w:bookmarkEnd w:id="16"/>
    </w:p>
    <w:p>
      <w:pPr>
        <w:tabs>
          <w:tab w:val="left" w:pos="5760"/>
        </w:tabs>
        <w:spacing w:after="0" w:line="240" w:lineRule="auto"/>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rPr>
      </w:pPr>
      <w:r>
        <w:rPr>
          <w:rFonts w:ascii="Arial" w:hAnsi="Arial" w:eastAsia="Times New Roman" w:cs="Arial"/>
          <w:color w:val="000000"/>
          <w:sz w:val="24"/>
          <w:szCs w:val="24"/>
          <w:lang w:val="sr-Latn-ME"/>
        </w:rPr>
        <w:t xml:space="preserve">    Privredni subjekat može da izjavi žalbu protiv ove tenderske dokumentacije Komisiji za zaštitu prava</w:t>
      </w:r>
      <w:r>
        <w:rPr>
          <w:rFonts w:ascii="Arial" w:hAnsi="Arial" w:eastAsia="Times New Roman" w:cs="Arial"/>
          <w:color w:val="000000"/>
          <w:sz w:val="24"/>
          <w:szCs w:val="24"/>
        </w:rPr>
        <w:t>:</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pPr>
        <w:tabs>
          <w:tab w:val="left" w:pos="5760"/>
        </w:tabs>
        <w:spacing w:after="0" w:line="240" w:lineRule="auto"/>
        <w:jc w:val="both"/>
        <w:rPr>
          <w:rFonts w:ascii="Arial" w:hAnsi="Arial" w:eastAsia="Times New Roman" w:cs="Arial"/>
          <w:color w:val="000000"/>
          <w:sz w:val="24"/>
          <w:szCs w:val="24"/>
          <w:lang w:val="sr-Latn-ME"/>
        </w:rPr>
      </w:pPr>
    </w:p>
    <w:p>
      <w:pPr>
        <w:autoSpaceDE w:val="0"/>
        <w:autoSpaceDN w:val="0"/>
        <w:adjustRightInd w:val="0"/>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Žalba se izjavljuje preko naručioca neposredno putem ESJN-a. Žalba koja nije podnesena na naprijed predviđeni način biće odbijena kao nedozvoljena.</w:t>
      </w:r>
    </w:p>
    <w:p>
      <w:pPr>
        <w:autoSpaceDE w:val="0"/>
        <w:autoSpaceDN w:val="0"/>
        <w:adjustRightInd w:val="0"/>
        <w:spacing w:after="0" w:line="240" w:lineRule="auto"/>
        <w:ind w:firstLine="567"/>
        <w:jc w:val="both"/>
        <w:rPr>
          <w:rFonts w:ascii="Arial" w:hAnsi="Arial" w:eastAsia="Times New Roman" w:cs="Arial"/>
          <w:color w:val="000000"/>
          <w:sz w:val="24"/>
          <w:szCs w:val="24"/>
          <w:lang w:val="sr-Latn-ME"/>
        </w:rPr>
      </w:pPr>
    </w:p>
    <w:p>
      <w:pPr>
        <w:autoSpaceDE w:val="0"/>
        <w:autoSpaceDN w:val="0"/>
        <w:adjustRightInd w:val="0"/>
        <w:spacing w:after="0" w:line="240" w:lineRule="auto"/>
        <w:jc w:val="both"/>
        <w:rPr>
          <w:rFonts w:ascii="Arial" w:hAnsi="Arial" w:eastAsia="Times New Roman" w:cs="Arial"/>
          <w:color w:val="000000"/>
          <w:sz w:val="24"/>
          <w:szCs w:val="24"/>
          <w:highlight w:val="yellow"/>
          <w:lang w:val="sr-Latn-ME"/>
        </w:rPr>
      </w:pPr>
      <w:r>
        <w:rPr>
          <w:rFonts w:ascii="Arial" w:hAnsi="Arial" w:eastAsia="Times New Roman" w:cs="Arial"/>
          <w:color w:val="000000"/>
          <w:sz w:val="24"/>
          <w:szCs w:val="24"/>
          <w:lang w:val="sr-Latn-ME"/>
        </w:rPr>
        <w:t xml:space="preserve">    Podnosilac žalbe je dužan da uz žalbu priloži dokaz o uplati naknade za vođenje postupka u iznosu od 1% od procijenjene vrijednosti javne nabavke, a najviše 20.000,00 eura, na žiro račun Komisije za zaštitu prava broj 530-20240-15 kod NLB Montenegro banke A.D.</w:t>
      </w: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Ukoliko je predmet nabavke podijeljen po partijama, a žalba se odnosi samo na određenu/e partiju/e, naknada se plaća u iznosu 1% od procijenjene vrijednosti javne nabavke te/tih partije/a.</w:t>
      </w: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Fonts w:ascii="Arial" w:hAnsi="Arial" w:eastAsia="Times New Roman" w:cs="Arial"/>
          <w:color w:val="0000FF"/>
          <w:sz w:val="24"/>
          <w:szCs w:val="24"/>
          <w:u w:val="single"/>
          <w:lang w:val="sr-Latn-ME"/>
        </w:rPr>
        <w:t>http://www.kontrola-nabavki.me/</w:t>
      </w:r>
      <w:r>
        <w:rPr>
          <w:rFonts w:ascii="Arial" w:hAnsi="Arial" w:eastAsia="Times New Roman" w:cs="Arial"/>
          <w:color w:val="0000FF"/>
          <w:sz w:val="24"/>
          <w:szCs w:val="24"/>
          <w:u w:val="single"/>
          <w:lang w:val="sr-Latn-ME"/>
        </w:rPr>
        <w:fldChar w:fldCharType="end"/>
      </w:r>
      <w:r>
        <w:rPr>
          <w:rFonts w:ascii="Arial" w:hAnsi="Arial" w:eastAsia="Times New Roman" w:cs="Arial"/>
          <w:color w:val="000000"/>
          <w:sz w:val="24"/>
          <w:szCs w:val="24"/>
          <w:lang w:val="sr-Latn-ME"/>
        </w:rPr>
        <w:t>.“.</w:t>
      </w: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lang w:val="sr-Latn-ME"/>
        </w:rPr>
      </w:pPr>
    </w:p>
    <w:p/>
    <w:sectPr>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6">
    <w:p>
      <w:pPr>
        <w:spacing w:before="0" w:after="0" w:line="259" w:lineRule="auto"/>
      </w:pPr>
      <w:r>
        <w:separator/>
      </w:r>
    </w:p>
  </w:footnote>
  <w:footnote w:type="continuationSeparator" w:id="17">
    <w:p>
      <w:pPr>
        <w:spacing w:before="0" w:after="0" w:line="259" w:lineRule="auto"/>
      </w:pPr>
      <w:r>
        <w:continuationSeparator/>
      </w:r>
    </w:p>
  </w:footnote>
  <w:footnote w:id="0">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1">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2">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3">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4">
    <w:p>
      <w:pPr>
        <w:pStyle w:val="10"/>
        <w:jc w:val="both"/>
        <w:rPr>
          <w:rFonts w:ascii="Arial" w:hAnsi="Arial" w:cs="Arial"/>
          <w:sz w:val="16"/>
          <w:szCs w:val="16"/>
          <w:lang w:val="sr-Latn-ME"/>
        </w:rPr>
      </w:pPr>
      <w:r>
        <w:rPr>
          <w:rStyle w:val="9"/>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5">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6">
    <w:p>
      <w:pPr>
        <w:pStyle w:val="10"/>
        <w:jc w:val="both"/>
        <w:rPr>
          <w:rFonts w:ascii="Arial" w:hAnsi="Arial" w:cs="Arial"/>
          <w:sz w:val="14"/>
          <w:szCs w:val="14"/>
          <w:lang w:val="sr-Latn-ME"/>
        </w:rPr>
      </w:pPr>
      <w:r>
        <w:rPr>
          <w:rStyle w:val="9"/>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7">
    <w:p>
      <w:pPr>
        <w:jc w:val="both"/>
        <w:rPr>
          <w:rFonts w:ascii="Arial" w:hAnsi="Arial" w:cs="Arial"/>
          <w:color w:val="000000"/>
          <w:sz w:val="16"/>
          <w:szCs w:val="16"/>
        </w:rPr>
      </w:pPr>
      <w:r>
        <w:rPr>
          <w:rStyle w:val="9"/>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1">
    <w:nsid w:val="176829A7"/>
    <w:multiLevelType w:val="multilevel"/>
    <w:tmpl w:val="176829A7"/>
    <w:lvl w:ilvl="0" w:tentative="0">
      <w:start w:val="0"/>
      <w:numFmt w:val="bullet"/>
      <w:lvlText w:val="-"/>
      <w:lvlJc w:val="left"/>
      <w:pPr>
        <w:ind w:left="360" w:hanging="360"/>
      </w:pPr>
      <w:rPr>
        <w:rFonts w:hint="default" w:ascii="Arial" w:hAnsi="Arial" w:eastAsia="Calibri" w:cs="Arial"/>
      </w:rPr>
    </w:lvl>
    <w:lvl w:ilvl="1" w:tentative="0">
      <w:start w:val="1"/>
      <w:numFmt w:val="bullet"/>
      <w:lvlText w:val="o"/>
      <w:lvlJc w:val="left"/>
      <w:pPr>
        <w:ind w:left="1440" w:hanging="360"/>
      </w:pPr>
      <w:rPr>
        <w:rFonts w:hint="default" w:ascii="Courier New" w:hAnsi="Courier New" w:cs="Courier New"/>
      </w:rPr>
    </w:lvl>
    <w:lvl w:ilvl="2" w:tentative="0">
      <w:start w:val="0"/>
      <w:numFmt w:val="bullet"/>
      <w:lvlText w:val="-"/>
      <w:lvlJc w:val="left"/>
      <w:pPr>
        <w:ind w:left="2160" w:hanging="360"/>
      </w:pPr>
      <w:rPr>
        <w:rFonts w:hint="default" w:ascii="Arial" w:hAnsi="Arial" w:eastAsia="Calibri" w:cs="Arial"/>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5363574F"/>
    <w:multiLevelType w:val="multilevel"/>
    <w:tmpl w:val="5363574F"/>
    <w:lvl w:ilvl="0" w:tentative="0">
      <w:start w:val="18"/>
      <w:numFmt w:val="bullet"/>
      <w:lvlText w:val="-"/>
      <w:lvlJc w:val="left"/>
      <w:pPr>
        <w:ind w:left="1800" w:hanging="360"/>
      </w:pPr>
      <w:rPr>
        <w:rFonts w:hint="default" w:ascii="Times New Roman" w:hAnsi="Times New Roman" w:eastAsia="Times New Roman"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3">
    <w:nsid w:val="61234FFF"/>
    <w:multiLevelType w:val="multilevel"/>
    <w:tmpl w:val="61234FFF"/>
    <w:lvl w:ilvl="0" w:tentative="0">
      <w:start w:val="18"/>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4">
    <w:nsid w:val="6764291E"/>
    <w:multiLevelType w:val="multilevel"/>
    <w:tmpl w:val="6764291E"/>
    <w:lvl w:ilvl="0" w:tentative="0">
      <w:start w:val="1"/>
      <w:numFmt w:val="decimal"/>
      <w:lvlText w:val="%1."/>
      <w:lvlJc w:val="left"/>
      <w:pPr>
        <w:ind w:left="108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A44128F"/>
    <w:multiLevelType w:val="multilevel"/>
    <w:tmpl w:val="6A44128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6EAE6A37"/>
    <w:multiLevelType w:val="multilevel"/>
    <w:tmpl w:val="6EAE6A37"/>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 w:numId="2">
    <w:abstractNumId w:val="2"/>
  </w:num>
  <w:num w:numId="3">
    <w:abstractNumId w:val="3"/>
  </w:num>
  <w:num w:numId="4">
    <w:abstractNumId w:val="4"/>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16"/>
    <w:footnote w:id="17"/>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1E2"/>
    <w:rsid w:val="00041399"/>
    <w:rsid w:val="00051E7D"/>
    <w:rsid w:val="00061B98"/>
    <w:rsid w:val="00064CB2"/>
    <w:rsid w:val="000829C9"/>
    <w:rsid w:val="00094244"/>
    <w:rsid w:val="00095E6A"/>
    <w:rsid w:val="000A1F38"/>
    <w:rsid w:val="000A2E6B"/>
    <w:rsid w:val="000B1411"/>
    <w:rsid w:val="000E5130"/>
    <w:rsid w:val="00102DCC"/>
    <w:rsid w:val="00113ECC"/>
    <w:rsid w:val="001252CA"/>
    <w:rsid w:val="001629FC"/>
    <w:rsid w:val="001637BB"/>
    <w:rsid w:val="00194F62"/>
    <w:rsid w:val="001A02EB"/>
    <w:rsid w:val="001B5949"/>
    <w:rsid w:val="001C00F8"/>
    <w:rsid w:val="001C1C59"/>
    <w:rsid w:val="001D3749"/>
    <w:rsid w:val="001D64EA"/>
    <w:rsid w:val="001F54F1"/>
    <w:rsid w:val="00246961"/>
    <w:rsid w:val="0025046E"/>
    <w:rsid w:val="0026331D"/>
    <w:rsid w:val="00272FFB"/>
    <w:rsid w:val="002812FB"/>
    <w:rsid w:val="0028395A"/>
    <w:rsid w:val="00285E8F"/>
    <w:rsid w:val="002A4077"/>
    <w:rsid w:val="002B070B"/>
    <w:rsid w:val="00306EE1"/>
    <w:rsid w:val="003137DB"/>
    <w:rsid w:val="00347864"/>
    <w:rsid w:val="003A2AF7"/>
    <w:rsid w:val="003B0FA7"/>
    <w:rsid w:val="003D252F"/>
    <w:rsid w:val="003E0703"/>
    <w:rsid w:val="003E4931"/>
    <w:rsid w:val="00412386"/>
    <w:rsid w:val="00413720"/>
    <w:rsid w:val="00416A86"/>
    <w:rsid w:val="00443ADF"/>
    <w:rsid w:val="00445F5A"/>
    <w:rsid w:val="0045709C"/>
    <w:rsid w:val="00457C21"/>
    <w:rsid w:val="00463E1B"/>
    <w:rsid w:val="004A6D3C"/>
    <w:rsid w:val="004B7984"/>
    <w:rsid w:val="004C2D42"/>
    <w:rsid w:val="004E5ED9"/>
    <w:rsid w:val="004E7352"/>
    <w:rsid w:val="00545B4A"/>
    <w:rsid w:val="0055551F"/>
    <w:rsid w:val="005811D6"/>
    <w:rsid w:val="005A1673"/>
    <w:rsid w:val="005B30E9"/>
    <w:rsid w:val="005C2C04"/>
    <w:rsid w:val="005E379F"/>
    <w:rsid w:val="00657AE4"/>
    <w:rsid w:val="006A212B"/>
    <w:rsid w:val="006B7DA8"/>
    <w:rsid w:val="0078302A"/>
    <w:rsid w:val="007867ED"/>
    <w:rsid w:val="00793085"/>
    <w:rsid w:val="00795128"/>
    <w:rsid w:val="007959B1"/>
    <w:rsid w:val="007B326E"/>
    <w:rsid w:val="007F016B"/>
    <w:rsid w:val="007F064D"/>
    <w:rsid w:val="007F0910"/>
    <w:rsid w:val="007F099B"/>
    <w:rsid w:val="007F7336"/>
    <w:rsid w:val="00830ED1"/>
    <w:rsid w:val="0083691F"/>
    <w:rsid w:val="00871A3A"/>
    <w:rsid w:val="008C7411"/>
    <w:rsid w:val="008C76B4"/>
    <w:rsid w:val="008D1F99"/>
    <w:rsid w:val="008D568B"/>
    <w:rsid w:val="00930A55"/>
    <w:rsid w:val="00935A3C"/>
    <w:rsid w:val="00957E51"/>
    <w:rsid w:val="00964B62"/>
    <w:rsid w:val="009673A6"/>
    <w:rsid w:val="00971177"/>
    <w:rsid w:val="009722D6"/>
    <w:rsid w:val="00977C56"/>
    <w:rsid w:val="00977F8F"/>
    <w:rsid w:val="0098135C"/>
    <w:rsid w:val="0098197B"/>
    <w:rsid w:val="009C4391"/>
    <w:rsid w:val="009E0AF6"/>
    <w:rsid w:val="009F2E7F"/>
    <w:rsid w:val="009F3410"/>
    <w:rsid w:val="00A03E4A"/>
    <w:rsid w:val="00A06A1D"/>
    <w:rsid w:val="00A369BE"/>
    <w:rsid w:val="00A44B78"/>
    <w:rsid w:val="00A54BE0"/>
    <w:rsid w:val="00A81CC3"/>
    <w:rsid w:val="00A967CE"/>
    <w:rsid w:val="00AB48E5"/>
    <w:rsid w:val="00AC73A6"/>
    <w:rsid w:val="00AD4B09"/>
    <w:rsid w:val="00AD6ECA"/>
    <w:rsid w:val="00AE7923"/>
    <w:rsid w:val="00AF385F"/>
    <w:rsid w:val="00B02F55"/>
    <w:rsid w:val="00B22AF1"/>
    <w:rsid w:val="00B4041F"/>
    <w:rsid w:val="00B43933"/>
    <w:rsid w:val="00B45485"/>
    <w:rsid w:val="00B50606"/>
    <w:rsid w:val="00B76CEA"/>
    <w:rsid w:val="00B9733D"/>
    <w:rsid w:val="00BD62E4"/>
    <w:rsid w:val="00BE0BBC"/>
    <w:rsid w:val="00BE2F98"/>
    <w:rsid w:val="00BF221D"/>
    <w:rsid w:val="00BF2E70"/>
    <w:rsid w:val="00BF51E2"/>
    <w:rsid w:val="00C25853"/>
    <w:rsid w:val="00C4104E"/>
    <w:rsid w:val="00C4628F"/>
    <w:rsid w:val="00C47618"/>
    <w:rsid w:val="00C5658A"/>
    <w:rsid w:val="00C56723"/>
    <w:rsid w:val="00CA129B"/>
    <w:rsid w:val="00CC1376"/>
    <w:rsid w:val="00CC7355"/>
    <w:rsid w:val="00CD769D"/>
    <w:rsid w:val="00CF380C"/>
    <w:rsid w:val="00D16305"/>
    <w:rsid w:val="00D4539F"/>
    <w:rsid w:val="00D55B8E"/>
    <w:rsid w:val="00DC37E9"/>
    <w:rsid w:val="00DD4AD8"/>
    <w:rsid w:val="00DD4F37"/>
    <w:rsid w:val="00DE34BF"/>
    <w:rsid w:val="00DE37A4"/>
    <w:rsid w:val="00E03B04"/>
    <w:rsid w:val="00E15A9C"/>
    <w:rsid w:val="00E270ED"/>
    <w:rsid w:val="00E369E8"/>
    <w:rsid w:val="00E53679"/>
    <w:rsid w:val="00E60A6A"/>
    <w:rsid w:val="00E62B12"/>
    <w:rsid w:val="00EA30DD"/>
    <w:rsid w:val="00EA7F59"/>
    <w:rsid w:val="00EE1B13"/>
    <w:rsid w:val="00EE5AFE"/>
    <w:rsid w:val="00F47A85"/>
    <w:rsid w:val="00F80A87"/>
    <w:rsid w:val="00FC6EE6"/>
    <w:rsid w:val="00FD4599"/>
    <w:rsid w:val="244E2AA1"/>
    <w:rsid w:val="389E3AE4"/>
    <w:rsid w:val="3CD628EE"/>
    <w:rsid w:val="522B2047"/>
    <w:rsid w:val="64150433"/>
    <w:rsid w:val="75605017"/>
    <w:rsid w:val="76A84425"/>
    <w:rsid w:val="7DA21299"/>
    <w:rsid w:val="7E734F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8"/>
    <w:semiHidden/>
    <w:unhideWhenUsed/>
    <w:qFormat/>
    <w:uiPriority w:val="99"/>
    <w:pPr>
      <w:spacing w:after="0" w:line="240" w:lineRule="auto"/>
    </w:pPr>
    <w:rPr>
      <w:rFonts w:ascii="Segoe UI" w:hAnsi="Segoe UI" w:cs="Segoe UI"/>
      <w:sz w:val="18"/>
      <w:szCs w:val="18"/>
    </w:rPr>
  </w:style>
  <w:style w:type="character" w:styleId="5">
    <w:name w:val="annotation reference"/>
    <w:basedOn w:val="2"/>
    <w:semiHidden/>
    <w:unhideWhenUsed/>
    <w:qFormat/>
    <w:uiPriority w:val="99"/>
    <w:rPr>
      <w:sz w:val="16"/>
      <w:szCs w:val="16"/>
    </w:rPr>
  </w:style>
  <w:style w:type="paragraph" w:styleId="6">
    <w:name w:val="annotation text"/>
    <w:basedOn w:val="1"/>
    <w:link w:val="16"/>
    <w:semiHidden/>
    <w:unhideWhenUsed/>
    <w:qFormat/>
    <w:uiPriority w:val="99"/>
    <w:pPr>
      <w:spacing w:line="240" w:lineRule="auto"/>
    </w:pPr>
    <w:rPr>
      <w:sz w:val="20"/>
      <w:szCs w:val="20"/>
    </w:rPr>
  </w:style>
  <w:style w:type="paragraph" w:styleId="7">
    <w:name w:val="annotation subject"/>
    <w:basedOn w:val="6"/>
    <w:next w:val="6"/>
    <w:link w:val="17"/>
    <w:semiHidden/>
    <w:unhideWhenUsed/>
    <w:qFormat/>
    <w:uiPriority w:val="99"/>
    <w:rPr>
      <w:b/>
      <w:bCs/>
    </w:rPr>
  </w:style>
  <w:style w:type="paragraph" w:styleId="8">
    <w:name w:val="footer"/>
    <w:basedOn w:val="1"/>
    <w:link w:val="15"/>
    <w:unhideWhenUsed/>
    <w:qFormat/>
    <w:uiPriority w:val="99"/>
    <w:pPr>
      <w:tabs>
        <w:tab w:val="center" w:pos="4680"/>
        <w:tab w:val="right" w:pos="9360"/>
      </w:tabs>
      <w:spacing w:after="0" w:line="240" w:lineRule="auto"/>
    </w:pPr>
  </w:style>
  <w:style w:type="character" w:styleId="9">
    <w:name w:val="footnote reference"/>
    <w:unhideWhenUsed/>
    <w:qFormat/>
    <w:uiPriority w:val="99"/>
    <w:rPr>
      <w:vertAlign w:val="superscript"/>
    </w:rPr>
  </w:style>
  <w:style w:type="paragraph" w:styleId="10">
    <w:name w:val="footnote text"/>
    <w:basedOn w:val="1"/>
    <w:link w:val="12"/>
    <w:unhideWhenUsed/>
    <w:qFormat/>
    <w:uiPriority w:val="99"/>
    <w:pPr>
      <w:spacing w:after="0" w:line="240" w:lineRule="auto"/>
    </w:pPr>
    <w:rPr>
      <w:rFonts w:ascii="Calibri" w:hAnsi="Calibri" w:eastAsia="Calibri" w:cs="Times New Roman"/>
      <w:sz w:val="20"/>
      <w:szCs w:val="20"/>
    </w:rPr>
  </w:style>
  <w:style w:type="paragraph" w:styleId="11">
    <w:name w:val="header"/>
    <w:basedOn w:val="1"/>
    <w:link w:val="14"/>
    <w:unhideWhenUsed/>
    <w:qFormat/>
    <w:uiPriority w:val="99"/>
    <w:pPr>
      <w:tabs>
        <w:tab w:val="center" w:pos="4680"/>
        <w:tab w:val="right" w:pos="9360"/>
      </w:tabs>
      <w:spacing w:after="0" w:line="240" w:lineRule="auto"/>
    </w:pPr>
  </w:style>
  <w:style w:type="character" w:customStyle="1" w:styleId="12">
    <w:name w:val="Footnote Text Char"/>
    <w:basedOn w:val="2"/>
    <w:link w:val="10"/>
    <w:qFormat/>
    <w:uiPriority w:val="99"/>
    <w:rPr>
      <w:rFonts w:ascii="Calibri" w:hAnsi="Calibri" w:eastAsia="Calibri" w:cs="Times New Roman"/>
      <w:sz w:val="20"/>
      <w:szCs w:val="20"/>
    </w:rPr>
  </w:style>
  <w:style w:type="paragraph" w:styleId="13">
    <w:name w:val="List Paragraph"/>
    <w:basedOn w:val="1"/>
    <w:qFormat/>
    <w:uiPriority w:val="34"/>
    <w:pPr>
      <w:ind w:left="720"/>
      <w:contextualSpacing/>
    </w:pPr>
  </w:style>
  <w:style w:type="character" w:customStyle="1" w:styleId="14">
    <w:name w:val="Header Char"/>
    <w:basedOn w:val="2"/>
    <w:link w:val="11"/>
    <w:qFormat/>
    <w:uiPriority w:val="99"/>
  </w:style>
  <w:style w:type="character" w:customStyle="1" w:styleId="15">
    <w:name w:val="Footer Char"/>
    <w:basedOn w:val="2"/>
    <w:link w:val="8"/>
    <w:qFormat/>
    <w:uiPriority w:val="99"/>
  </w:style>
  <w:style w:type="character" w:customStyle="1" w:styleId="16">
    <w:name w:val="Comment Text Char"/>
    <w:basedOn w:val="2"/>
    <w:link w:val="6"/>
    <w:semiHidden/>
    <w:qFormat/>
    <w:uiPriority w:val="99"/>
    <w:rPr>
      <w:sz w:val="20"/>
      <w:szCs w:val="20"/>
    </w:rPr>
  </w:style>
  <w:style w:type="character" w:customStyle="1" w:styleId="17">
    <w:name w:val="Comment Subject Char"/>
    <w:basedOn w:val="16"/>
    <w:link w:val="7"/>
    <w:semiHidden/>
    <w:qFormat/>
    <w:uiPriority w:val="99"/>
    <w:rPr>
      <w:b/>
      <w:bCs/>
      <w:sz w:val="20"/>
      <w:szCs w:val="20"/>
    </w:rPr>
  </w:style>
  <w:style w:type="character" w:customStyle="1" w:styleId="18">
    <w:name w:val="Balloon Text Char"/>
    <w:basedOn w:val="2"/>
    <w:link w:val="4"/>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2531</Words>
  <Characters>14430</Characters>
  <Lines>120</Lines>
  <Paragraphs>33</Paragraphs>
  <TotalTime>31</TotalTime>
  <ScaleCrop>false</ScaleCrop>
  <LinksUpToDate>false</LinksUpToDate>
  <CharactersWithSpaces>16928</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2023-04-06T11:20:00Z</dcterms:created>
  <dc:creator>Sanja Bakic</dc:creator>
  <cp:lastModifiedBy>Dragan Prenkic</cp:lastModifiedBy>
  <cp:lastPrinted>2024-11-07T08:20:00Z</cp:lastPrinted>
  <dcterms:modified xsi:type="dcterms:W3CDTF">2024-11-12T08:09:43Z</dcterms:modified>
  <cp:revision>110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4EEB5B7D33E24687BDECF5C801567C9E</vt:lpwstr>
  </property>
</Properties>
</file>