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right"/>
        <w:rPr>
          <w:rFonts w:ascii="Arial" w:hAnsi="Arial" w:eastAsia="Times New Roman" w:cs="Arial"/>
          <w:b/>
          <w:color w:val="000000"/>
          <w:sz w:val="24"/>
          <w:szCs w:val="24"/>
          <w:lang w:val="sr-Latn-ME"/>
        </w:rPr>
      </w:pPr>
      <w:r>
        <w:rPr>
          <w:rFonts w:ascii="Arial" w:hAnsi="Arial" w:eastAsia="Times New Roman" w:cs="Arial"/>
          <w:b/>
          <w:color w:val="000000"/>
          <w:sz w:val="24"/>
          <w:szCs w:val="24"/>
          <w:lang w:val="sr-Latn-ME"/>
        </w:rPr>
        <w:t xml:space="preserve">OBRAZAC 1  </w:t>
      </w:r>
    </w:p>
    <w:p>
      <w:pPr>
        <w:spacing w:after="0" w:line="240" w:lineRule="auto"/>
        <w:rPr>
          <w:rFonts w:ascii="Arial" w:hAnsi="Arial" w:eastAsia="Times New Roman" w:cs="Arial"/>
          <w:color w:val="000000"/>
          <w:sz w:val="24"/>
          <w:szCs w:val="24"/>
          <w:lang w:val="sr-Latn-ME"/>
        </w:rPr>
      </w:pPr>
    </w:p>
    <w:p>
      <w:pPr>
        <w:tabs>
          <w:tab w:val="right" w:pos="9072"/>
        </w:tabs>
        <w:spacing w:after="0"/>
        <w:rPr>
          <w:rFonts w:ascii="Arial" w:hAnsi="Arial" w:eastAsia="Calibri" w:cs="Arial"/>
          <w:sz w:val="24"/>
          <w:szCs w:val="24"/>
          <w:lang w:val="sr-Latn-ME"/>
        </w:rPr>
      </w:pPr>
      <w:r>
        <w:rPr>
          <w:rFonts w:ascii="Arial" w:hAnsi="Arial" w:eastAsia="Calibri" w:cs="Arial"/>
          <w:color w:val="000000"/>
          <w:sz w:val="24"/>
          <w:szCs w:val="24"/>
          <w:lang w:val="sr-Latn-ME"/>
        </w:rPr>
        <w:t xml:space="preserve">Naručilac: </w:t>
      </w:r>
      <w:r>
        <w:rPr>
          <w:rFonts w:ascii="Arial" w:hAnsi="Arial" w:eastAsia="Calibri" w:cs="Arial"/>
          <w:b/>
          <w:color w:val="000000"/>
          <w:sz w:val="24"/>
          <w:szCs w:val="24"/>
          <w:lang w:val="sr-Latn-ME"/>
        </w:rPr>
        <w:t xml:space="preserve">Ministarstvo finansija </w:t>
      </w:r>
    </w:p>
    <w:p>
      <w:pPr>
        <w:tabs>
          <w:tab w:val="left" w:pos="1701"/>
          <w:tab w:val="left" w:pos="4820"/>
        </w:tabs>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Broj iz evidencije postupaka javnih nabavki: </w:t>
      </w:r>
      <w:r>
        <w:rPr>
          <w:rFonts w:hint="default" w:ascii="Arial" w:hAnsi="Arial" w:eastAsia="Times New Roman" w:cs="Arial"/>
          <w:sz w:val="24"/>
          <w:szCs w:val="24"/>
          <w:lang w:val="sr-Latn-RS"/>
        </w:rPr>
        <w:t>2</w:t>
      </w:r>
      <w:r>
        <w:rPr>
          <w:rFonts w:ascii="Arial" w:hAnsi="Arial" w:eastAsia="Times New Roman" w:cs="Arial"/>
          <w:sz w:val="24"/>
          <w:szCs w:val="24"/>
          <w:lang w:val="sr-Latn-ME"/>
        </w:rPr>
        <w:t>/202</w:t>
      </w:r>
      <w:r>
        <w:rPr>
          <w:rFonts w:hint="default" w:ascii="Arial" w:hAnsi="Arial" w:eastAsia="Times New Roman" w:cs="Arial"/>
          <w:sz w:val="24"/>
          <w:szCs w:val="24"/>
          <w:lang w:val="sr-Latn-RS"/>
        </w:rPr>
        <w:t>4</w:t>
      </w:r>
      <w:r>
        <w:rPr>
          <w:rFonts w:ascii="Arial" w:hAnsi="Arial" w:eastAsia="Times New Roman" w:cs="Arial"/>
          <w:sz w:val="24"/>
          <w:szCs w:val="24"/>
          <w:lang w:val="sr-Latn-ME"/>
        </w:rPr>
        <w:t xml:space="preserve"> </w:t>
      </w:r>
    </w:p>
    <w:p>
      <w:pPr>
        <w:tabs>
          <w:tab w:val="left" w:pos="1701"/>
          <w:tab w:val="left" w:pos="4820"/>
        </w:tabs>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Redni broj iz Plana javnih nabavki: 3</w:t>
      </w:r>
    </w:p>
    <w:p>
      <w:pPr>
        <w:tabs>
          <w:tab w:val="left" w:pos="1701"/>
          <w:tab w:val="left" w:pos="4820"/>
        </w:tabs>
        <w:spacing w:after="0" w:line="240" w:lineRule="auto"/>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t>Podgorica</w:t>
      </w:r>
      <w:r>
        <w:rPr>
          <w:rFonts w:ascii="Arial" w:hAnsi="Arial" w:eastAsia="Calibri" w:cs="Arial"/>
          <w:sz w:val="24"/>
          <w:szCs w:val="24"/>
          <w:highlight w:val="none"/>
          <w:lang w:val="sr-Latn-ME"/>
        </w:rPr>
        <w:t>,</w:t>
      </w:r>
      <w:r>
        <w:rPr>
          <w:rFonts w:hint="default" w:ascii="Arial" w:hAnsi="Arial" w:eastAsia="Calibri" w:cs="Arial"/>
          <w:sz w:val="24"/>
          <w:szCs w:val="24"/>
          <w:highlight w:val="none"/>
          <w:lang w:val="sr-Latn-RS"/>
        </w:rPr>
        <w:t>11.03</w:t>
      </w:r>
      <w:r>
        <w:rPr>
          <w:rFonts w:ascii="Arial" w:hAnsi="Arial" w:eastAsia="Calibri" w:cs="Arial"/>
          <w:sz w:val="24"/>
          <w:szCs w:val="24"/>
          <w:highlight w:val="none"/>
          <w:lang w:val="sr-Latn-ME"/>
        </w:rPr>
        <w:t>.202</w:t>
      </w:r>
      <w:r>
        <w:rPr>
          <w:rFonts w:hint="default" w:ascii="Arial" w:hAnsi="Arial" w:eastAsia="Calibri" w:cs="Arial"/>
          <w:sz w:val="24"/>
          <w:szCs w:val="24"/>
          <w:highlight w:val="none"/>
          <w:lang w:val="sr-Latn-RS"/>
        </w:rPr>
        <w:t>4</w:t>
      </w:r>
      <w:r>
        <w:rPr>
          <w:rFonts w:ascii="Arial" w:hAnsi="Arial" w:eastAsia="Calibri" w:cs="Arial"/>
          <w:sz w:val="24"/>
          <w:szCs w:val="24"/>
          <w:highlight w:val="none"/>
          <w:lang w:val="sr-Latn-ME"/>
        </w:rPr>
        <w:t>.</w:t>
      </w:r>
      <w:r>
        <w:rPr>
          <w:rFonts w:ascii="Arial" w:hAnsi="Arial" w:eastAsia="Calibri" w:cs="Arial"/>
          <w:color w:val="000000"/>
          <w:sz w:val="24"/>
          <w:szCs w:val="24"/>
          <w:lang w:val="sr-Latn-ME"/>
        </w:rPr>
        <w:t xml:space="preserve"> godine</w:t>
      </w: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r>
        <w:rPr>
          <w:rFonts w:ascii="Arial" w:hAnsi="Arial" w:eastAsia="Times New Roman" w:cs="Arial"/>
          <w:sz w:val="24"/>
          <w:szCs w:val="24"/>
          <w:lang w:val="sr-Latn-ME"/>
        </w:rPr>
        <w:t xml:space="preserve">Na osnovu člana 53 stav 3 Zakona o javnim nabavkama („Službeni list CG“, br. 74/19, 3/23 i 11/23) </w:t>
      </w:r>
      <w:r>
        <w:rPr>
          <w:rFonts w:ascii="Arial" w:hAnsi="Arial" w:eastAsia="Times New Roman" w:cs="Arial"/>
          <w:color w:val="000000"/>
          <w:sz w:val="24"/>
          <w:szCs w:val="24"/>
          <w:u w:val="single"/>
          <w:lang w:val="sr-Latn-ME"/>
        </w:rPr>
        <w:t>Ministarstvo finansija</w:t>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objavljuje</w:t>
      </w:r>
      <w:r>
        <w:rPr>
          <w:rFonts w:ascii="Arial" w:hAnsi="Arial" w:eastAsia="Times New Roman" w:cs="Arial"/>
          <w:b/>
          <w:bCs/>
          <w:color w:val="000000"/>
          <w:sz w:val="24"/>
          <w:szCs w:val="24"/>
          <w:lang w:val="sr-Latn-ME"/>
        </w:rPr>
        <w:t xml:space="preserve">        </w:t>
      </w: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sz w:val="24"/>
          <w:szCs w:val="24"/>
          <w:lang w:val="sr-Latn-ME"/>
        </w:rPr>
      </w:pPr>
      <w:r>
        <w:rPr>
          <w:rFonts w:ascii="Arial" w:hAnsi="Arial" w:eastAsia="Times New Roman" w:cs="Arial"/>
          <w:b/>
          <w:bCs/>
          <w:color w:val="000000"/>
          <w:sz w:val="24"/>
          <w:szCs w:val="24"/>
          <w:lang w:val="sr-Latn-ME"/>
        </w:rPr>
        <w:t xml:space="preserve">                                          </w:t>
      </w:r>
      <w:r>
        <w:rPr>
          <w:rFonts w:ascii="Arial" w:hAnsi="Arial" w:eastAsia="Times New Roman" w:cs="Arial"/>
          <w:b/>
          <w:bCs/>
          <w:color w:val="000000"/>
          <w:sz w:val="24"/>
          <w:szCs w:val="24"/>
          <w:lang w:val="sr-Latn-ME"/>
        </w:rPr>
        <w:tab/>
      </w:r>
      <w:r>
        <w:rPr>
          <w:rFonts w:ascii="Arial" w:hAnsi="Arial" w:eastAsia="Times New Roman" w:cs="Arial"/>
          <w:bCs/>
          <w:color w:val="000000"/>
          <w:sz w:val="24"/>
          <w:szCs w:val="24"/>
          <w:lang w:val="sr-Latn-ME"/>
        </w:rPr>
        <w:t xml:space="preserve">                                                      </w:t>
      </w:r>
    </w:p>
    <w:p>
      <w:pPr>
        <w:keepNext/>
        <w:spacing w:after="0" w:line="240" w:lineRule="auto"/>
        <w:jc w:val="center"/>
        <w:outlineLvl w:val="0"/>
        <w:rPr>
          <w:rFonts w:ascii="Arial" w:hAnsi="Arial" w:eastAsia="Times New Roman" w:cs="Arial"/>
          <w:b/>
          <w:bCs/>
          <w:color w:val="000000"/>
          <w:sz w:val="24"/>
          <w:szCs w:val="24"/>
          <w:lang w:val="sr-Latn-ME"/>
        </w:rPr>
      </w:pPr>
    </w:p>
    <w:p>
      <w:pPr>
        <w:spacing w:after="0" w:line="240" w:lineRule="auto"/>
        <w:jc w:val="center"/>
        <w:rPr>
          <w:rFonts w:ascii="Arial" w:hAnsi="Arial" w:eastAsia="Times New Roman" w:cs="Arial"/>
          <w:b/>
          <w:bCs/>
          <w:color w:val="000000"/>
          <w:sz w:val="28"/>
          <w:szCs w:val="28"/>
          <w:lang w:val="sr-Latn-ME"/>
        </w:rPr>
      </w:pPr>
      <w:r>
        <w:rPr>
          <w:rFonts w:ascii="Arial" w:hAnsi="Arial" w:eastAsia="Times New Roman" w:cs="Arial"/>
          <w:b/>
          <w:bCs/>
          <w:color w:val="000000"/>
          <w:sz w:val="28"/>
          <w:szCs w:val="28"/>
          <w:lang w:val="sr-Latn-ME"/>
        </w:rPr>
        <w:t>TENDERSKU DOKUMENTACIJU</w:t>
      </w:r>
    </w:p>
    <w:p>
      <w:pPr>
        <w:spacing w:after="0" w:line="240" w:lineRule="auto"/>
        <w:jc w:val="center"/>
        <w:rPr>
          <w:rFonts w:ascii="Arial" w:hAnsi="Arial" w:eastAsia="Times New Roman" w:cs="Arial"/>
          <w:b/>
          <w:bCs/>
          <w:color w:val="000000"/>
          <w:sz w:val="28"/>
          <w:szCs w:val="28"/>
          <w:lang w:val="sr-Latn-ME"/>
        </w:rPr>
      </w:pPr>
      <w:r>
        <w:rPr>
          <w:rFonts w:ascii="Arial" w:hAnsi="Arial" w:eastAsia="Times New Roman" w:cs="Arial"/>
          <w:b/>
          <w:bCs/>
          <w:color w:val="000000"/>
          <w:sz w:val="28"/>
          <w:szCs w:val="28"/>
          <w:lang w:val="sr-Latn-ME"/>
        </w:rPr>
        <w:t>ZA OTVORENI POSTUPAK JAVNE NABAVKE</w:t>
      </w:r>
    </w:p>
    <w:p>
      <w:pPr>
        <w:spacing w:after="0" w:line="240" w:lineRule="auto"/>
        <w:jc w:val="center"/>
        <w:rPr>
          <w:rFonts w:ascii="Arial" w:hAnsi="Arial" w:eastAsia="Times New Roman" w:cs="Arial"/>
          <w:b/>
          <w:bCs/>
          <w:color w:val="000000"/>
          <w:sz w:val="28"/>
          <w:szCs w:val="28"/>
          <w:lang w:val="sr-Latn-ME"/>
        </w:rPr>
      </w:pPr>
    </w:p>
    <w:p>
      <w:pPr>
        <w:spacing w:after="0" w:line="240" w:lineRule="auto"/>
        <w:jc w:val="center"/>
        <w:rPr>
          <w:rFonts w:ascii="Arial" w:hAnsi="Arial" w:eastAsia="Times New Roman" w:cs="Arial"/>
          <w:color w:val="000000"/>
          <w:sz w:val="30"/>
          <w:szCs w:val="30"/>
          <w:lang w:val="sr-Latn-ME"/>
        </w:rPr>
      </w:pPr>
      <w:r>
        <w:rPr>
          <w:rFonts w:ascii="Arial" w:hAnsi="Arial" w:eastAsia="Calibri" w:cs="Arial"/>
          <w:sz w:val="30"/>
          <w:szCs w:val="30"/>
          <w:lang w:val="sr-Latn-ME"/>
        </w:rPr>
        <w:t>O</w:t>
      </w:r>
      <w:r>
        <w:rPr>
          <w:rFonts w:ascii="Arial" w:hAnsi="Arial" w:eastAsia="Times New Roman" w:cs="Arial"/>
          <w:color w:val="000000"/>
          <w:sz w:val="30"/>
          <w:szCs w:val="30"/>
          <w:lang w:val="sr-Latn-ME"/>
        </w:rPr>
        <w:t>državanje integrisanog informacionog sistema</w:t>
      </w:r>
    </w:p>
    <w:p>
      <w:pPr>
        <w:spacing w:after="0" w:line="240" w:lineRule="auto"/>
        <w:jc w:val="center"/>
        <w:rPr>
          <w:rFonts w:ascii="Arial" w:hAnsi="Arial" w:eastAsia="Calibri" w:cs="Arial"/>
          <w:bCs/>
          <w:sz w:val="30"/>
          <w:szCs w:val="30"/>
          <w:lang w:val="sr-Latn-ME"/>
        </w:rPr>
      </w:pPr>
      <w:r>
        <w:rPr>
          <w:rFonts w:ascii="Arial" w:hAnsi="Arial" w:eastAsia="Times New Roman" w:cs="Arial"/>
          <w:color w:val="000000"/>
          <w:sz w:val="30"/>
          <w:szCs w:val="30"/>
          <w:lang w:val="sr-Latn-ME"/>
        </w:rPr>
        <w:t xml:space="preserve"> državnog trezora - SAP</w:t>
      </w: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Predmet nabavke se nabavlja:</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kao cjelina </w:t>
      </w: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0" w:name="_Toc62730553"/>
      <w:r>
        <w:rPr>
          <w:rFonts w:ascii="Arial" w:hAnsi="Arial" w:eastAsia="Times New Roman" w:cs="Times New Roman"/>
          <w:b/>
          <w:color w:val="000000"/>
          <w:sz w:val="24"/>
          <w:szCs w:val="32"/>
          <w:lang w:val="sr-Latn-ME"/>
        </w:rPr>
        <w:t>1. POZIV ZA NADMETANJE</w:t>
      </w:r>
      <w:r>
        <w:rPr>
          <w:rFonts w:ascii="Arial" w:hAnsi="Arial" w:eastAsia="Times New Roman" w:cs="Times New Roman"/>
          <w:b/>
          <w:color w:val="000000"/>
          <w:sz w:val="24"/>
          <w:szCs w:val="32"/>
          <w:vertAlign w:val="superscript"/>
          <w:lang w:val="sr-Latn-ME"/>
        </w:rPr>
        <w:footnoteReference w:id="0"/>
      </w:r>
      <w:bookmarkEnd w:id="0"/>
      <w:r>
        <w:rPr>
          <w:rFonts w:ascii="Arial" w:hAnsi="Arial" w:eastAsia="Times New Roman" w:cs="Times New Roman"/>
          <w:b/>
          <w:color w:val="000000"/>
          <w:sz w:val="24"/>
          <w:szCs w:val="32"/>
          <w:lang w:val="sr-Latn-ME"/>
        </w:rPr>
        <w:t xml:space="preserve"> </w:t>
      </w:r>
    </w:p>
    <w:p>
      <w:pPr>
        <w:spacing w:after="0" w:line="240" w:lineRule="auto"/>
        <w:rPr>
          <w:rFonts w:ascii="Arial" w:hAnsi="Arial" w:eastAsia="Times New Roman" w:cs="Arial"/>
          <w:b/>
          <w:bCs/>
          <w:color w:val="000000"/>
          <w:sz w:val="24"/>
          <w:szCs w:val="24"/>
          <w:lang w:val="sr-Latn-ME"/>
        </w:rPr>
      </w:pPr>
      <w:r>
        <w:rPr>
          <w:rFonts w:ascii="Arial" w:hAnsi="Arial" w:eastAsia="Times New Roman" w:cs="Arial"/>
          <w:b/>
          <w:bCs/>
          <w:color w:val="000000"/>
          <w:sz w:val="24"/>
          <w:szCs w:val="24"/>
          <w:lang w:val="sr-Latn-ME"/>
        </w:rPr>
        <w:tab/>
      </w:r>
    </w:p>
    <w:p>
      <w:pPr>
        <w:spacing w:after="0" w:line="240" w:lineRule="auto"/>
        <w:ind w:left="360"/>
        <w:jc w:val="center"/>
        <w:rPr>
          <w:rFonts w:ascii="Arial" w:hAnsi="Arial" w:eastAsia="Times New Roman" w:cs="Arial"/>
          <w:b/>
          <w:bCs/>
          <w:color w:val="000000"/>
          <w:sz w:val="24"/>
          <w:szCs w:val="24"/>
          <w:lang w:val="sr-Latn-ME"/>
        </w:rPr>
      </w:pPr>
    </w:p>
    <w:p>
      <w:pPr>
        <w:numPr>
          <w:ilvl w:val="0"/>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Podaci o naručiocu;</w:t>
      </w:r>
    </w:p>
    <w:p>
      <w:pPr>
        <w:numPr>
          <w:ilvl w:val="0"/>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 xml:space="preserve">Podaci o postupku i predmetu javne nabavke: </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Vrsta postupka,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Predmet javne nabavke (vrsta predmeta, naziv i opis predmeta),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Procijenjena vrijednost predmeta nabavke</w:t>
      </w:r>
      <w:r>
        <w:rPr>
          <w:rFonts w:ascii="Arial" w:hAnsi="Arial" w:eastAsia="Calibri" w:cs="Arial"/>
          <w:color w:val="000000"/>
          <w:vertAlign w:val="superscript"/>
          <w:lang w:val="sr-Latn-ME"/>
        </w:rPr>
        <w:footnoteReference w:id="1"/>
      </w:r>
      <w:r>
        <w:rPr>
          <w:rFonts w:ascii="Arial" w:hAnsi="Arial" w:eastAsia="Calibri" w:cs="Arial"/>
          <w:color w:val="000000"/>
          <w:lang w:val="sr-Latn-ME"/>
        </w:rPr>
        <w:t>,</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 xml:space="preserve">Način nabavke: </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Cjelina, po partijama,</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Zajednička nabavka,</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Centralizovana nabavka,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Posebni oblik nabavke:</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Okvirni sporazum,</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Dinamički sistem nabavki,</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Elektronska aukcija,</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Elektronski katalog,</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Uslovi za učešće u postupku javne nabavke i posebni osnovi za isključenje,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Kriterijum za izbor najpovoljnije ponude,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Način, mjesto i vrijeme podnošenja ponuda i otvaranja ponuda,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Rok za donošenje odluke o izboru,</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Rok važenja ponude,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Garancija ponude</w:t>
      </w:r>
    </w:p>
    <w:p>
      <w:pPr>
        <w:spacing w:after="0" w:line="240" w:lineRule="auto"/>
        <w:rPr>
          <w:rFonts w:ascii="Calibri" w:hAnsi="Calibri" w:eastAsia="Calibri" w:cs="Times New Roman"/>
          <w:color w:val="000000"/>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1" w:name="_Toc62730554"/>
      <w:r>
        <w:rPr>
          <w:rFonts w:ascii="Arial" w:hAnsi="Arial" w:eastAsia="Times New Roman" w:cs="Times New Roman"/>
          <w:b/>
          <w:color w:val="000000"/>
          <w:sz w:val="24"/>
          <w:szCs w:val="32"/>
          <w:lang w:val="sr-Latn-ME"/>
        </w:rPr>
        <w:t>2.TEHNIČKA SPECIFIKACIJA PREDMETA JAVNE NABAVKE</w:t>
      </w:r>
      <w:r>
        <w:rPr>
          <w:rFonts w:ascii="Arial" w:hAnsi="Arial" w:eastAsia="Times New Roman" w:cs="Times New Roman"/>
          <w:b/>
          <w:color w:val="000000"/>
          <w:sz w:val="24"/>
          <w:szCs w:val="32"/>
          <w:vertAlign w:val="superscript"/>
          <w:lang w:val="sr-Latn-ME"/>
        </w:rPr>
        <w:footnoteReference w:id="2"/>
      </w:r>
      <w:bookmarkEnd w:id="1"/>
    </w:p>
    <w:p>
      <w:pPr>
        <w:spacing w:after="0" w:line="240" w:lineRule="auto"/>
        <w:rPr>
          <w:rFonts w:ascii="Calibri" w:hAnsi="Calibri" w:eastAsia="Calibri" w:cs="Times New Roman"/>
          <w:color w:val="000000"/>
          <w:lang w:val="sr-Latn-ME"/>
        </w:rPr>
      </w:pPr>
    </w:p>
    <w:p>
      <w:pPr>
        <w:numPr>
          <w:ilvl w:val="0"/>
          <w:numId w:val="4"/>
        </w:numPr>
        <w:spacing w:after="0" w:line="240" w:lineRule="auto"/>
        <w:contextualSpacing/>
        <w:jc w:val="both"/>
        <w:rPr>
          <w:rFonts w:ascii="Arial" w:hAnsi="Arial" w:eastAsia="Calibri" w:cs="Arial"/>
          <w:color w:val="000000"/>
          <w:lang w:val="sr-Latn-ME"/>
        </w:rPr>
      </w:pPr>
      <w:r>
        <w:rPr>
          <w:rFonts w:ascii="Arial" w:hAnsi="Arial" w:eastAsia="Calibri" w:cs="Arial"/>
          <w:color w:val="000000"/>
          <w:lang w:val="sr-Latn-ME"/>
        </w:rPr>
        <w:t>Naziv i opis predmeta nabavke u cjelini, po partijama i stavkama sa bitnim karakteristikama</w:t>
      </w:r>
    </w:p>
    <w:p>
      <w:pPr>
        <w:numPr>
          <w:ilvl w:val="0"/>
          <w:numId w:val="4"/>
        </w:numPr>
        <w:spacing w:after="0" w:line="240" w:lineRule="auto"/>
        <w:contextualSpacing/>
        <w:jc w:val="both"/>
        <w:rPr>
          <w:rFonts w:ascii="Arial" w:hAnsi="Arial" w:eastAsia="Calibri" w:cs="Arial"/>
          <w:color w:val="000000"/>
          <w:lang w:val="sr-Latn-ME"/>
        </w:rPr>
      </w:pPr>
      <w:r>
        <w:rPr>
          <w:rFonts w:ascii="Arial" w:hAnsi="Arial" w:eastAsia="Calibri" w:cs="Arial"/>
          <w:color w:val="000000"/>
          <w:lang w:val="sr-Latn-ME"/>
        </w:rPr>
        <w:t>Zahtjevi u pogledu načina izvršavanja predmeta nabavke koji su od značaja za sačinjavanje ponude i izvršenje ugovora</w:t>
      </w:r>
    </w:p>
    <w:p>
      <w:pPr>
        <w:spacing w:after="0" w:line="240" w:lineRule="auto"/>
        <w:rPr>
          <w:rFonts w:ascii="Calibri" w:hAnsi="Calibri" w:eastAsia="Calibri" w:cs="Times New Roman"/>
          <w:color w:val="000000"/>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color w:val="000000"/>
          <w:sz w:val="24"/>
          <w:szCs w:val="24"/>
          <w:lang w:val="sr-Latn-ME"/>
        </w:rPr>
      </w:pPr>
      <w:bookmarkStart w:id="2" w:name="_Toc62730555"/>
      <w:r>
        <w:rPr>
          <w:rFonts w:ascii="Arial" w:hAnsi="Arial" w:eastAsia="Times New Roman" w:cs="Times New Roman"/>
          <w:b/>
          <w:color w:val="000000"/>
          <w:sz w:val="24"/>
          <w:szCs w:val="32"/>
          <w:lang w:val="sr-Latn-ME"/>
        </w:rPr>
        <w:t xml:space="preserve">3. </w:t>
      </w:r>
      <w:r>
        <w:rPr>
          <w:rFonts w:ascii="Arial" w:hAnsi="Arial" w:eastAsia="Times New Roman" w:cs="Times New Roman"/>
          <w:b/>
          <w:color w:val="000000"/>
          <w:sz w:val="24"/>
          <w:szCs w:val="24"/>
          <w:lang w:val="sr-Latn-ME"/>
        </w:rPr>
        <w:t>DODATNE INFORMACIJE O PREDMETU I POSTUPKU NABAVKE</w:t>
      </w:r>
      <w:r>
        <w:rPr>
          <w:rFonts w:ascii="Arial" w:hAnsi="Arial" w:eastAsia="Times New Roman" w:cs="Times New Roman"/>
          <w:b/>
          <w:color w:val="000000"/>
          <w:sz w:val="24"/>
          <w:szCs w:val="24"/>
          <w:vertAlign w:val="superscript"/>
          <w:lang w:val="sr-Latn-ME"/>
        </w:rPr>
        <w:footnoteReference w:id="3"/>
      </w:r>
      <w:bookmarkEnd w:id="2"/>
    </w:p>
    <w:p>
      <w:pPr>
        <w:spacing w:after="0" w:line="240" w:lineRule="auto"/>
        <w:jc w:val="both"/>
        <w:rPr>
          <w:rFonts w:ascii="Arial" w:hAnsi="Arial" w:eastAsia="Times New Roman" w:cs="Arial"/>
          <w:b/>
          <w:bCs/>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rPr>
          <w:rFonts w:ascii="Arial" w:hAnsi="Arial" w:eastAsia="Calibri" w:cs="Arial"/>
          <w:b/>
          <w:bCs/>
          <w:color w:val="000000"/>
          <w:sz w:val="24"/>
          <w:szCs w:val="24"/>
          <w:lang w:val="sr-Latn-ME"/>
        </w:rPr>
      </w:pPr>
      <w:r>
        <w:rPr>
          <w:rFonts w:ascii="Arial" w:hAnsi="Arial" w:eastAsia="Calibri" w:cs="Arial"/>
          <w:b/>
          <w:bCs/>
          <w:color w:val="000000"/>
          <w:sz w:val="24"/>
          <w:szCs w:val="24"/>
          <w:lang w:val="sr-Latn-ME"/>
        </w:rPr>
        <w:t>Procijenjena vrijednost predmenta nabavke:</w:t>
      </w:r>
      <w:r>
        <w:rPr>
          <w:rFonts w:ascii="Arial" w:hAnsi="Arial" w:eastAsia="Calibri" w:cs="Arial"/>
          <w:b/>
          <w:bCs/>
          <w:color w:val="000000"/>
          <w:sz w:val="24"/>
          <w:szCs w:val="24"/>
          <w:vertAlign w:val="superscript"/>
          <w:lang w:val="sr-Latn-ME"/>
        </w:rPr>
        <w:footnoteReference w:id="4"/>
      </w:r>
    </w:p>
    <w:p>
      <w:pPr>
        <w:jc w:val="both"/>
        <w:rPr>
          <w:rFonts w:ascii="Arial" w:hAnsi="Arial" w:eastAsia="Calibri" w:cs="Arial"/>
          <w:b/>
          <w:bCs/>
          <w:color w:val="000000"/>
          <w:sz w:val="24"/>
          <w:szCs w:val="24"/>
          <w:lang w:val="sr-Latn-ME"/>
        </w:rPr>
      </w:pPr>
      <w:r>
        <w:rPr>
          <w:rFonts w:ascii="Arial" w:hAnsi="Arial" w:eastAsia="Calibri" w:cs="Arial"/>
          <w:color w:val="000000"/>
          <w:sz w:val="24"/>
          <w:szCs w:val="24"/>
          <w:lang w:val="sr-Latn-ME"/>
        </w:rPr>
        <w:sym w:font="Wingdings" w:char="F078"/>
      </w:r>
      <w:r>
        <w:rPr>
          <w:rFonts w:ascii="Arial" w:hAnsi="Arial" w:eastAsia="Calibri" w:cs="Arial"/>
          <w:color w:val="000000"/>
          <w:sz w:val="24"/>
          <w:szCs w:val="24"/>
          <w:lang w:val="sr-Latn-ME"/>
        </w:rPr>
        <w:t xml:space="preserve"> </w:t>
      </w:r>
      <w:r>
        <w:rPr>
          <w:rFonts w:ascii="Arial" w:hAnsi="Arial" w:eastAsia="Calibri" w:cs="Arial"/>
          <w:b/>
          <w:bCs/>
          <w:color w:val="000000"/>
          <w:sz w:val="24"/>
          <w:szCs w:val="24"/>
          <w:lang w:val="sr-Latn-ME"/>
        </w:rPr>
        <w:t>Procijenjena vrijednost predmeta nabavke bez zaključivanja okvirnog sporazuma</w:t>
      </w:r>
      <w:r>
        <w:rPr>
          <w:rFonts w:ascii="Arial" w:hAnsi="Arial" w:eastAsia="Calibri" w:cs="Arial"/>
          <w:color w:val="000000"/>
          <w:sz w:val="24"/>
          <w:szCs w:val="24"/>
          <w:lang w:val="sr-Latn-ME"/>
        </w:rPr>
        <w:t>:</w:t>
      </w:r>
    </w:p>
    <w:p>
      <w:pPr>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sym w:font="Wingdings" w:char="F078"/>
      </w:r>
      <w:r>
        <w:rPr>
          <w:rFonts w:ascii="Arial" w:hAnsi="Arial" w:eastAsia="Calibri" w:cs="Arial"/>
          <w:color w:val="000000"/>
          <w:sz w:val="24"/>
          <w:szCs w:val="24"/>
          <w:lang w:val="sr-Latn-ME"/>
        </w:rPr>
        <w:t xml:space="preserve"> kao cjeline je </w:t>
      </w:r>
      <w:r>
        <w:rPr>
          <w:rFonts w:ascii="Arial" w:hAnsi="Arial" w:eastAsia="Calibri" w:cs="Arial"/>
          <w:sz w:val="24"/>
          <w:szCs w:val="24"/>
          <w:lang w:val="sr-Latn-CS"/>
        </w:rPr>
        <w:t xml:space="preserve">85.000,00 </w:t>
      </w:r>
      <w:r>
        <w:rPr>
          <w:rFonts w:ascii="Arial" w:hAnsi="Arial" w:eastAsia="Calibri" w:cs="Arial"/>
          <w:color w:val="000000"/>
          <w:sz w:val="24"/>
          <w:szCs w:val="24"/>
          <w:lang w:val="sr-Latn-ME"/>
        </w:rPr>
        <w:t>€;</w:t>
      </w:r>
    </w:p>
    <w:p>
      <w:pPr>
        <w:spacing w:after="0" w:line="240" w:lineRule="auto"/>
        <w:jc w:val="both"/>
        <w:rPr>
          <w:rFonts w:ascii="Arial" w:hAnsi="Arial" w:eastAsia="Times New Roman" w:cs="Arial"/>
          <w:b/>
          <w:bCs/>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jc w:val="both"/>
        <w:rPr>
          <w:rFonts w:ascii="Arial" w:hAnsi="Arial" w:eastAsia="Times New Roman" w:cs="Arial"/>
          <w:b/>
          <w:bCs/>
          <w:color w:val="000000"/>
          <w:sz w:val="24"/>
          <w:szCs w:val="24"/>
          <w:lang w:val="sr-Latn-ME"/>
        </w:rPr>
      </w:pPr>
      <w:r>
        <w:rPr>
          <w:rFonts w:ascii="Arial" w:hAnsi="Arial" w:eastAsia="Times New Roman" w:cs="Arial"/>
          <w:color w:val="000000"/>
          <w:sz w:val="24"/>
          <w:szCs w:val="24"/>
          <w:lang w:val="sr-Latn-ME"/>
        </w:rPr>
        <w:t>Obrazloženje razloga zašto predmet nabavke nije podijeljen na partije:</w:t>
      </w:r>
      <w:r>
        <w:rPr>
          <w:rFonts w:ascii="Arial" w:hAnsi="Arial" w:eastAsia="Times New Roman" w:cs="Arial"/>
          <w:color w:val="000000"/>
          <w:sz w:val="24"/>
          <w:szCs w:val="24"/>
          <w:vertAlign w:val="superscript"/>
          <w:lang w:val="sr-Latn-ME"/>
        </w:rPr>
        <w:footnoteReference w:id="5"/>
      </w:r>
    </w:p>
    <w:p>
      <w:pPr>
        <w:spacing w:after="0" w:line="240" w:lineRule="auto"/>
        <w:jc w:val="both"/>
        <w:rPr>
          <w:rFonts w:ascii="Arial" w:hAnsi="Arial" w:eastAsia="Times New Roman" w:cs="Arial"/>
          <w:color w:val="000000"/>
          <w:sz w:val="24"/>
          <w:szCs w:val="24"/>
          <w:lang w:val="sr-Latn-ME"/>
        </w:rPr>
      </w:pPr>
    </w:p>
    <w:p>
      <w:pPr>
        <w:jc w:val="both"/>
        <w:rPr>
          <w:rFonts w:ascii="Arial" w:hAnsi="Arial" w:eastAsia="Times New Roman" w:cs="Arial"/>
          <w:sz w:val="24"/>
          <w:szCs w:val="24"/>
        </w:rPr>
      </w:pPr>
      <w:r>
        <w:rPr>
          <w:rFonts w:ascii="Arial" w:hAnsi="Arial" w:eastAsia="Calibri" w:cs="Arial"/>
          <w:sz w:val="24"/>
          <w:szCs w:val="24"/>
          <w:lang w:val="sr-Latn-ME"/>
        </w:rPr>
        <w:t xml:space="preserve">Predmet nabavke su usluge održavanja informacionog sistema državnog trezora - </w:t>
      </w:r>
      <w:r>
        <w:rPr>
          <w:rFonts w:ascii="Arial" w:hAnsi="Arial" w:eastAsia="Calibri" w:cs="Arial"/>
          <w:sz w:val="24"/>
          <w:szCs w:val="24"/>
          <w:lang w:val="it-IT"/>
        </w:rPr>
        <w:t xml:space="preserve">SAP, nije podeljen na partije jer </w:t>
      </w:r>
      <w:r>
        <w:rPr>
          <w:rFonts w:ascii="Arial" w:hAnsi="Arial" w:eastAsia="Calibri" w:cs="Arial"/>
          <w:sz w:val="24"/>
          <w:szCs w:val="24"/>
          <w:lang w:val="sr-Latn-ME"/>
        </w:rPr>
        <w:t>predstavlja jedinstvenu tehničku cjelinu</w:t>
      </w:r>
      <w:r>
        <w:rPr>
          <w:rFonts w:ascii="Arial" w:hAnsi="Arial" w:eastAsia="Times New Roman" w:cs="Arial"/>
          <w:sz w:val="24"/>
          <w:szCs w:val="24"/>
        </w:rPr>
        <w:t>.</w:t>
      </w:r>
    </w:p>
    <w:p>
      <w:pPr>
        <w:spacing w:after="0" w:line="240" w:lineRule="auto"/>
        <w:jc w:val="both"/>
        <w:rPr>
          <w:rFonts w:ascii="Arial" w:hAnsi="Arial" w:eastAsia="Times New Roman" w:cs="Arial"/>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BFBFBF"/>
        <w:spacing w:after="0" w:line="240" w:lineRule="auto"/>
        <w:jc w:val="both"/>
        <w:rPr>
          <w:rFonts w:ascii="Arial" w:hAnsi="Arial" w:eastAsia="Times New Roman" w:cs="Arial"/>
          <w:color w:val="000000"/>
          <w:sz w:val="24"/>
          <w:szCs w:val="24"/>
          <w:lang w:val="sr-Latn-ME"/>
        </w:rPr>
      </w:pPr>
      <w:r>
        <w:rPr>
          <w:rFonts w:ascii="Arial" w:hAnsi="Arial" w:eastAsia="Times New Roman" w:cs="Arial"/>
          <w:b/>
          <w:color w:val="000000"/>
          <w:sz w:val="24"/>
          <w:szCs w:val="24"/>
          <w:lang w:val="sr-Latn-ME"/>
        </w:rPr>
        <w:t>PODACI O NARUČIOCIMA KOJI ZAKLJUČUJU ZAJEDNIČKU NABAVKU</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Nije primjenljivo</w:t>
      </w:r>
    </w:p>
    <w:p>
      <w:pPr>
        <w:spacing w:after="0" w:line="240" w:lineRule="auto"/>
        <w:jc w:val="both"/>
        <w:rPr>
          <w:rFonts w:ascii="Arial" w:hAnsi="Arial" w:eastAsia="Times New Roman" w:cs="Arial"/>
          <w:color w:val="000000"/>
          <w:sz w:val="24"/>
          <w:szCs w:val="24"/>
          <w:lang w:val="sr-Latn-ME"/>
        </w:rPr>
      </w:pPr>
    </w:p>
    <w:p>
      <w:pPr>
        <w:pBdr>
          <w:top w:val="single" w:color="auto" w:sz="4" w:space="1"/>
          <w:left w:val="single" w:color="auto" w:sz="4" w:space="0"/>
          <w:bottom w:val="single" w:color="auto" w:sz="4" w:space="1"/>
          <w:right w:val="single" w:color="auto" w:sz="4" w:space="4"/>
        </w:pBdr>
        <w:shd w:val="clear" w:color="auto" w:fill="BFBFBF"/>
        <w:spacing w:after="0" w:line="240" w:lineRule="auto"/>
        <w:jc w:val="both"/>
        <w:rPr>
          <w:rFonts w:ascii="Arial" w:hAnsi="Arial" w:eastAsia="Times New Roman" w:cs="Arial"/>
          <w:color w:val="000000"/>
          <w:sz w:val="24"/>
          <w:szCs w:val="24"/>
          <w:lang w:val="sr-Latn-ME"/>
        </w:rPr>
      </w:pPr>
      <w:r>
        <w:rPr>
          <w:rFonts w:ascii="Arial" w:hAnsi="Arial" w:eastAsia="Times New Roman" w:cs="Arial"/>
          <w:b/>
          <w:color w:val="000000"/>
          <w:sz w:val="24"/>
          <w:szCs w:val="24"/>
          <w:lang w:val="sr-Latn-ME"/>
        </w:rPr>
        <w:t>PODACI O NARUČIOCIMA KOJI SU UKLJUČENI U CENTRALIZOVANU NABAVKU</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Nije primjenljivo </w:t>
      </w:r>
    </w:p>
    <w:p>
      <w:pPr>
        <w:spacing w:after="0" w:line="240" w:lineRule="auto"/>
        <w:jc w:val="both"/>
        <w:rPr>
          <w:rFonts w:ascii="Arial" w:hAnsi="Arial" w:eastAsia="Times New Roman" w:cs="Arial"/>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NAČIN SPROVOĐENJA ELEKTRONSKE AUKCIJE</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222A35"/>
          <w:sz w:val="24"/>
          <w:szCs w:val="24"/>
          <w:lang w:val="sr-Latn-ME"/>
        </w:rPr>
      </w:pPr>
      <w:r>
        <w:rPr>
          <w:rFonts w:ascii="Arial" w:hAnsi="Arial" w:eastAsia="Times New Roman" w:cs="Arial"/>
          <w:color w:val="222A35"/>
          <w:sz w:val="24"/>
          <w:szCs w:val="24"/>
          <w:lang w:val="sr-Latn-ME"/>
        </w:rPr>
        <w:t>Nije primjenljivo</w:t>
      </w:r>
    </w:p>
    <w:p>
      <w:pPr>
        <w:spacing w:after="0" w:line="240" w:lineRule="auto"/>
        <w:jc w:val="both"/>
        <w:rPr>
          <w:rFonts w:ascii="Arial" w:hAnsi="Arial" w:eastAsia="Times New Roman" w:cs="Arial"/>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ELEKTRONSKI KATALOG</w:t>
      </w:r>
      <w:r>
        <w:rPr>
          <w:rFonts w:ascii="Arial" w:hAnsi="Arial" w:eastAsia="Times New Roman" w:cs="Arial"/>
          <w:b/>
          <w:color w:val="FF0000"/>
          <w:sz w:val="24"/>
          <w:szCs w:val="24"/>
          <w:lang w:val="sr-Latn-ME"/>
        </w:rPr>
        <w:t xml:space="preserve"> </w:t>
      </w:r>
    </w:p>
    <w:p>
      <w:pPr>
        <w:spacing w:after="0" w:line="240" w:lineRule="auto"/>
        <w:jc w:val="both"/>
        <w:rPr>
          <w:rFonts w:ascii="Arial" w:hAnsi="Arial" w:eastAsia="Times New Roman" w:cs="Arial"/>
          <w:color w:val="FF0000"/>
          <w:sz w:val="24"/>
          <w:szCs w:val="24"/>
          <w:lang w:val="sr-Latn-ME"/>
        </w:rPr>
      </w:pPr>
    </w:p>
    <w:p>
      <w:pPr>
        <w:spacing w:after="0" w:line="240" w:lineRule="auto"/>
        <w:jc w:val="both"/>
        <w:rPr>
          <w:rFonts w:ascii="Arial" w:hAnsi="Arial" w:eastAsia="Times New Roman" w:cs="Arial"/>
          <w:color w:val="222A35"/>
          <w:sz w:val="24"/>
          <w:szCs w:val="24"/>
          <w:lang w:val="sr-Latn-ME"/>
        </w:rPr>
      </w:pPr>
      <w:r>
        <w:rPr>
          <w:rFonts w:ascii="Arial" w:hAnsi="Arial" w:eastAsia="Times New Roman" w:cs="Arial"/>
          <w:color w:val="222A35"/>
          <w:sz w:val="24"/>
          <w:szCs w:val="24"/>
          <w:lang w:val="sr-Latn-ME"/>
        </w:rPr>
        <w:t>Nije primjenljivo</w:t>
      </w:r>
    </w:p>
    <w:p>
      <w:pPr>
        <w:spacing w:after="0" w:line="240" w:lineRule="auto"/>
        <w:jc w:val="both"/>
        <w:rPr>
          <w:rFonts w:ascii="Arial" w:hAnsi="Arial" w:eastAsia="Times New Roman" w:cs="Arial"/>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PONUDA SA VARIJANTAMA</w:t>
      </w:r>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Mogućnost podnošenja ponude sa varijantama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Varijante ponude nijesu dozvoljene i neće biti razmatrane.</w:t>
      </w:r>
    </w:p>
    <w:p>
      <w:pPr>
        <w:spacing w:after="0" w:line="240" w:lineRule="auto"/>
        <w:jc w:val="both"/>
        <w:rPr>
          <w:rFonts w:ascii="Arial" w:hAnsi="Arial" w:eastAsia="Times New Roman" w:cs="Arial"/>
          <w:b/>
          <w:bCs/>
          <w:color w:val="FF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jc w:val="both"/>
        <w:rPr>
          <w:rFonts w:ascii="Arial" w:hAnsi="Arial" w:eastAsia="Times New Roman" w:cs="Arial"/>
          <w:b/>
          <w:bCs/>
          <w:color w:val="FF0000"/>
          <w:sz w:val="24"/>
          <w:szCs w:val="24"/>
          <w:lang w:val="sr-Latn-ME"/>
        </w:rPr>
      </w:pPr>
      <w:r>
        <w:rPr>
          <w:rFonts w:ascii="Arial" w:hAnsi="Arial" w:eastAsia="Times New Roman" w:cs="Arial"/>
          <w:b/>
          <w:sz w:val="24"/>
          <w:szCs w:val="24"/>
          <w:lang w:val="sr-Latn-ME"/>
        </w:rPr>
        <w:t>REZERVISANA NABAVKA</w:t>
      </w:r>
    </w:p>
    <w:p>
      <w:pPr>
        <w:spacing w:after="0" w:line="240" w:lineRule="auto"/>
        <w:jc w:val="both"/>
        <w:rPr>
          <w:rFonts w:ascii="Arial" w:hAnsi="Arial" w:eastAsia="Times New Roman" w:cs="Arial"/>
          <w:b/>
          <w:bCs/>
          <w:color w:val="FF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Ne</w:t>
      </w:r>
    </w:p>
    <w:p>
      <w:pPr>
        <w:spacing w:after="0" w:line="240" w:lineRule="auto"/>
        <w:jc w:val="both"/>
        <w:rPr>
          <w:rFonts w:ascii="Arial" w:hAnsi="Arial" w:eastAsia="Times New Roman" w:cs="Arial"/>
          <w:bCs/>
          <w:color w:val="FF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3" w:name="_Toc62730557"/>
      <w:r>
        <w:rPr>
          <w:rFonts w:ascii="Arial" w:hAnsi="Arial" w:eastAsia="Times New Roman" w:cs="Times New Roman"/>
          <w:b/>
          <w:sz w:val="24"/>
          <w:szCs w:val="32"/>
          <w:lang w:val="sr-Latn-ME"/>
        </w:rPr>
        <w:t>4. OSNOVI ZA OBAVEZNO ISKLJUČENJE IZ POSTUPKA JAVNE NABAVKE</w:t>
      </w:r>
      <w:bookmarkEnd w:id="3"/>
    </w:p>
    <w:p>
      <w:pPr>
        <w:spacing w:after="0" w:line="240" w:lineRule="auto"/>
        <w:jc w:val="both"/>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 xml:space="preserve">Privredni subjekat će se isključiti iz postupka javne nabavke, ako: </w:t>
      </w:r>
    </w:p>
    <w:p>
      <w:pPr>
        <w:numPr>
          <w:ilvl w:val="0"/>
          <w:numId w:val="5"/>
        </w:numPr>
        <w:spacing w:after="0" w:line="240" w:lineRule="auto"/>
        <w:rPr>
          <w:rFonts w:ascii="Arial" w:hAnsi="Arial" w:eastAsia="Times New Roman" w:cs="Arial"/>
          <w:sz w:val="24"/>
          <w:szCs w:val="24"/>
          <w:lang w:val="sr-Latn-ME"/>
        </w:rPr>
      </w:pPr>
      <w:bookmarkStart w:id="4" w:name="_Toc62730558"/>
      <w:r>
        <w:rPr>
          <w:rFonts w:ascii="Arial" w:hAnsi="Arial" w:eastAsia="Times New Roman" w:cs="Arial"/>
          <w:sz w:val="24"/>
          <w:szCs w:val="24"/>
          <w:lang w:val="sr-Latn-ME"/>
        </w:rPr>
        <w:t>je vršio neprimjeren uticaj u smislu člana 38 stav 2 tačka 1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sukob interesa iz člana 41 stav 1 tačka 2 ili člana 42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ne ispunjava uslov iz člana 99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ne ispunjava uslov iz čl. 102, 104 ili 106 ovog zakona predviđen tenderskom dokumentacijom;</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nije dostavio izjavu privrednog subjekta ili dostavljena izjava ne sadrži informacije i podatke tražene tenderskom dokumentacijom ili je nepravilno sačinjena;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razlog na osnovu kojeg se smatra da je odustao od prijave, odnosno ponude, a koji je propisan članom 120 stav 15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drugi razlog propisan ovim zakonom.</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r>
        <w:rPr>
          <w:rFonts w:ascii="Arial" w:hAnsi="Arial" w:eastAsia="Times New Roman" w:cs="Times New Roman"/>
          <w:b/>
          <w:sz w:val="24"/>
          <w:szCs w:val="32"/>
          <w:lang w:val="sr-Latn-ME"/>
        </w:rPr>
        <w:t>5. SREDSTVA FINANSIJSKOG OBEZBJEĐENJA UGOVORA O JAVNOJ NABAVCI</w:t>
      </w:r>
      <w:bookmarkEnd w:id="4"/>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Ponuđač čija ponuda bude izabrana kao najpovoljnija je dužan da uz potpisan ugovor o javnoj nabavci dostavi naručiocu:</w:t>
      </w:r>
    </w:p>
    <w:p>
      <w:pPr>
        <w:spacing w:after="0" w:line="240" w:lineRule="auto"/>
        <w:jc w:val="both"/>
        <w:rPr>
          <w:rFonts w:ascii="Arial" w:hAnsi="Arial" w:eastAsia="Times New Roman" w:cs="Arial"/>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 xml:space="preserve">garanciju za dobro izvršenje ugovora za slučaj </w:t>
      </w:r>
      <w:r>
        <w:rPr>
          <w:rFonts w:ascii="Arial" w:hAnsi="Arial" w:eastAsia="Times New Roman" w:cs="Arial"/>
          <w:color w:val="000000"/>
          <w:sz w:val="24"/>
          <w:szCs w:val="24"/>
          <w:lang w:val="sr-Latn-ME"/>
        </w:rPr>
        <w:t>povrede ugovorenih obaveze (ako je raskid ugovora nastao zbog neispunjenja ugovorenih obaveza natalih činjenjem ili nečinjenjem ponuđača),</w:t>
      </w:r>
      <w:r>
        <w:rPr>
          <w:rFonts w:ascii="Arial" w:hAnsi="Arial" w:eastAsia="Times New Roman" w:cs="Arial"/>
          <w:sz w:val="24"/>
          <w:szCs w:val="24"/>
          <w:lang w:val="sr-Latn-ME"/>
        </w:rPr>
        <w:t xml:space="preserve"> </w:t>
      </w:r>
      <w:r>
        <w:rPr>
          <w:rFonts w:ascii="Arial" w:hAnsi="Arial" w:eastAsia="Times New Roman" w:cs="Arial"/>
          <w:color w:val="000000"/>
          <w:sz w:val="24"/>
          <w:szCs w:val="24"/>
          <w:lang w:val="sr-Latn-ME"/>
        </w:rPr>
        <w:t>u iznosu od 10 % od vrijednosti ugovora.</w:t>
      </w:r>
      <w:r>
        <w:rPr>
          <w:rFonts w:ascii="Arial" w:hAnsi="Arial" w:eastAsia="Times New Roman" w:cs="Arial"/>
          <w:sz w:val="24"/>
          <w:szCs w:val="24"/>
          <w:vertAlign w:val="superscript"/>
          <w:lang w:val="sr-Latn-ME"/>
        </w:rPr>
        <w:t xml:space="preserve"> </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5" w:name="_Toc62730559"/>
      <w:r>
        <w:rPr>
          <w:rFonts w:ascii="Arial" w:hAnsi="Arial" w:eastAsia="Times New Roman" w:cs="Times New Roman"/>
          <w:b/>
          <w:sz w:val="24"/>
          <w:szCs w:val="32"/>
          <w:lang w:val="sr-Latn-ME"/>
        </w:rPr>
        <w:t>6. METODOLOGIJA VREDNOVANJA PONUDA</w:t>
      </w:r>
      <w:bookmarkEnd w:id="5"/>
    </w:p>
    <w:p>
      <w:pPr>
        <w:spacing w:after="0" w:line="240" w:lineRule="auto"/>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Naručilac će u postupku javne nabavki izabrati ekonomski najpovoljniju ponudu, primjenom pristupa isplativosti, po osnovu kriterijuma:</w:t>
      </w:r>
    </w:p>
    <w:p>
      <w:pPr>
        <w:spacing w:after="0" w:line="240" w:lineRule="auto"/>
        <w:jc w:val="both"/>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 xml:space="preserve">odnos cijene i kvaliteta </w:t>
      </w:r>
    </w:p>
    <w:p>
      <w:pPr>
        <w:spacing w:after="0" w:line="240" w:lineRule="auto"/>
        <w:jc w:val="both"/>
        <w:rPr>
          <w:rFonts w:ascii="Arial" w:hAnsi="Arial" w:eastAsia="Times New Roman" w:cs="Arial"/>
          <w:i/>
          <w:color w:val="000000"/>
          <w:sz w:val="24"/>
          <w:szCs w:val="24"/>
          <w:lang w:val="sr-Latn-ME"/>
        </w:rPr>
      </w:pPr>
    </w:p>
    <w:p>
      <w:pPr>
        <w:jc w:val="both"/>
        <w:rPr>
          <w:rFonts w:ascii="Arial" w:hAnsi="Arial" w:eastAsia="Calibri" w:cs="Arial"/>
          <w:sz w:val="24"/>
          <w:szCs w:val="24"/>
          <w:lang w:val="sr-Latn-ME"/>
        </w:rPr>
      </w:pPr>
      <w:r>
        <w:rPr>
          <w:rFonts w:ascii="Arial" w:hAnsi="Arial" w:eastAsia="Calibri" w:cs="Arial"/>
          <w:sz w:val="24"/>
          <w:szCs w:val="24"/>
          <w:lang w:val="sr-Latn-ME"/>
        </w:rPr>
        <w:t>Naručilac se opredijelio za vrednovanje ponuda po kriterijumu odnos cijene i kvaliteta, a shodno Pravilniku o metodologiji načina vrednovanja ponuda u postupku javnih nabavki.</w:t>
      </w:r>
    </w:p>
    <w:p>
      <w:pPr>
        <w:jc w:val="both"/>
        <w:rPr>
          <w:rFonts w:ascii="Arial" w:hAnsi="Arial" w:eastAsia="Calibri" w:cs="Arial"/>
          <w:sz w:val="24"/>
          <w:szCs w:val="24"/>
          <w:lang w:val="sr-Latn-ME"/>
        </w:rPr>
      </w:pPr>
      <w:r>
        <w:rPr>
          <w:rFonts w:ascii="Arial" w:hAnsi="Arial" w:eastAsia="Calibri" w:cs="Arial"/>
          <w:sz w:val="24"/>
          <w:szCs w:val="24"/>
          <w:lang w:val="sr-Latn-ME"/>
        </w:rPr>
        <w:t>Vrednovanje će se vršiti na osnovu sljedećih parametara:</w:t>
      </w:r>
    </w:p>
    <w:p>
      <w:pPr>
        <w:ind w:left="284"/>
        <w:jc w:val="both"/>
        <w:rPr>
          <w:rFonts w:ascii="Arial" w:hAnsi="Arial" w:eastAsia="Calibri" w:cs="Arial"/>
          <w:sz w:val="24"/>
          <w:szCs w:val="24"/>
          <w:lang w:val="sr-Latn-ME"/>
        </w:rPr>
      </w:pPr>
      <w:r>
        <w:rPr>
          <w:rFonts w:ascii="Arial" w:hAnsi="Arial" w:eastAsia="Calibri" w:cs="Arial"/>
          <w:b/>
          <w:sz w:val="24"/>
          <w:szCs w:val="24"/>
          <w:lang w:val="sr-Latn-ME"/>
        </w:rPr>
        <w:sym w:font="Wingdings" w:char="F0FE"/>
      </w:r>
      <w:r>
        <w:rPr>
          <w:rFonts w:ascii="Arial" w:hAnsi="Arial" w:eastAsia="Calibri" w:cs="Arial"/>
          <w:sz w:val="24"/>
          <w:szCs w:val="24"/>
          <w:lang w:val="sr-Latn-ME"/>
        </w:rPr>
        <w:t xml:space="preserve"> najniža ponuđena cijena (C)</w:t>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 xml:space="preserve">           broj bodova  </w:t>
      </w:r>
      <w:r>
        <w:rPr>
          <w:rFonts w:ascii="Arial" w:hAnsi="Arial" w:eastAsia="Calibri" w:cs="Arial"/>
          <w:sz w:val="24"/>
          <w:szCs w:val="24"/>
          <w:bdr w:val="single" w:color="auto" w:sz="4" w:space="0"/>
          <w:lang w:val="sr-Latn-ME"/>
        </w:rPr>
        <w:t xml:space="preserve">70 </w:t>
      </w:r>
    </w:p>
    <w:p>
      <w:pPr>
        <w:ind w:left="284"/>
        <w:jc w:val="both"/>
        <w:rPr>
          <w:rFonts w:ascii="Arial" w:hAnsi="Arial" w:eastAsia="Calibri" w:cs="Arial"/>
          <w:sz w:val="24"/>
          <w:szCs w:val="24"/>
          <w:bdr w:val="single" w:color="auto" w:sz="4" w:space="0"/>
          <w:lang w:val="sr-Latn-ME"/>
        </w:rPr>
      </w:pPr>
      <w:r>
        <w:rPr>
          <w:rFonts w:ascii="Arial" w:hAnsi="Arial" w:eastAsia="Calibri" w:cs="Arial"/>
          <w:b/>
          <w:sz w:val="24"/>
          <w:szCs w:val="24"/>
          <w:lang w:val="sr-Latn-ME"/>
        </w:rPr>
        <w:sym w:font="Wingdings" w:char="F0FE"/>
      </w:r>
      <w:r>
        <w:rPr>
          <w:rFonts w:ascii="Arial" w:hAnsi="Arial" w:eastAsia="Calibri" w:cs="Arial"/>
          <w:sz w:val="24"/>
          <w:szCs w:val="24"/>
          <w:lang w:val="sr-Latn-ME"/>
        </w:rPr>
        <w:t xml:space="preserve"> kvalitet  (K)</w:t>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 xml:space="preserve">broj bodova  </w:t>
      </w:r>
      <w:r>
        <w:rPr>
          <w:rFonts w:ascii="Arial" w:hAnsi="Arial" w:eastAsia="Calibri" w:cs="Arial"/>
          <w:sz w:val="24"/>
          <w:szCs w:val="24"/>
          <w:bdr w:val="single" w:color="auto" w:sz="4" w:space="0"/>
          <w:lang w:val="sr-Latn-ME"/>
        </w:rPr>
        <w:t>30</w:t>
      </w:r>
    </w:p>
    <w:p>
      <w:pPr>
        <w:jc w:val="both"/>
        <w:rPr>
          <w:rFonts w:ascii="Arial" w:hAnsi="Arial" w:eastAsia="Calibri" w:cs="Arial"/>
          <w:b/>
          <w:sz w:val="24"/>
          <w:szCs w:val="24"/>
          <w:lang w:val="sr-Latn-ME"/>
        </w:rPr>
      </w:pPr>
      <w:r>
        <w:rPr>
          <w:rFonts w:ascii="Arial" w:hAnsi="Arial" w:eastAsia="Calibri" w:cs="Arial"/>
          <w:color w:val="000000"/>
          <w:sz w:val="24"/>
          <w:szCs w:val="24"/>
          <w:lang w:val="sr-Latn-ME"/>
        </w:rPr>
        <w:sym w:font="Wingdings" w:char="F0FE"/>
      </w:r>
      <w:r>
        <w:rPr>
          <w:rFonts w:ascii="Arial" w:hAnsi="Arial" w:eastAsia="Calibri" w:cs="Arial"/>
          <w:color w:val="000000"/>
          <w:sz w:val="24"/>
          <w:szCs w:val="24"/>
          <w:lang w:val="sr-Latn-ME"/>
        </w:rPr>
        <w:t xml:space="preserve"> </w:t>
      </w:r>
      <w:r>
        <w:rPr>
          <w:rFonts w:ascii="Arial" w:hAnsi="Arial" w:eastAsia="Calibri" w:cs="Arial"/>
          <w:b/>
          <w:sz w:val="24"/>
          <w:szCs w:val="24"/>
          <w:lang w:val="sr-Latn-ME"/>
        </w:rPr>
        <w:t>parametar najniža ponuđena cijena (C) vrednovaće se na sljedeći način: ukupno 70 bodova</w:t>
      </w:r>
    </w:p>
    <w:p>
      <w:pPr>
        <w:tabs>
          <w:tab w:val="left" w:pos="0"/>
        </w:tabs>
        <w:jc w:val="both"/>
        <w:rPr>
          <w:rFonts w:ascii="Arial" w:hAnsi="Arial" w:eastAsia="Calibri" w:cs="Arial"/>
          <w:iCs/>
          <w:sz w:val="24"/>
          <w:szCs w:val="24"/>
          <w:lang w:val="sr-Latn-ME"/>
        </w:rPr>
      </w:pPr>
      <w:r>
        <w:rPr>
          <w:rFonts w:ascii="Arial" w:hAnsi="Arial" w:eastAsia="Calibri" w:cs="Arial"/>
          <w:iCs/>
          <w:sz w:val="24"/>
          <w:szCs w:val="24"/>
          <w:lang w:val="sr-Latn-ME"/>
        </w:rPr>
        <w:t>Bodovi za parametar najniža ponuđena cijena izračunavaju se na način što se kao osnova za vrednovanje uzima najniža ponuđena cijena, koja dobija maksimalan broj bodova – 70 bodova.</w:t>
      </w:r>
    </w:p>
    <w:p>
      <w:pPr>
        <w:numPr>
          <w:ilvl w:val="0"/>
          <w:numId w:val="6"/>
        </w:numPr>
        <w:spacing w:after="0" w:line="240" w:lineRule="auto"/>
        <w:ind w:left="567"/>
        <w:rPr>
          <w:rFonts w:ascii="Arial" w:hAnsi="Arial" w:eastAsia="PMingLiU" w:cs="Arial"/>
          <w:sz w:val="24"/>
          <w:szCs w:val="24"/>
          <w:u w:val="single"/>
          <w:lang w:val="sr-Latn-ME" w:eastAsia="zh-TW"/>
        </w:rPr>
      </w:pPr>
      <w:r>
        <w:rPr>
          <w:rFonts w:ascii="Arial" w:hAnsi="Arial" w:eastAsia="PMingLiU" w:cs="Arial"/>
          <w:sz w:val="24"/>
          <w:szCs w:val="24"/>
          <w:lang w:val="sr-Latn-ME" w:eastAsia="zh-TW"/>
        </w:rPr>
        <w:t xml:space="preserve">Ostale ponude će dobiti bodove po sljedećoj formuli: </w:t>
      </w:r>
    </w:p>
    <w:p>
      <w:pPr>
        <w:spacing w:before="96" w:after="0" w:line="240" w:lineRule="auto"/>
        <w:ind w:left="567"/>
        <w:rPr>
          <w:rFonts w:ascii="Arial" w:hAnsi="Arial" w:eastAsia="PMingLiU" w:cs="Arial"/>
          <w:sz w:val="24"/>
          <w:szCs w:val="24"/>
          <w:u w:val="single"/>
          <w:lang w:val="sr-Latn-ME" w:eastAsia="zh-TW"/>
        </w:rPr>
      </w:pPr>
      <w:r>
        <w:rPr>
          <w:rFonts w:ascii="Arial" w:hAnsi="Arial" w:eastAsia="PMingLiU" w:cs="Arial"/>
          <w:sz w:val="24"/>
          <w:szCs w:val="24"/>
          <w:lang w:val="sr-Latn-ME" w:eastAsia="zh-TW"/>
        </w:rPr>
        <w:t xml:space="preserve">           C= (C</w:t>
      </w:r>
      <w:r>
        <w:rPr>
          <w:rFonts w:ascii="Arial" w:hAnsi="Arial" w:eastAsia="PMingLiU" w:cs="Arial"/>
          <w:sz w:val="24"/>
          <w:szCs w:val="24"/>
          <w:vertAlign w:val="subscript"/>
          <w:lang w:val="sr-Latn-ME" w:eastAsia="zh-TW"/>
        </w:rPr>
        <w:t>min</w:t>
      </w:r>
      <w:r>
        <w:rPr>
          <w:rFonts w:ascii="Arial" w:hAnsi="Arial" w:eastAsia="PMingLiU" w:cs="Arial"/>
          <w:sz w:val="24"/>
          <w:szCs w:val="24"/>
          <w:lang w:val="sr-Latn-ME" w:eastAsia="zh-TW"/>
        </w:rPr>
        <w:t>/ C</w:t>
      </w:r>
      <w:r>
        <w:rPr>
          <w:rFonts w:ascii="Arial" w:hAnsi="Arial" w:eastAsia="PMingLiU" w:cs="Arial"/>
          <w:sz w:val="24"/>
          <w:szCs w:val="24"/>
          <w:vertAlign w:val="subscript"/>
          <w:lang w:val="sr-Latn-ME" w:eastAsia="zh-TW"/>
        </w:rPr>
        <w:t>p</w:t>
      </w:r>
      <w:r>
        <w:rPr>
          <w:rFonts w:ascii="Arial" w:hAnsi="Arial" w:eastAsia="PMingLiU" w:cs="Arial"/>
          <w:sz w:val="24"/>
          <w:szCs w:val="24"/>
          <w:lang w:val="sr-Latn-ME" w:eastAsia="zh-TW"/>
        </w:rPr>
        <w:t>) x 70</w:t>
      </w:r>
    </w:p>
    <w:p>
      <w:pPr>
        <w:ind w:left="851"/>
        <w:jc w:val="both"/>
        <w:rPr>
          <w:rFonts w:ascii="Arial" w:hAnsi="Arial" w:eastAsia="Calibri" w:cs="Arial"/>
          <w:b/>
          <w:bCs/>
          <w:i/>
          <w:iCs/>
          <w:color w:val="000000"/>
          <w:sz w:val="24"/>
          <w:szCs w:val="24"/>
          <w:lang w:val="sr-Latn-ME"/>
        </w:rPr>
      </w:pPr>
      <w:r>
        <w:rPr>
          <w:rFonts w:ascii="Arial" w:hAnsi="Arial" w:eastAsia="PMingLiU" w:cs="Arial"/>
          <w:sz w:val="24"/>
          <w:szCs w:val="24"/>
          <w:lang w:val="sr-Latn-ME" w:eastAsia="zh-TW"/>
        </w:rPr>
        <w:t xml:space="preserve">      C</w:t>
      </w:r>
      <w:r>
        <w:rPr>
          <w:rFonts w:ascii="Arial" w:hAnsi="Arial" w:eastAsia="PMingLiU" w:cs="Arial"/>
          <w:sz w:val="24"/>
          <w:szCs w:val="24"/>
          <w:vertAlign w:val="subscript"/>
          <w:lang w:val="sr-Latn-ME" w:eastAsia="zh-TW"/>
        </w:rPr>
        <w:t>min</w:t>
      </w:r>
      <w:r>
        <w:rPr>
          <w:rFonts w:ascii="Arial" w:hAnsi="Arial" w:eastAsia="PMingLiU" w:cs="Arial"/>
          <w:sz w:val="24"/>
          <w:szCs w:val="24"/>
          <w:lang w:val="sr-Latn-ME" w:eastAsia="zh-TW"/>
        </w:rPr>
        <w:t xml:space="preserve"> – najniža ponuđena cijena </w:t>
      </w:r>
    </w:p>
    <w:p>
      <w:pPr>
        <w:ind w:left="1134"/>
        <w:rPr>
          <w:rFonts w:ascii="Arial" w:hAnsi="Arial" w:eastAsia="PMingLiU" w:cs="Arial"/>
          <w:sz w:val="24"/>
          <w:szCs w:val="24"/>
          <w:lang w:val="sr-Latn-ME" w:eastAsia="zh-TW"/>
        </w:rPr>
      </w:pPr>
      <w:r>
        <w:rPr>
          <w:rFonts w:ascii="Arial" w:hAnsi="Arial" w:eastAsia="PMingLiU" w:cs="Arial"/>
          <w:sz w:val="24"/>
          <w:szCs w:val="24"/>
          <w:lang w:val="sr-Latn-ME" w:eastAsia="zh-TW"/>
        </w:rPr>
        <w:t xml:space="preserve">  C</w:t>
      </w:r>
      <w:r>
        <w:rPr>
          <w:rFonts w:ascii="Arial" w:hAnsi="Arial" w:eastAsia="PMingLiU" w:cs="Arial"/>
          <w:sz w:val="24"/>
          <w:szCs w:val="24"/>
          <w:vertAlign w:val="subscript"/>
          <w:lang w:val="sr-Latn-ME" w:eastAsia="zh-TW"/>
        </w:rPr>
        <w:t>p</w:t>
      </w:r>
      <w:r>
        <w:rPr>
          <w:rFonts w:ascii="Arial" w:hAnsi="Arial" w:eastAsia="PMingLiU" w:cs="Arial"/>
          <w:sz w:val="24"/>
          <w:szCs w:val="24"/>
          <w:lang w:val="sr-Latn-ME" w:eastAsia="zh-TW"/>
        </w:rPr>
        <w:t xml:space="preserve">   – ponuđena cijena </w:t>
      </w:r>
    </w:p>
    <w:p>
      <w:pPr>
        <w:spacing w:after="0" w:line="240" w:lineRule="auto"/>
        <w:jc w:val="both"/>
        <w:rPr>
          <w:rFonts w:ascii="Arial" w:hAnsi="Arial" w:eastAsia="Calibri" w:cs="Arial"/>
          <w:b/>
          <w:sz w:val="24"/>
          <w:szCs w:val="24"/>
          <w:lang w:val="sr-Latn-ME"/>
        </w:rPr>
      </w:pPr>
      <w:r>
        <w:rPr>
          <w:rFonts w:ascii="Arial" w:hAnsi="Arial" w:eastAsia="Calibri" w:cs="Arial"/>
          <w:b/>
          <w:color w:val="000000"/>
          <w:sz w:val="24"/>
          <w:szCs w:val="24"/>
          <w:lang w:val="sr-Latn-ME"/>
        </w:rPr>
        <w:sym w:font="Wingdings" w:char="F0FE"/>
      </w:r>
      <w:r>
        <w:rPr>
          <w:rFonts w:ascii="Arial" w:hAnsi="Arial" w:eastAsia="Calibri" w:cs="Arial"/>
          <w:b/>
          <w:sz w:val="24"/>
          <w:szCs w:val="24"/>
          <w:lang w:val="sr-Latn-ME"/>
        </w:rPr>
        <w:t xml:space="preserve"> parametar kvalitet (K) – iskustvo lica kojima će biti povjereno izvršenje predmeta nabavke vrednovaće se na sljedeći način – ukupno 30 bodova</w:t>
      </w:r>
    </w:p>
    <w:p>
      <w:pPr>
        <w:spacing w:after="0" w:line="240" w:lineRule="auto"/>
        <w:rPr>
          <w:rFonts w:ascii="Arial" w:hAnsi="Arial" w:eastAsia="Calibri" w:cs="Arial"/>
          <w:b/>
          <w:sz w:val="24"/>
          <w:szCs w:val="24"/>
          <w:lang w:val="sr-Latn-ME"/>
        </w:rPr>
      </w:pPr>
    </w:p>
    <w:p>
      <w:pPr>
        <w:jc w:val="both"/>
        <w:rPr>
          <w:rFonts w:ascii="Arial" w:hAnsi="Arial" w:eastAsia="Calibri" w:cs="Arial"/>
          <w:sz w:val="24"/>
          <w:szCs w:val="24"/>
          <w:lang w:val="sr-Latn-ME"/>
        </w:rPr>
      </w:pPr>
      <w:r>
        <w:rPr>
          <w:rFonts w:ascii="Arial" w:hAnsi="Arial" w:eastAsia="Calibri" w:cs="Arial"/>
          <w:sz w:val="24"/>
          <w:szCs w:val="24"/>
          <w:lang w:val="sr-Latn-ME"/>
        </w:rPr>
        <w:t>Kao osnova za vrednovanje uzimaju se reference osoblja angažovanog na projektu. Naručilac je u cilju vrednovanja odredio da se za parametar kvalitet uvedu dodatni elementi, na način što se za svaki element utvrdi određeni broj bodova tako da njihov zbir daje maksimalan broj bodova predviđen po ovom parametru (30 bodova), i to:</w:t>
      </w:r>
    </w:p>
    <w:p>
      <w:pPr>
        <w:spacing w:before="96" w:after="120" w:line="360" w:lineRule="atLeast"/>
        <w:jc w:val="both"/>
        <w:rPr>
          <w:rFonts w:ascii="Arial" w:hAnsi="Arial" w:eastAsia="Calibri" w:cs="Arial"/>
          <w:sz w:val="24"/>
          <w:szCs w:val="24"/>
          <w:u w:val="single"/>
          <w:lang w:val="sr-Latn-ME"/>
        </w:rPr>
      </w:pPr>
      <w:r>
        <w:rPr>
          <w:rFonts w:ascii="Arial" w:hAnsi="Arial" w:eastAsia="Calibri" w:cs="Arial"/>
          <w:b/>
          <w:sz w:val="24"/>
          <w:szCs w:val="24"/>
          <w:lang w:val="sr-Latn-ME"/>
        </w:rPr>
        <w:t xml:space="preserve">a) </w:t>
      </w:r>
      <w:r>
        <w:rPr>
          <w:rFonts w:ascii="Arial" w:hAnsi="Arial" w:eastAsia="Calibri" w:cs="Arial"/>
          <w:b/>
          <w:color w:val="000000"/>
          <w:sz w:val="24"/>
          <w:szCs w:val="24"/>
          <w:lang w:val="sl-SI"/>
        </w:rPr>
        <w:t>Konsultant za održavanje funkcionalnosti SAP modula koji su predmet nabavke</w:t>
      </w:r>
      <w:r>
        <w:rPr>
          <w:rFonts w:ascii="Arial" w:hAnsi="Arial" w:eastAsia="Calibri" w:cs="Arial"/>
          <w:b/>
          <w:sz w:val="24"/>
          <w:szCs w:val="24"/>
          <w:lang w:val="sr-Latn-ME"/>
        </w:rPr>
        <w:t xml:space="preserve"> (K1) – </w:t>
      </w:r>
      <w:r>
        <w:rPr>
          <w:rFonts w:ascii="Arial" w:hAnsi="Arial" w:eastAsia="Calibri" w:cs="Arial"/>
          <w:sz w:val="24"/>
          <w:szCs w:val="24"/>
          <w:lang w:val="sr-Latn-ME"/>
        </w:rPr>
        <w:t>najmanje</w:t>
      </w:r>
      <w:r>
        <w:rPr>
          <w:rFonts w:ascii="Arial" w:hAnsi="Arial" w:eastAsia="Calibri" w:cs="Arial"/>
          <w:b/>
          <w:sz w:val="24"/>
          <w:szCs w:val="24"/>
          <w:lang w:val="sr-Latn-ME"/>
        </w:rPr>
        <w:t xml:space="preserve"> </w:t>
      </w:r>
      <w:r>
        <w:rPr>
          <w:rFonts w:ascii="Arial" w:hAnsi="Arial" w:eastAsia="Calibri" w:cs="Arial"/>
          <w:sz w:val="24"/>
          <w:szCs w:val="24"/>
          <w:lang w:val="sr-Latn-ME"/>
        </w:rPr>
        <w:t>jedno lice</w:t>
      </w:r>
      <w:r>
        <w:rPr>
          <w:rFonts w:ascii="Arial" w:hAnsi="Arial" w:eastAsia="Calibri" w:cs="Arial"/>
          <w:b/>
          <w:sz w:val="24"/>
          <w:szCs w:val="24"/>
          <w:lang w:val="sr-Latn-ME"/>
        </w:rPr>
        <w:t>,</w:t>
      </w:r>
      <w:r>
        <w:rPr>
          <w:rFonts w:ascii="Arial" w:hAnsi="Arial" w:eastAsia="Calibri" w:cs="Arial"/>
          <w:sz w:val="24"/>
          <w:szCs w:val="24"/>
          <w:lang w:val="sr-Latn-ME"/>
        </w:rPr>
        <w:t xml:space="preserve"> izračunava se na način što se kao osnova za vrednovanje uzima broj uspješno realizovanih projekata koji uključuju implementaciju, nadogradnju ili održavanje SAP poslovnih sistema u kojima je lice učestvovalo kao SAP konsultant </w:t>
      </w:r>
      <w:r>
        <w:rPr>
          <w:rFonts w:ascii="Arial" w:hAnsi="Arial" w:eastAsia="Calibri" w:cs="Arial"/>
          <w:color w:val="000000"/>
          <w:sz w:val="24"/>
          <w:szCs w:val="24"/>
          <w:lang w:val="sl-SI"/>
        </w:rPr>
        <w:t>za održavanje funkcionalnosti SAP modula</w:t>
      </w:r>
      <w:r>
        <w:rPr>
          <w:rFonts w:ascii="Arial" w:hAnsi="Arial" w:eastAsia="Calibri" w:cs="Arial"/>
          <w:sz w:val="24"/>
          <w:szCs w:val="24"/>
          <w:lang w:val="sr-Latn-ME"/>
        </w:rPr>
        <w:t xml:space="preserve">: </w:t>
      </w:r>
      <w:r>
        <w:rPr>
          <w:rFonts w:ascii="Arial" w:hAnsi="Arial" w:eastAsia="Calibri" w:cs="Arial"/>
          <w:b/>
          <w:sz w:val="24"/>
          <w:szCs w:val="24"/>
          <w:lang w:val="sr-Latn-ME"/>
        </w:rPr>
        <w:t>ukupno</w:t>
      </w:r>
      <w:r>
        <w:rPr>
          <w:rFonts w:ascii="Arial" w:hAnsi="Arial" w:eastAsia="Calibri" w:cs="Arial"/>
          <w:sz w:val="24"/>
          <w:szCs w:val="24"/>
          <w:lang w:val="sr-Latn-ME"/>
        </w:rPr>
        <w:t xml:space="preserve"> </w:t>
      </w:r>
      <w:r>
        <w:rPr>
          <w:rFonts w:ascii="Arial" w:hAnsi="Arial" w:eastAsia="Calibri" w:cs="Arial"/>
          <w:b/>
          <w:sz w:val="24"/>
          <w:szCs w:val="24"/>
          <w:lang w:val="sr-Latn-ME"/>
        </w:rPr>
        <w:t>10 bodova</w:t>
      </w:r>
    </w:p>
    <w:p>
      <w:pPr>
        <w:spacing w:before="96" w:after="0" w:line="360" w:lineRule="atLeast"/>
        <w:ind w:firstLine="708"/>
        <w:jc w:val="both"/>
        <w:rPr>
          <w:rFonts w:ascii="Arial" w:hAnsi="Arial" w:eastAsia="Calibri" w:cs="Arial"/>
          <w:sz w:val="24"/>
          <w:szCs w:val="24"/>
          <w:lang w:val="sr-Latn-ME"/>
        </w:rPr>
      </w:pPr>
      <w:r>
        <w:rPr>
          <w:rFonts w:ascii="Arial" w:hAnsi="Arial" w:eastAsia="Calibri" w:cs="Arial"/>
          <w:sz w:val="24"/>
          <w:szCs w:val="24"/>
          <w:lang w:val="sr-Latn-ME"/>
        </w:rPr>
        <w:t xml:space="preserve">Broj uspješno realizovanih projekata u kojima je lice učestvovalo kao konsultant </w:t>
      </w:r>
      <w:r>
        <w:rPr>
          <w:rFonts w:ascii="Arial" w:hAnsi="Arial" w:eastAsia="Calibri" w:cs="Arial"/>
          <w:color w:val="000000"/>
          <w:sz w:val="24"/>
          <w:szCs w:val="24"/>
          <w:lang w:val="sl-SI"/>
        </w:rPr>
        <w:t>za održavanje funkcionalnosti SAP modula koji su predmet nabavke</w:t>
      </w:r>
      <w:r>
        <w:rPr>
          <w:rFonts w:ascii="Arial" w:hAnsi="Arial" w:eastAsia="Calibri" w:cs="Arial"/>
          <w:sz w:val="24"/>
          <w:szCs w:val="24"/>
          <w:lang w:val="sr-Latn-ME"/>
        </w:rPr>
        <w:t xml:space="preserve"> će se bodovati na sljedeći način:</w:t>
      </w:r>
    </w:p>
    <w:p>
      <w:pPr>
        <w:spacing w:before="96" w:after="0" w:line="360" w:lineRule="atLeast"/>
        <w:jc w:val="both"/>
        <w:rPr>
          <w:rFonts w:ascii="Arial" w:hAnsi="Arial" w:eastAsia="Calibri" w:cs="Arial"/>
          <w:sz w:val="24"/>
          <w:szCs w:val="24"/>
          <w:lang w:val="sr-Latn-ME"/>
        </w:rPr>
      </w:pPr>
      <w:r>
        <w:rPr>
          <w:rFonts w:ascii="Arial" w:hAnsi="Arial" w:eastAsia="Calibri" w:cs="Arial"/>
          <w:sz w:val="24"/>
          <w:szCs w:val="24"/>
          <w:lang w:val="sr-Latn-ME"/>
        </w:rPr>
        <w:t xml:space="preserve">          - Najveći broj uspješno realizovanih projekata u kojima je lice učestvovalo kao konsultant </w:t>
      </w:r>
      <w:r>
        <w:rPr>
          <w:rFonts w:ascii="Arial" w:hAnsi="Arial" w:eastAsia="Calibri" w:cs="Arial"/>
          <w:color w:val="000000"/>
          <w:sz w:val="24"/>
          <w:szCs w:val="24"/>
          <w:lang w:val="sl-SI"/>
        </w:rPr>
        <w:t>za održavanje funkcionalnosti SAP modula koji su predmet nabavke</w:t>
      </w:r>
      <w:r>
        <w:rPr>
          <w:rFonts w:ascii="Arial" w:hAnsi="Arial" w:eastAsia="Calibri" w:cs="Arial"/>
          <w:sz w:val="24"/>
          <w:szCs w:val="24"/>
          <w:lang w:val="sr-Latn-ME"/>
        </w:rPr>
        <w:t xml:space="preserve"> dobija maksimalni broj bodova (10 bodova)</w:t>
      </w:r>
    </w:p>
    <w:p>
      <w:pPr>
        <w:spacing w:after="0" w:line="360" w:lineRule="atLeast"/>
        <w:jc w:val="both"/>
        <w:rPr>
          <w:rFonts w:ascii="Arial" w:hAnsi="Arial" w:eastAsia="Calibri" w:cs="Arial"/>
          <w:sz w:val="24"/>
          <w:szCs w:val="24"/>
          <w:lang w:val="sr-Latn-ME"/>
        </w:rPr>
      </w:pPr>
      <w:r>
        <w:rPr>
          <w:rFonts w:ascii="Arial" w:hAnsi="Arial" w:eastAsia="Calibri" w:cs="Arial"/>
          <w:sz w:val="24"/>
          <w:szCs w:val="24"/>
          <w:lang w:val="sr-Latn-ME"/>
        </w:rPr>
        <w:t xml:space="preserve">          - Ostale ponude će dobiti bodove po sljedećoj formuli: </w:t>
      </w:r>
    </w:p>
    <w:p>
      <w:pPr>
        <w:spacing w:after="0" w:line="360" w:lineRule="atLeast"/>
        <w:ind w:left="1440"/>
        <w:jc w:val="both"/>
        <w:rPr>
          <w:rFonts w:ascii="Arial" w:hAnsi="Arial" w:eastAsia="Calibri" w:cs="Arial"/>
          <w:sz w:val="24"/>
          <w:szCs w:val="24"/>
          <w:lang w:val="sr-Latn-ME"/>
        </w:rPr>
      </w:pPr>
      <w:r>
        <w:rPr>
          <w:rFonts w:ascii="Arial" w:hAnsi="Arial" w:eastAsia="Calibri" w:cs="Arial"/>
          <w:sz w:val="24"/>
          <w:szCs w:val="24"/>
          <w:lang w:val="sr-Latn-ME"/>
        </w:rPr>
        <w:t xml:space="preserve">      </w:t>
      </w:r>
      <w:r>
        <w:rPr>
          <w:rFonts w:ascii="Arial" w:hAnsi="Arial" w:eastAsia="Calibri" w:cs="Arial"/>
          <w:sz w:val="24"/>
          <w:szCs w:val="24"/>
          <w:lang w:val="sr-Latn-ME"/>
        </w:rPr>
        <w:tab/>
      </w:r>
      <w:r>
        <w:rPr>
          <w:rFonts w:ascii="Arial" w:hAnsi="Arial" w:eastAsia="Calibri" w:cs="Arial"/>
          <w:sz w:val="24"/>
          <w:szCs w:val="24"/>
          <w:lang w:val="sr-Latn-ME"/>
        </w:rPr>
        <w:t>K1= (Kp/Kmax) x 10</w:t>
      </w:r>
    </w:p>
    <w:p>
      <w:pPr>
        <w:spacing w:after="0" w:line="360" w:lineRule="atLeast"/>
        <w:ind w:left="1440" w:firstLine="720"/>
        <w:jc w:val="both"/>
        <w:rPr>
          <w:rFonts w:ascii="Arial" w:hAnsi="Arial" w:eastAsia="Calibri" w:cs="Arial"/>
          <w:sz w:val="24"/>
          <w:szCs w:val="24"/>
          <w:lang w:val="sr-Latn-ME"/>
        </w:rPr>
      </w:pPr>
      <w:r>
        <w:rPr>
          <w:rFonts w:ascii="Arial" w:hAnsi="Arial" w:eastAsia="Calibri" w:cs="Arial"/>
          <w:sz w:val="24"/>
          <w:szCs w:val="24"/>
          <w:lang w:val="sr-Latn-ME"/>
        </w:rPr>
        <w:t xml:space="preserve">Kp –  broj uspješno realizovanih projekata u kojima je lice učestvovalo kao konsultant </w:t>
      </w:r>
      <w:r>
        <w:rPr>
          <w:rFonts w:ascii="Arial" w:hAnsi="Arial" w:eastAsia="Calibri" w:cs="Arial"/>
          <w:color w:val="000000"/>
          <w:sz w:val="24"/>
          <w:szCs w:val="24"/>
          <w:lang w:val="sl-SI"/>
        </w:rPr>
        <w:t>za održavanje funkcionalnosti SAP modula koji su predmet nabavke</w:t>
      </w:r>
    </w:p>
    <w:p>
      <w:pPr>
        <w:spacing w:after="0" w:line="360" w:lineRule="atLeast"/>
        <w:ind w:left="1440" w:firstLine="720"/>
        <w:jc w:val="both"/>
        <w:rPr>
          <w:rFonts w:ascii="Arial" w:hAnsi="Arial" w:eastAsia="Calibri" w:cs="Arial"/>
          <w:sz w:val="24"/>
          <w:szCs w:val="24"/>
          <w:lang w:val="sr-Latn-ME"/>
        </w:rPr>
      </w:pPr>
      <w:r>
        <w:rPr>
          <w:rFonts w:ascii="Arial" w:hAnsi="Arial" w:eastAsia="Calibri" w:cs="Arial"/>
          <w:sz w:val="24"/>
          <w:szCs w:val="24"/>
          <w:lang w:val="sr-Latn-ME"/>
        </w:rPr>
        <w:t xml:space="preserve">Kmax – najveći ponuđeni broj uspješno realizovanih projekata u kojima je lice učestvovalo konsultant </w:t>
      </w:r>
      <w:r>
        <w:rPr>
          <w:rFonts w:ascii="Arial" w:hAnsi="Arial" w:eastAsia="Calibri" w:cs="Arial"/>
          <w:color w:val="000000"/>
          <w:sz w:val="24"/>
          <w:szCs w:val="24"/>
          <w:lang w:val="sl-SI"/>
        </w:rPr>
        <w:t>za održavanje funkcionalnosti SAP modula koji su predmet nabavke</w:t>
      </w:r>
      <w:r>
        <w:rPr>
          <w:rFonts w:ascii="Arial" w:hAnsi="Arial" w:eastAsia="Calibri" w:cs="Arial"/>
          <w:sz w:val="24"/>
          <w:szCs w:val="24"/>
          <w:lang w:val="sr-Latn-ME"/>
        </w:rPr>
        <w:t xml:space="preserve"> </w:t>
      </w:r>
    </w:p>
    <w:p>
      <w:pPr>
        <w:spacing w:before="96" w:after="0" w:line="360" w:lineRule="atLeast"/>
        <w:jc w:val="both"/>
        <w:rPr>
          <w:rFonts w:ascii="Arial" w:hAnsi="Arial" w:eastAsia="Calibri" w:cs="Arial"/>
          <w:sz w:val="24"/>
          <w:szCs w:val="24"/>
          <w:lang w:val="sr-Latn-ME"/>
        </w:rPr>
      </w:pPr>
      <w:r>
        <w:rPr>
          <w:rFonts w:ascii="Arial" w:hAnsi="Arial" w:eastAsia="Calibri" w:cs="Arial"/>
          <w:sz w:val="24"/>
          <w:szCs w:val="24"/>
          <w:lang w:val="sr-Latn-ME"/>
        </w:rPr>
        <w:t xml:space="preserve">Parametar </w:t>
      </w:r>
      <w:r>
        <w:rPr>
          <w:rFonts w:ascii="Arial" w:hAnsi="Arial" w:eastAsia="Calibri" w:cs="Arial"/>
          <w:sz w:val="24"/>
          <w:szCs w:val="24"/>
          <w:u w:val="single"/>
          <w:lang w:val="sr-Latn-ME"/>
        </w:rPr>
        <w:t>se dokazuje</w:t>
      </w:r>
      <w:r>
        <w:rPr>
          <w:rFonts w:ascii="Arial" w:hAnsi="Arial" w:eastAsia="Calibri" w:cs="Arial"/>
          <w:sz w:val="24"/>
          <w:szCs w:val="24"/>
          <w:lang w:val="sr-Latn-ME"/>
        </w:rPr>
        <w:t xml:space="preserve"> prilaganjem potvrde o uspješno izvršenim uslugama koji uključuju implementaciju, nadogradnju ili održavanje SAP poslovnih sistema u kojima je lice učestvovalo kao konsultant </w:t>
      </w:r>
      <w:r>
        <w:rPr>
          <w:rFonts w:ascii="Arial" w:hAnsi="Arial" w:eastAsia="Calibri" w:cs="Arial"/>
          <w:color w:val="000000"/>
          <w:sz w:val="24"/>
          <w:szCs w:val="24"/>
          <w:lang w:val="sl-SI"/>
        </w:rPr>
        <w:t>za održavanje funkcionalnosti SAP modula koji su predmet nabavke</w:t>
      </w:r>
      <w:r>
        <w:rPr>
          <w:rFonts w:ascii="Arial" w:hAnsi="Arial" w:eastAsia="Calibri" w:cs="Arial"/>
          <w:b/>
          <w:color w:val="000000"/>
          <w:sz w:val="24"/>
          <w:szCs w:val="24"/>
          <w:lang w:val="sl-SI"/>
        </w:rPr>
        <w:t xml:space="preserve"> </w:t>
      </w:r>
      <w:r>
        <w:rPr>
          <w:rFonts w:ascii="Arial" w:hAnsi="Arial" w:eastAsia="Calibri" w:cs="Arial"/>
          <w:sz w:val="24"/>
          <w:szCs w:val="24"/>
          <w:lang w:val="sr-Latn-ME"/>
        </w:rPr>
        <w:t>tokom prethodnih godina ali ne duže od deset godina, računajući i godinu u kojoj je započet postupak javne nabavke, koje sadrže opis i vrijednost predmeta nabavke, vrijeme realizacije ugovora i konstataciju da je ugovor blagovremeno i kvalitetno izvršen.</w:t>
      </w:r>
    </w:p>
    <w:p>
      <w:pPr>
        <w:spacing w:after="0" w:line="240" w:lineRule="auto"/>
        <w:jc w:val="both"/>
        <w:rPr>
          <w:rFonts w:ascii="Arial" w:hAnsi="Arial" w:eastAsia="Calibri" w:cs="Arial"/>
          <w:b/>
          <w:sz w:val="24"/>
          <w:szCs w:val="24"/>
          <w:lang w:val="sr-Latn-ME"/>
        </w:rPr>
      </w:pPr>
    </w:p>
    <w:p>
      <w:pPr>
        <w:spacing w:line="276" w:lineRule="auto"/>
        <w:jc w:val="both"/>
        <w:rPr>
          <w:rFonts w:ascii="Arial" w:hAnsi="Arial" w:eastAsia="Calibri" w:cs="Arial"/>
          <w:sz w:val="24"/>
          <w:szCs w:val="24"/>
          <w:lang w:val="sr-Latn-ME"/>
        </w:rPr>
      </w:pPr>
      <w:r>
        <w:rPr>
          <w:rFonts w:ascii="Arial" w:hAnsi="Arial" w:eastAsia="Calibri" w:cs="Arial"/>
          <w:b/>
          <w:sz w:val="24"/>
          <w:szCs w:val="24"/>
          <w:lang w:val="sr-Latn-ME"/>
        </w:rPr>
        <w:t>b) SAP tehnički konsultant</w:t>
      </w:r>
      <w:r>
        <w:rPr>
          <w:rFonts w:ascii="Arial" w:hAnsi="Arial" w:eastAsia="Calibri" w:cs="Arial"/>
          <w:sz w:val="24"/>
          <w:szCs w:val="24"/>
          <w:lang w:val="sr-Latn-ME"/>
        </w:rPr>
        <w:t xml:space="preserve"> </w:t>
      </w:r>
      <w:r>
        <w:rPr>
          <w:rFonts w:ascii="Arial" w:hAnsi="Arial" w:eastAsia="Calibri" w:cs="Arial"/>
          <w:b/>
          <w:sz w:val="24"/>
          <w:szCs w:val="24"/>
          <w:lang w:val="sr-Latn-ME"/>
        </w:rPr>
        <w:t>(K2) –</w:t>
      </w:r>
      <w:r>
        <w:rPr>
          <w:rFonts w:ascii="Arial" w:hAnsi="Arial" w:eastAsia="Calibri" w:cs="Arial"/>
          <w:sz w:val="24"/>
          <w:szCs w:val="24"/>
          <w:lang w:val="sr-Latn-ME"/>
        </w:rPr>
        <w:t xml:space="preserve"> najmanje jedno lice, izračunava se na način što se kao osnova za vrednovanje uzima broj uspješno realizovanih projekata na kojima je lice učestvovalo kao SAP tehnički konsultant</w:t>
      </w:r>
      <w:r>
        <w:rPr>
          <w:rFonts w:ascii="Arial" w:hAnsi="Arial" w:eastAsia="Calibri" w:cs="Arial"/>
          <w:color w:val="000000"/>
          <w:sz w:val="24"/>
          <w:szCs w:val="24"/>
          <w:lang w:val="sl-SI"/>
        </w:rPr>
        <w:t xml:space="preserve"> na poslovima implementacije, nadogradnje ili održavanja tehničke infrastrukture SAP poslovnih sistema - sistem i baza podataka</w:t>
      </w:r>
      <w:r>
        <w:rPr>
          <w:rFonts w:ascii="Arial" w:hAnsi="Arial" w:eastAsia="Calibri" w:cs="Arial"/>
          <w:sz w:val="24"/>
          <w:szCs w:val="24"/>
          <w:lang w:val="sr-Latn-ME"/>
        </w:rPr>
        <w:t xml:space="preserve">: </w:t>
      </w:r>
      <w:r>
        <w:rPr>
          <w:rFonts w:ascii="Arial" w:hAnsi="Arial" w:eastAsia="Calibri" w:cs="Arial"/>
          <w:b/>
          <w:sz w:val="24"/>
          <w:szCs w:val="24"/>
          <w:lang w:val="sr-Latn-ME"/>
        </w:rPr>
        <w:t>ukupno</w:t>
      </w:r>
      <w:r>
        <w:rPr>
          <w:rFonts w:ascii="Arial" w:hAnsi="Arial" w:eastAsia="Calibri" w:cs="Arial"/>
          <w:sz w:val="24"/>
          <w:szCs w:val="24"/>
          <w:lang w:val="sr-Latn-ME"/>
        </w:rPr>
        <w:t xml:space="preserve"> </w:t>
      </w:r>
      <w:r>
        <w:rPr>
          <w:rFonts w:ascii="Arial" w:hAnsi="Arial" w:eastAsia="Calibri" w:cs="Arial"/>
          <w:b/>
          <w:sz w:val="24"/>
          <w:szCs w:val="24"/>
          <w:lang w:val="sr-Latn-ME"/>
        </w:rPr>
        <w:t>10</w:t>
      </w:r>
      <w:r>
        <w:rPr>
          <w:rFonts w:ascii="Arial" w:hAnsi="Arial" w:eastAsia="Calibri" w:cs="Arial"/>
          <w:sz w:val="24"/>
          <w:szCs w:val="24"/>
          <w:lang w:val="sr-Latn-ME"/>
        </w:rPr>
        <w:t xml:space="preserve"> </w:t>
      </w:r>
      <w:r>
        <w:rPr>
          <w:rFonts w:ascii="Arial" w:hAnsi="Arial" w:eastAsia="Calibri" w:cs="Arial"/>
          <w:b/>
          <w:sz w:val="24"/>
          <w:szCs w:val="24"/>
          <w:lang w:val="sr-Latn-ME"/>
        </w:rPr>
        <w:t>bodova.</w:t>
      </w:r>
    </w:p>
    <w:p>
      <w:pPr>
        <w:spacing w:after="0" w:line="360" w:lineRule="atLeast"/>
        <w:ind w:firstLine="708"/>
        <w:jc w:val="both"/>
        <w:rPr>
          <w:rFonts w:ascii="Arial" w:hAnsi="Arial" w:eastAsia="Calibri" w:cs="Arial"/>
          <w:sz w:val="24"/>
          <w:szCs w:val="24"/>
          <w:lang w:val="sr-Latn-ME"/>
        </w:rPr>
      </w:pPr>
      <w:r>
        <w:rPr>
          <w:rFonts w:ascii="Arial" w:hAnsi="Arial" w:eastAsia="Calibri" w:cs="Arial"/>
          <w:sz w:val="24"/>
          <w:szCs w:val="24"/>
          <w:lang w:val="sr-Latn-ME"/>
        </w:rPr>
        <w:t>Broj uspješno realizovanih projekata na kojima je lice učestvovalo kao SAP tehnički konsultant će se bodovati na sljedeći način:</w:t>
      </w:r>
    </w:p>
    <w:p>
      <w:pPr>
        <w:spacing w:after="0" w:line="360" w:lineRule="atLeast"/>
        <w:ind w:firstLine="708"/>
        <w:jc w:val="both"/>
        <w:rPr>
          <w:rFonts w:ascii="Arial" w:hAnsi="Arial" w:eastAsia="Calibri" w:cs="Arial"/>
          <w:sz w:val="24"/>
          <w:szCs w:val="24"/>
          <w:lang w:val="sr-Latn-ME"/>
        </w:rPr>
      </w:pPr>
      <w:r>
        <w:rPr>
          <w:rFonts w:ascii="Arial" w:hAnsi="Arial" w:eastAsia="Calibri" w:cs="Arial"/>
          <w:sz w:val="24"/>
          <w:szCs w:val="24"/>
          <w:lang w:val="sr-Latn-ME"/>
        </w:rPr>
        <w:t>- Najveći broj uspješno realizovanih projekata na kojima je lice učestvovalo kao SAP tehnički konsultant dobija maksimalni broj bodova (10 bodova)</w:t>
      </w:r>
    </w:p>
    <w:p>
      <w:pPr>
        <w:spacing w:after="0" w:line="360" w:lineRule="atLeast"/>
        <w:ind w:firstLine="708"/>
        <w:jc w:val="both"/>
        <w:rPr>
          <w:rFonts w:ascii="Arial" w:hAnsi="Arial" w:eastAsia="Calibri" w:cs="Arial"/>
          <w:sz w:val="24"/>
          <w:szCs w:val="24"/>
          <w:lang w:val="sr-Latn-ME"/>
        </w:rPr>
      </w:pPr>
      <w:r>
        <w:rPr>
          <w:rFonts w:ascii="Arial" w:hAnsi="Arial" w:eastAsia="Calibri" w:cs="Arial"/>
          <w:sz w:val="24"/>
          <w:szCs w:val="24"/>
          <w:lang w:val="sr-Latn-ME"/>
        </w:rPr>
        <w:t xml:space="preserve">- Ostale ponude će dobiti bodove po sljedećoj formuli: </w:t>
      </w:r>
    </w:p>
    <w:p>
      <w:pPr>
        <w:spacing w:after="0" w:line="360" w:lineRule="atLeast"/>
        <w:ind w:left="1440"/>
        <w:jc w:val="both"/>
        <w:rPr>
          <w:rFonts w:ascii="Arial" w:hAnsi="Arial" w:eastAsia="Calibri" w:cs="Arial"/>
          <w:sz w:val="24"/>
          <w:szCs w:val="24"/>
          <w:lang w:val="sr-Latn-ME"/>
        </w:rPr>
      </w:pPr>
      <w:r>
        <w:rPr>
          <w:rFonts w:ascii="Arial" w:hAnsi="Arial" w:eastAsia="Calibri" w:cs="Arial"/>
          <w:sz w:val="24"/>
          <w:szCs w:val="24"/>
          <w:lang w:val="sr-Latn-ME"/>
        </w:rPr>
        <w:t xml:space="preserve">      </w:t>
      </w:r>
      <w:r>
        <w:rPr>
          <w:rFonts w:ascii="Arial" w:hAnsi="Arial" w:eastAsia="Calibri" w:cs="Arial"/>
          <w:sz w:val="24"/>
          <w:szCs w:val="24"/>
          <w:lang w:val="sr-Latn-ME"/>
        </w:rPr>
        <w:tab/>
      </w:r>
      <w:r>
        <w:rPr>
          <w:rFonts w:ascii="Arial" w:hAnsi="Arial" w:eastAsia="Calibri" w:cs="Arial"/>
          <w:sz w:val="24"/>
          <w:szCs w:val="24"/>
          <w:lang w:val="sr-Latn-ME"/>
        </w:rPr>
        <w:t>K2= (Kp/Kmax) x 10</w:t>
      </w:r>
    </w:p>
    <w:p>
      <w:pPr>
        <w:spacing w:after="0" w:line="360" w:lineRule="atLeast"/>
        <w:ind w:left="1440" w:firstLine="720"/>
        <w:jc w:val="both"/>
        <w:rPr>
          <w:rFonts w:ascii="Arial" w:hAnsi="Arial" w:eastAsia="Calibri" w:cs="Arial"/>
          <w:sz w:val="24"/>
          <w:szCs w:val="24"/>
          <w:lang w:val="sr-Latn-ME"/>
        </w:rPr>
      </w:pPr>
      <w:r>
        <w:rPr>
          <w:rFonts w:ascii="Arial" w:hAnsi="Arial" w:eastAsia="Calibri" w:cs="Arial"/>
          <w:sz w:val="24"/>
          <w:szCs w:val="24"/>
          <w:lang w:val="sr-Latn-ME"/>
        </w:rPr>
        <w:t xml:space="preserve">Kp –  broj uspješno realizovanih projekata na kojima je lice učestvovalo kao SAP tehnički konsultant </w:t>
      </w:r>
    </w:p>
    <w:p>
      <w:pPr>
        <w:spacing w:after="0" w:line="360" w:lineRule="atLeast"/>
        <w:ind w:left="1440" w:firstLine="720"/>
        <w:jc w:val="both"/>
        <w:rPr>
          <w:rFonts w:ascii="Arial" w:hAnsi="Arial" w:eastAsia="Calibri" w:cs="Arial"/>
          <w:sz w:val="24"/>
          <w:szCs w:val="24"/>
          <w:lang w:val="sr-Latn-ME"/>
        </w:rPr>
      </w:pPr>
      <w:r>
        <w:rPr>
          <w:rFonts w:ascii="Arial" w:hAnsi="Arial" w:eastAsia="Calibri" w:cs="Arial"/>
          <w:sz w:val="24"/>
          <w:szCs w:val="24"/>
          <w:lang w:val="sr-Latn-ME"/>
        </w:rPr>
        <w:t>Kmax – najveći broj ponuđenih uspješno realizovanih projekata na kojima je lice učestvovalo kao SAP tehnički konsultant</w:t>
      </w:r>
    </w:p>
    <w:p>
      <w:pPr>
        <w:spacing w:line="360" w:lineRule="atLeast"/>
        <w:jc w:val="both"/>
        <w:rPr>
          <w:rFonts w:ascii="Arial" w:hAnsi="Arial" w:eastAsia="Calibri" w:cs="Arial"/>
          <w:sz w:val="24"/>
          <w:szCs w:val="24"/>
          <w:lang w:val="sr-Latn-ME"/>
        </w:rPr>
      </w:pPr>
      <w:r>
        <w:rPr>
          <w:rFonts w:ascii="Arial" w:hAnsi="Arial" w:eastAsia="Calibri" w:cs="Arial"/>
          <w:sz w:val="24"/>
          <w:szCs w:val="24"/>
          <w:lang w:val="sr-Latn-ME"/>
        </w:rPr>
        <w:t xml:space="preserve">Parametar </w:t>
      </w:r>
      <w:r>
        <w:rPr>
          <w:rFonts w:ascii="Arial" w:hAnsi="Arial" w:eastAsia="Calibri" w:cs="Arial"/>
          <w:sz w:val="24"/>
          <w:szCs w:val="24"/>
          <w:u w:val="single"/>
          <w:lang w:val="sr-Latn-ME"/>
        </w:rPr>
        <w:t>se dokazuje</w:t>
      </w:r>
      <w:r>
        <w:rPr>
          <w:rFonts w:ascii="Arial" w:hAnsi="Arial" w:eastAsia="Calibri" w:cs="Arial"/>
          <w:sz w:val="24"/>
          <w:szCs w:val="24"/>
          <w:lang w:val="sr-Latn-ME"/>
        </w:rPr>
        <w:t xml:space="preserve"> prilaganjem potvrde o uspješno izvršenim uslugama u u kojima je lice učestvovalo kao SAP tehnički konsultant</w:t>
      </w:r>
      <w:r>
        <w:rPr>
          <w:rFonts w:ascii="Arial" w:hAnsi="Arial" w:eastAsia="Calibri" w:cs="Arial"/>
          <w:color w:val="000000"/>
          <w:sz w:val="24"/>
          <w:szCs w:val="24"/>
          <w:lang w:val="sl-SI"/>
        </w:rPr>
        <w:t xml:space="preserve"> na poslovima implementacije, nadogradnje ili održavanja tehničke infrastrukture SAP poslovnih sistema (sistem i baza podataka)</w:t>
      </w:r>
      <w:r>
        <w:rPr>
          <w:rFonts w:ascii="Arial" w:hAnsi="Arial" w:eastAsia="Calibri" w:cs="Arial"/>
          <w:sz w:val="24"/>
          <w:szCs w:val="24"/>
          <w:lang w:val="sr-Latn-ME"/>
        </w:rPr>
        <w:t>, tokom prethodnih godina ali ne duže od deset godina, računajući i godinu u kojoj je započet postupak javne nabavke, koje sadrže opis i vrijednost predmeta nabavke, vrijeme realizacije ugovora i konstataciju da je ugovor blagovremeno i kvalitetno izvršen.</w:t>
      </w:r>
    </w:p>
    <w:p>
      <w:pPr>
        <w:autoSpaceDE w:val="0"/>
        <w:autoSpaceDN w:val="0"/>
        <w:adjustRightInd w:val="0"/>
        <w:spacing w:after="0" w:line="240" w:lineRule="auto"/>
        <w:jc w:val="both"/>
        <w:rPr>
          <w:rFonts w:ascii="Arial" w:hAnsi="Arial" w:eastAsia="Calibri" w:cs="Arial"/>
          <w:color w:val="000000"/>
          <w:sz w:val="24"/>
          <w:szCs w:val="24"/>
          <w:lang w:val="sl-SI"/>
        </w:rPr>
      </w:pPr>
      <w:r>
        <w:rPr>
          <w:rFonts w:ascii="Arial" w:hAnsi="Arial" w:eastAsia="Calibri" w:cs="Arial"/>
          <w:b/>
          <w:sz w:val="24"/>
          <w:szCs w:val="24"/>
          <w:lang w:val="sr-Latn-ME"/>
        </w:rPr>
        <w:t>c) Konsultant</w:t>
      </w:r>
      <w:r>
        <w:rPr>
          <w:rFonts w:ascii="Arial" w:hAnsi="Arial" w:eastAsia="Calibri" w:cs="Arial"/>
          <w:b/>
          <w:color w:val="000000"/>
          <w:sz w:val="24"/>
          <w:szCs w:val="24"/>
          <w:lang w:val="sl-SI"/>
        </w:rPr>
        <w:t xml:space="preserve"> za administraciju i održavanje sistemskog virtuelnog okruženja i infrastrukture neophodne za funkcionisanje sistema</w:t>
      </w:r>
      <w:r>
        <w:rPr>
          <w:rFonts w:ascii="Arial" w:hAnsi="Arial" w:eastAsia="Calibri" w:cs="Arial"/>
          <w:color w:val="000000"/>
          <w:sz w:val="24"/>
          <w:szCs w:val="24"/>
          <w:lang w:val="sl-SI"/>
        </w:rPr>
        <w:t xml:space="preserve"> </w:t>
      </w:r>
      <w:r>
        <w:rPr>
          <w:rFonts w:ascii="Arial" w:hAnsi="Arial" w:eastAsia="Calibri" w:cs="Arial"/>
          <w:b/>
          <w:color w:val="000000"/>
          <w:sz w:val="24"/>
          <w:szCs w:val="24"/>
          <w:lang w:val="sl-SI"/>
        </w:rPr>
        <w:t>(K3)</w:t>
      </w:r>
      <w:r>
        <w:rPr>
          <w:rFonts w:ascii="Arial" w:hAnsi="Arial" w:eastAsia="Calibri" w:cs="Arial"/>
          <w:color w:val="000000"/>
          <w:sz w:val="24"/>
          <w:szCs w:val="24"/>
          <w:lang w:val="sl-SI"/>
        </w:rPr>
        <w:t xml:space="preserve"> - najmanje</w:t>
      </w:r>
      <w:r>
        <w:rPr>
          <w:rFonts w:ascii="Arial" w:hAnsi="Arial" w:eastAsia="Calibri" w:cs="Arial"/>
          <w:sz w:val="24"/>
          <w:szCs w:val="24"/>
          <w:lang w:val="sr-Latn-ME"/>
        </w:rPr>
        <w:t xml:space="preserve"> jedno lice, izračunava se na način što se kao osnova za vrednovanje uzima broj uspješno realizovanih projekata </w:t>
      </w:r>
      <w:r>
        <w:rPr>
          <w:rFonts w:ascii="Arial" w:hAnsi="Arial" w:eastAsia="Calibri" w:cs="Arial"/>
          <w:color w:val="000000"/>
          <w:sz w:val="24"/>
          <w:szCs w:val="24"/>
          <w:lang w:val="sl-SI"/>
        </w:rPr>
        <w:t xml:space="preserve">implementacije, nadogradnje ili održavanja informacionih sistema </w:t>
      </w:r>
      <w:r>
        <w:rPr>
          <w:rFonts w:ascii="Arial" w:hAnsi="Arial" w:eastAsia="Calibri" w:cs="Arial"/>
          <w:sz w:val="24"/>
          <w:szCs w:val="24"/>
          <w:lang w:val="sr-Latn-ME"/>
        </w:rPr>
        <w:t>u kojima je lice učestvovalo kao tehnički konsultant</w:t>
      </w:r>
      <w:r>
        <w:rPr>
          <w:rFonts w:ascii="Arial" w:hAnsi="Arial" w:eastAsia="Calibri" w:cs="Arial"/>
          <w:b/>
          <w:color w:val="000000"/>
          <w:sz w:val="24"/>
          <w:szCs w:val="24"/>
          <w:lang w:val="sl-SI"/>
        </w:rPr>
        <w:t xml:space="preserve"> </w:t>
      </w:r>
      <w:r>
        <w:rPr>
          <w:rFonts w:ascii="Arial" w:hAnsi="Arial" w:eastAsia="Calibri" w:cs="Arial"/>
          <w:color w:val="000000"/>
          <w:sz w:val="24"/>
          <w:szCs w:val="24"/>
          <w:lang w:val="sl-SI"/>
        </w:rPr>
        <w:t>za implementaciju ili održavanje sistemskog virtuelnog okruženja i infrastrukture neophodne za funkcionisanje sistema</w:t>
      </w:r>
      <w:r>
        <w:rPr>
          <w:rFonts w:ascii="Arial" w:hAnsi="Arial" w:eastAsia="Calibri" w:cs="Arial"/>
          <w:sz w:val="24"/>
          <w:szCs w:val="24"/>
          <w:lang w:val="sr-Latn-ME"/>
        </w:rPr>
        <w:t xml:space="preserve">: </w:t>
      </w:r>
      <w:r>
        <w:rPr>
          <w:rFonts w:ascii="Arial" w:hAnsi="Arial" w:eastAsia="Calibri" w:cs="Arial"/>
          <w:b/>
          <w:sz w:val="24"/>
          <w:szCs w:val="24"/>
          <w:lang w:val="sr-Latn-ME"/>
        </w:rPr>
        <w:t>ukupno</w:t>
      </w:r>
      <w:r>
        <w:rPr>
          <w:rFonts w:ascii="Arial" w:hAnsi="Arial" w:eastAsia="Calibri" w:cs="Arial"/>
          <w:sz w:val="24"/>
          <w:szCs w:val="24"/>
          <w:lang w:val="sr-Latn-ME"/>
        </w:rPr>
        <w:t xml:space="preserve"> </w:t>
      </w:r>
      <w:r>
        <w:rPr>
          <w:rFonts w:ascii="Arial" w:hAnsi="Arial" w:eastAsia="Calibri" w:cs="Arial"/>
          <w:b/>
          <w:sz w:val="24"/>
          <w:szCs w:val="24"/>
          <w:lang w:val="sr-Latn-ME"/>
        </w:rPr>
        <w:t>10</w:t>
      </w:r>
      <w:r>
        <w:rPr>
          <w:rFonts w:ascii="Arial" w:hAnsi="Arial" w:eastAsia="Calibri" w:cs="Arial"/>
          <w:sz w:val="24"/>
          <w:szCs w:val="24"/>
          <w:lang w:val="sr-Latn-ME"/>
        </w:rPr>
        <w:t xml:space="preserve"> </w:t>
      </w:r>
      <w:r>
        <w:rPr>
          <w:rFonts w:ascii="Arial" w:hAnsi="Arial" w:eastAsia="Calibri" w:cs="Arial"/>
          <w:b/>
          <w:sz w:val="24"/>
          <w:szCs w:val="24"/>
          <w:lang w:val="sr-Latn-ME"/>
        </w:rPr>
        <w:t>bodova.</w:t>
      </w:r>
    </w:p>
    <w:p>
      <w:pPr>
        <w:spacing w:before="96" w:after="0" w:line="360" w:lineRule="atLeast"/>
        <w:jc w:val="both"/>
        <w:rPr>
          <w:rFonts w:ascii="Arial" w:hAnsi="Arial" w:eastAsia="Calibri" w:cs="Arial"/>
          <w:sz w:val="24"/>
          <w:szCs w:val="24"/>
          <w:lang w:val="sr-Latn-ME"/>
        </w:rPr>
      </w:pPr>
      <w:r>
        <w:rPr>
          <w:rFonts w:ascii="Arial" w:hAnsi="Arial" w:eastAsia="Calibri" w:cs="Arial"/>
          <w:sz w:val="24"/>
          <w:szCs w:val="24"/>
          <w:lang w:val="sr-Latn-ME"/>
        </w:rPr>
        <w:t xml:space="preserve">          Broj uspješno realizovanih projekata na kojima je lice učestvovalo kao tehnički konsultant će se bodovati na sljedeći način:</w:t>
      </w:r>
    </w:p>
    <w:p>
      <w:pPr>
        <w:spacing w:after="0" w:line="360" w:lineRule="atLeast"/>
        <w:ind w:firstLine="708"/>
        <w:jc w:val="both"/>
        <w:rPr>
          <w:rFonts w:ascii="Arial" w:hAnsi="Arial" w:eastAsia="Calibri" w:cs="Arial"/>
          <w:sz w:val="24"/>
          <w:szCs w:val="24"/>
          <w:lang w:val="sr-Latn-ME"/>
        </w:rPr>
      </w:pPr>
      <w:r>
        <w:rPr>
          <w:rFonts w:ascii="Arial" w:hAnsi="Arial" w:eastAsia="Calibri" w:cs="Arial"/>
          <w:sz w:val="24"/>
          <w:szCs w:val="24"/>
          <w:lang w:val="sr-Latn-ME"/>
        </w:rPr>
        <w:t>- Najveći broj uspješno realizovanih projekata na kojima je lice učestvovalo kao konsultant</w:t>
      </w:r>
      <w:r>
        <w:rPr>
          <w:rFonts w:ascii="Arial" w:hAnsi="Arial" w:eastAsia="Calibri" w:cs="Arial"/>
          <w:color w:val="000000"/>
          <w:sz w:val="24"/>
          <w:szCs w:val="24"/>
          <w:lang w:val="sl-SI"/>
        </w:rPr>
        <w:t xml:space="preserve"> za administraciju i održavanje sistemskog virtuelnog okruženja i infrastrukture neophodne za funkcionisanje sistema</w:t>
      </w:r>
      <w:r>
        <w:rPr>
          <w:rFonts w:ascii="Arial" w:hAnsi="Arial" w:eastAsia="Calibri" w:cs="Arial"/>
          <w:sz w:val="24"/>
          <w:szCs w:val="24"/>
          <w:lang w:val="sr-Latn-ME"/>
        </w:rPr>
        <w:t xml:space="preserve"> dobija maksimalni broj bodova (10 bodova)</w:t>
      </w:r>
    </w:p>
    <w:p>
      <w:pPr>
        <w:spacing w:after="0" w:line="360" w:lineRule="atLeast"/>
        <w:jc w:val="both"/>
        <w:rPr>
          <w:rFonts w:ascii="Arial" w:hAnsi="Arial" w:eastAsia="Calibri" w:cs="Arial"/>
          <w:sz w:val="24"/>
          <w:szCs w:val="24"/>
          <w:lang w:val="sr-Latn-ME"/>
        </w:rPr>
      </w:pPr>
      <w:r>
        <w:rPr>
          <w:rFonts w:ascii="Arial" w:hAnsi="Arial" w:eastAsia="Calibri" w:cs="Arial"/>
          <w:sz w:val="24"/>
          <w:szCs w:val="24"/>
          <w:lang w:val="sr-Latn-ME"/>
        </w:rPr>
        <w:t xml:space="preserve">            - Ostale ponude će dobiti bodove po sljedećoj formuli: </w:t>
      </w:r>
    </w:p>
    <w:p>
      <w:pPr>
        <w:spacing w:after="0" w:line="360" w:lineRule="atLeast"/>
        <w:ind w:left="1440"/>
        <w:jc w:val="both"/>
        <w:rPr>
          <w:rFonts w:ascii="Arial" w:hAnsi="Arial" w:eastAsia="Calibri" w:cs="Arial"/>
          <w:sz w:val="24"/>
          <w:szCs w:val="24"/>
          <w:lang w:val="sr-Latn-ME"/>
        </w:rPr>
      </w:pPr>
      <w:r>
        <w:rPr>
          <w:rFonts w:ascii="Arial" w:hAnsi="Arial" w:eastAsia="Calibri" w:cs="Arial"/>
          <w:sz w:val="24"/>
          <w:szCs w:val="24"/>
          <w:lang w:val="sr-Latn-ME"/>
        </w:rPr>
        <w:t xml:space="preserve">      </w:t>
      </w:r>
      <w:r>
        <w:rPr>
          <w:rFonts w:ascii="Arial" w:hAnsi="Arial" w:eastAsia="Calibri" w:cs="Arial"/>
          <w:sz w:val="24"/>
          <w:szCs w:val="24"/>
          <w:lang w:val="sr-Latn-ME"/>
        </w:rPr>
        <w:tab/>
      </w:r>
      <w:r>
        <w:rPr>
          <w:rFonts w:ascii="Arial" w:hAnsi="Arial" w:eastAsia="Calibri" w:cs="Arial"/>
          <w:sz w:val="24"/>
          <w:szCs w:val="24"/>
          <w:lang w:val="sr-Latn-ME"/>
        </w:rPr>
        <w:t>K3= (Kp/Kmax) x 10</w:t>
      </w:r>
    </w:p>
    <w:p>
      <w:pPr>
        <w:spacing w:after="0" w:line="360" w:lineRule="atLeast"/>
        <w:ind w:left="1440" w:firstLine="720"/>
        <w:jc w:val="both"/>
        <w:rPr>
          <w:rFonts w:ascii="Arial" w:hAnsi="Arial" w:eastAsia="Calibri" w:cs="Arial"/>
          <w:sz w:val="24"/>
          <w:szCs w:val="24"/>
          <w:lang w:val="sr-Latn-ME"/>
        </w:rPr>
      </w:pPr>
      <w:r>
        <w:rPr>
          <w:rFonts w:ascii="Arial" w:hAnsi="Arial" w:eastAsia="Calibri" w:cs="Arial"/>
          <w:sz w:val="24"/>
          <w:szCs w:val="24"/>
          <w:lang w:val="sr-Latn-ME"/>
        </w:rPr>
        <w:t>Kp –  broj uspješno realizovanih projekata na kojima je lice učestvovalo kao konsultant</w:t>
      </w:r>
      <w:r>
        <w:rPr>
          <w:rFonts w:ascii="Arial" w:hAnsi="Arial" w:eastAsia="Calibri" w:cs="Arial"/>
          <w:color w:val="000000"/>
          <w:sz w:val="24"/>
          <w:szCs w:val="24"/>
          <w:lang w:val="sl-SI"/>
        </w:rPr>
        <w:t xml:space="preserve"> za administraciju i održavanje sistemskog virtuelnog okruženja i infrastrukture neophodne za funkcionisanje sistema</w:t>
      </w:r>
    </w:p>
    <w:p>
      <w:pPr>
        <w:spacing w:after="0" w:line="360" w:lineRule="atLeast"/>
        <w:ind w:left="1440" w:firstLine="720"/>
        <w:jc w:val="both"/>
        <w:rPr>
          <w:rFonts w:ascii="Arial" w:hAnsi="Arial" w:eastAsia="Calibri" w:cs="Arial"/>
          <w:sz w:val="24"/>
          <w:szCs w:val="24"/>
          <w:lang w:val="sr-Latn-ME"/>
        </w:rPr>
      </w:pPr>
      <w:r>
        <w:rPr>
          <w:rFonts w:ascii="Arial" w:hAnsi="Arial" w:eastAsia="Calibri" w:cs="Arial"/>
          <w:sz w:val="24"/>
          <w:szCs w:val="24"/>
          <w:lang w:val="sr-Latn-ME"/>
        </w:rPr>
        <w:t>Kmax – najveći broj ponuđenih uspješno realizovanih projekata na kojima je lice učestvovalo kao konsultant</w:t>
      </w:r>
      <w:r>
        <w:rPr>
          <w:rFonts w:ascii="Arial" w:hAnsi="Arial" w:eastAsia="Calibri" w:cs="Arial"/>
          <w:color w:val="000000"/>
          <w:sz w:val="24"/>
          <w:szCs w:val="24"/>
          <w:lang w:val="sl-SI"/>
        </w:rPr>
        <w:t xml:space="preserve"> za administraciju i održavanje sistemskog virtuelnog okruženja i infrastrukture neophodne za funkcionisanje sistema</w:t>
      </w:r>
    </w:p>
    <w:p>
      <w:pPr>
        <w:spacing w:before="96" w:line="360" w:lineRule="atLeast"/>
        <w:jc w:val="both"/>
        <w:rPr>
          <w:rFonts w:ascii="Arial" w:hAnsi="Arial" w:eastAsia="Calibri" w:cs="Arial"/>
          <w:sz w:val="24"/>
          <w:szCs w:val="24"/>
          <w:lang w:val="sr-Latn-ME"/>
        </w:rPr>
      </w:pPr>
      <w:r>
        <w:rPr>
          <w:rFonts w:ascii="Arial" w:hAnsi="Arial" w:eastAsia="Calibri" w:cs="Arial"/>
          <w:sz w:val="24"/>
          <w:szCs w:val="24"/>
          <w:lang w:val="sr-Latn-ME"/>
        </w:rPr>
        <w:t xml:space="preserve">Parametar </w:t>
      </w:r>
      <w:r>
        <w:rPr>
          <w:rFonts w:ascii="Arial" w:hAnsi="Arial" w:eastAsia="Calibri" w:cs="Arial"/>
          <w:sz w:val="24"/>
          <w:szCs w:val="24"/>
          <w:u w:val="single"/>
          <w:lang w:val="sr-Latn-ME"/>
        </w:rPr>
        <w:t>se dokazuje</w:t>
      </w:r>
      <w:r>
        <w:rPr>
          <w:rFonts w:ascii="Arial" w:hAnsi="Arial" w:eastAsia="Calibri" w:cs="Arial"/>
          <w:sz w:val="24"/>
          <w:szCs w:val="24"/>
          <w:lang w:val="sr-Latn-ME"/>
        </w:rPr>
        <w:t xml:space="preserve"> prilaganjem potvrde o uspješno izvršenim uslugama u projektima implementacije, nadogradnje ili održavanja </w:t>
      </w:r>
      <w:r>
        <w:rPr>
          <w:rFonts w:ascii="Arial" w:hAnsi="Arial" w:eastAsia="Calibri" w:cs="Arial"/>
          <w:color w:val="000000"/>
          <w:sz w:val="24"/>
          <w:szCs w:val="24"/>
          <w:lang w:val="sl-SI"/>
        </w:rPr>
        <w:t xml:space="preserve">informacionih sistema, </w:t>
      </w:r>
      <w:r>
        <w:rPr>
          <w:rFonts w:ascii="Arial" w:hAnsi="Arial" w:eastAsia="Calibri" w:cs="Arial"/>
          <w:sz w:val="24"/>
          <w:szCs w:val="24"/>
          <w:lang w:val="sr-Latn-ME"/>
        </w:rPr>
        <w:t>u kojima je lice učestvovalo kao konsultant</w:t>
      </w:r>
      <w:r>
        <w:rPr>
          <w:rFonts w:ascii="Arial" w:hAnsi="Arial" w:eastAsia="Calibri" w:cs="Arial"/>
          <w:b/>
          <w:color w:val="000000"/>
          <w:sz w:val="24"/>
          <w:szCs w:val="24"/>
          <w:lang w:val="sl-SI"/>
        </w:rPr>
        <w:t xml:space="preserve"> </w:t>
      </w:r>
      <w:r>
        <w:rPr>
          <w:rFonts w:ascii="Arial" w:hAnsi="Arial" w:eastAsia="Calibri" w:cs="Arial"/>
          <w:color w:val="000000"/>
          <w:sz w:val="24"/>
          <w:szCs w:val="24"/>
          <w:lang w:val="sl-SI"/>
        </w:rPr>
        <w:t>za implementaciju ili održavanje sistemskog virtuelnog okruženja i infrastrukture neophodne za funkcionisanje sistema</w:t>
      </w:r>
      <w:r>
        <w:rPr>
          <w:rFonts w:ascii="Arial" w:hAnsi="Arial" w:eastAsia="Calibri" w:cs="Arial"/>
          <w:sz w:val="24"/>
          <w:szCs w:val="24"/>
          <w:lang w:val="sr-Latn-ME"/>
        </w:rPr>
        <w:t>, tokom prethodnih godina ali ne duže od deset godina, računajući i godinu u kojoj je započet postupak javne nabavke, koje sadrže opis i vrijednost predmeta nabavke, vrijeme realizacije ugovora i konstataciju da je ugovor blagovremeno i kvalitetno izvršen.</w:t>
      </w:r>
    </w:p>
    <w:p>
      <w:pPr>
        <w:spacing w:after="0" w:line="240" w:lineRule="auto"/>
        <w:jc w:val="both"/>
        <w:rPr>
          <w:rFonts w:ascii="Arial" w:hAnsi="Arial" w:eastAsia="Calibri" w:cs="Arial"/>
          <w:b/>
          <w:sz w:val="24"/>
          <w:szCs w:val="24"/>
          <w:lang w:val="sr-Latn-ME"/>
        </w:rPr>
      </w:pPr>
      <w:r>
        <w:rPr>
          <w:rFonts w:ascii="Arial" w:hAnsi="Arial" w:eastAsia="Calibri" w:cs="Arial"/>
          <w:b/>
          <w:sz w:val="24"/>
          <w:szCs w:val="24"/>
          <w:lang w:val="sr-Latn-ME"/>
        </w:rPr>
        <w:t xml:space="preserve">Napomena: U skladu sa Pravilnikom o metodologiji načina vrednovanja ponuda u postupku javnih nabavki, vrednovanje će se vršiti za ponuđene parametre iznad predviđenih minimalnih zahtjeva stručne i tehničke osposobljenosti. </w:t>
      </w:r>
    </w:p>
    <w:p>
      <w:pPr>
        <w:spacing w:after="0"/>
        <w:jc w:val="both"/>
        <w:rPr>
          <w:rFonts w:ascii="Arial" w:hAnsi="Arial" w:eastAsia="Calibri" w:cs="Arial"/>
          <w:color w:val="000000"/>
          <w:sz w:val="24"/>
          <w:szCs w:val="24"/>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r>
        <w:rPr>
          <w:rFonts w:ascii="Arial" w:hAnsi="Arial" w:eastAsia="Times New Roman" w:cs="Times New Roman"/>
          <w:b/>
          <w:sz w:val="24"/>
          <w:szCs w:val="32"/>
          <w:lang w:val="sr-Latn-ME"/>
        </w:rPr>
        <w:t>7. JEZIK PONUDE</w:t>
      </w:r>
    </w:p>
    <w:p>
      <w:pPr>
        <w:spacing w:before="240"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Ponuda se sačinjava na:</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crnogorski jezik i drugi jezik koji je u službenoj upotrebi u Crnoj Gori, u skladu sa Ustavom i zakonom</w:t>
      </w:r>
    </w:p>
    <w:p>
      <w:pPr>
        <w:spacing w:after="0" w:line="240" w:lineRule="auto"/>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sym w:font="Wingdings" w:char="F078"/>
      </w:r>
      <w:r>
        <w:rPr>
          <w:rFonts w:ascii="Arial" w:hAnsi="Arial" w:eastAsia="Calibri" w:cs="Arial"/>
          <w:color w:val="000000"/>
          <w:sz w:val="24"/>
          <w:szCs w:val="24"/>
          <w:lang w:val="sr-Latn-ME"/>
        </w:rPr>
        <w:t xml:space="preserve">  engleski jezik za djelove ponude koji se odnose na:</w:t>
      </w:r>
    </w:p>
    <w:p>
      <w:pPr>
        <w:tabs>
          <w:tab w:val="left" w:pos="426"/>
        </w:tabs>
        <w:spacing w:before="96" w:after="0" w:line="240" w:lineRule="auto"/>
        <w:ind w:left="630" w:hanging="270"/>
        <w:jc w:val="both"/>
        <w:rPr>
          <w:rFonts w:ascii="Arial" w:hAnsi="Arial" w:eastAsia="Calibri" w:cs="Arial"/>
          <w:sz w:val="24"/>
          <w:szCs w:val="24"/>
          <w:lang w:val="sr-Latn-CS" w:eastAsia="zh-CN"/>
        </w:rPr>
      </w:pPr>
      <w:bookmarkStart w:id="6" w:name="_Toc62730561"/>
      <w:r>
        <w:rPr>
          <w:rFonts w:ascii="Arial" w:hAnsi="Arial" w:eastAsia="Calibri" w:cs="Arial"/>
          <w:sz w:val="24"/>
          <w:szCs w:val="24"/>
          <w:lang w:val="sr-Latn-CS" w:eastAsia="zh-CN"/>
        </w:rPr>
        <w:t>- tehničke karakteristike u dijelu opisa predmeta nabavke, koje je Naručilac naveo na engleskom jeziku.</w:t>
      </w:r>
    </w:p>
    <w:p>
      <w:pPr>
        <w:tabs>
          <w:tab w:val="left" w:pos="426"/>
        </w:tabs>
        <w:spacing w:before="96" w:after="0" w:line="240" w:lineRule="auto"/>
        <w:ind w:left="630" w:hanging="270"/>
        <w:jc w:val="both"/>
        <w:rPr>
          <w:rFonts w:ascii="Arial" w:hAnsi="Arial" w:eastAsia="Calibri" w:cs="Arial"/>
          <w:sz w:val="24"/>
          <w:szCs w:val="24"/>
          <w:lang w:val="sr-Latn-CS" w:eastAsia="zh-CN"/>
        </w:rPr>
      </w:pPr>
      <w:r>
        <w:rPr>
          <w:rFonts w:ascii="Arial" w:hAnsi="Arial" w:eastAsia="Calibri" w:cs="Arial"/>
          <w:sz w:val="24"/>
          <w:szCs w:val="24"/>
        </w:rPr>
        <w:t xml:space="preserve">- traženi </w:t>
      </w:r>
      <w:r>
        <w:rPr>
          <w:rFonts w:ascii="Arial" w:hAnsi="Arial" w:eastAsia="Times New Roman" w:cs="Arial"/>
          <w:sz w:val="24"/>
          <w:szCs w:val="24"/>
          <w:lang w:val="sr-Latn-CS" w:eastAsia="sr-Latn-CS"/>
        </w:rPr>
        <w:t xml:space="preserve">sertifikati u pogledu ispunjavanja uslova stručno - tehničke sposobnosti  mogu </w:t>
      </w:r>
      <w:r>
        <w:rPr>
          <w:rFonts w:ascii="Arial" w:hAnsi="Arial" w:eastAsia="Calibri" w:cs="Arial"/>
          <w:sz w:val="24"/>
          <w:szCs w:val="24"/>
        </w:rPr>
        <w:t>biti na engleskom jeziku.</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r>
        <w:rPr>
          <w:rFonts w:ascii="Arial" w:hAnsi="Arial" w:eastAsia="Times New Roman" w:cs="Times New Roman"/>
          <w:b/>
          <w:sz w:val="24"/>
          <w:szCs w:val="32"/>
          <w:lang w:val="sr-Latn-ME"/>
        </w:rPr>
        <w:t>8. NAČIN, MJESTO I VRIJEME PODNOŠENJA PONUDA I OTVARANJA PONUDA</w:t>
      </w:r>
      <w:bookmarkEnd w:id="6"/>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Ponude se podnose preko ESJN-a zaključno sa danom </w:t>
      </w:r>
      <w:r>
        <w:rPr>
          <w:rFonts w:hint="default" w:ascii="Arial" w:hAnsi="Arial" w:eastAsia="Times New Roman" w:cs="Arial"/>
          <w:color w:val="000000"/>
          <w:sz w:val="24"/>
          <w:szCs w:val="24"/>
          <w:highlight w:val="none"/>
          <w:lang w:val="sr-Latn-RS"/>
        </w:rPr>
        <w:t>27.03</w:t>
      </w:r>
      <w:r>
        <w:rPr>
          <w:rFonts w:ascii="Arial" w:hAnsi="Arial" w:eastAsia="Times New Roman" w:cs="Arial"/>
          <w:color w:val="000000"/>
          <w:sz w:val="24"/>
          <w:szCs w:val="24"/>
          <w:highlight w:val="none"/>
          <w:lang w:val="sr-Latn-ME"/>
        </w:rPr>
        <w:t>.202</w:t>
      </w:r>
      <w:r>
        <w:rPr>
          <w:rFonts w:hint="default" w:ascii="Arial" w:hAnsi="Arial" w:eastAsia="Times New Roman" w:cs="Arial"/>
          <w:color w:val="000000"/>
          <w:sz w:val="24"/>
          <w:szCs w:val="24"/>
          <w:highlight w:val="none"/>
          <w:lang w:val="sr-Latn-RS"/>
        </w:rPr>
        <w:t>4</w:t>
      </w:r>
      <w:r>
        <w:rPr>
          <w:rFonts w:ascii="Arial" w:hAnsi="Arial" w:eastAsia="Times New Roman" w:cs="Arial"/>
          <w:color w:val="000000"/>
          <w:sz w:val="24"/>
          <w:szCs w:val="24"/>
          <w:lang w:val="sr-Latn-ME"/>
        </w:rPr>
        <w:t>. godine do 1</w:t>
      </w:r>
      <w:r>
        <w:rPr>
          <w:rFonts w:hint="default" w:ascii="Arial" w:hAnsi="Arial" w:eastAsia="Times New Roman" w:cs="Arial"/>
          <w:color w:val="000000"/>
          <w:sz w:val="24"/>
          <w:szCs w:val="24"/>
          <w:lang w:val="sr-Latn-RS"/>
        </w:rPr>
        <w:t>4</w:t>
      </w:r>
      <w:r>
        <w:rPr>
          <w:rFonts w:ascii="Arial" w:hAnsi="Arial" w:eastAsia="Times New Roman" w:cs="Arial"/>
          <w:color w:val="000000"/>
          <w:sz w:val="24"/>
          <w:szCs w:val="24"/>
          <w:lang w:val="sr-Latn-ME"/>
        </w:rPr>
        <w:t>:00 sati.</w:t>
      </w:r>
    </w:p>
    <w:p>
      <w:pPr>
        <w:spacing w:after="0" w:line="240" w:lineRule="auto"/>
        <w:jc w:val="both"/>
        <w:rPr>
          <w:rFonts w:ascii="Arial" w:hAnsi="Arial" w:eastAsia="Times New Roman" w:cs="Arial"/>
          <w:b/>
          <w:bCs/>
          <w:i/>
          <w:iCs/>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Otvaranje ponuda održaće se dana </w:t>
      </w:r>
      <w:r>
        <w:rPr>
          <w:rFonts w:hint="default" w:ascii="Arial" w:hAnsi="Arial" w:eastAsia="Times New Roman" w:cs="Arial"/>
          <w:color w:val="000000"/>
          <w:sz w:val="24"/>
          <w:szCs w:val="24"/>
          <w:highlight w:val="none"/>
          <w:lang w:val="sr-Latn-RS"/>
        </w:rPr>
        <w:t>27.03.2024</w:t>
      </w:r>
      <w:r>
        <w:rPr>
          <w:rFonts w:ascii="Arial" w:hAnsi="Arial" w:eastAsia="Times New Roman" w:cs="Arial"/>
          <w:color w:val="000000"/>
          <w:sz w:val="24"/>
          <w:szCs w:val="24"/>
          <w:highlight w:val="none"/>
          <w:lang w:val="sr-Latn-ME"/>
        </w:rPr>
        <w:t xml:space="preserve">. </w:t>
      </w:r>
      <w:r>
        <w:rPr>
          <w:rFonts w:ascii="Arial" w:hAnsi="Arial" w:eastAsia="Times New Roman" w:cs="Arial"/>
          <w:color w:val="000000"/>
          <w:sz w:val="24"/>
          <w:szCs w:val="24"/>
          <w:lang w:val="sr-Latn-ME"/>
        </w:rPr>
        <w:t>godine u 1</w:t>
      </w:r>
      <w:r>
        <w:rPr>
          <w:rFonts w:hint="default" w:ascii="Arial" w:hAnsi="Arial" w:eastAsia="Times New Roman" w:cs="Arial"/>
          <w:color w:val="000000"/>
          <w:sz w:val="24"/>
          <w:szCs w:val="24"/>
          <w:lang w:val="sr-Latn-RS"/>
        </w:rPr>
        <w:t>4</w:t>
      </w:r>
      <w:r>
        <w:rPr>
          <w:rFonts w:ascii="Arial" w:hAnsi="Arial" w:eastAsia="Times New Roman" w:cs="Arial"/>
          <w:color w:val="000000"/>
          <w:sz w:val="24"/>
          <w:szCs w:val="24"/>
          <w:lang w:val="sr-Latn-ME"/>
        </w:rPr>
        <w:t xml:space="preserve">:00 sati. </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Garancija ponude podnosi se u elektronskom obliku putem ESJN, izuzetno ako ponuđač ne može garanciju ponude da podnese u elekotronskom obliku, </w:t>
      </w:r>
      <w:r>
        <w:rPr>
          <w:rFonts w:ascii="Arial" w:hAnsi="Arial" w:eastAsia="Times New Roman" w:cs="Arial"/>
          <w:b/>
          <w:color w:val="000000"/>
          <w:sz w:val="24"/>
          <w:szCs w:val="24"/>
          <w:lang w:val="sr-Latn-ME"/>
        </w:rPr>
        <w:t>dužan je da putem ESJN dostavi kopiju garancije ponude, a da original garancije ponude dostavi, odnosno uruči naručiocu</w:t>
      </w:r>
      <w:r>
        <w:rPr>
          <w:rFonts w:ascii="Arial" w:hAnsi="Arial" w:eastAsia="Times New Roman" w:cs="Arial"/>
          <w:color w:val="000000"/>
          <w:sz w:val="24"/>
          <w:szCs w:val="24"/>
          <w:lang w:val="sr-Latn-ME"/>
        </w:rPr>
        <w:t>:</w:t>
      </w:r>
    </w:p>
    <w:p>
      <w:pPr>
        <w:pStyle w:val="13"/>
        <w:numPr>
          <w:ilvl w:val="0"/>
          <w:numId w:val="7"/>
        </w:numPr>
        <w:spacing w:after="0" w:line="240" w:lineRule="auto"/>
        <w:jc w:val="both"/>
        <w:rPr>
          <w:rFonts w:ascii="Arial" w:hAnsi="Arial" w:eastAsia="Times New Roman" w:cs="Arial"/>
          <w:sz w:val="24"/>
          <w:szCs w:val="24"/>
          <w:lang w:val="sr-Latn-ME"/>
        </w:rPr>
      </w:pPr>
      <w:r>
        <w:rPr>
          <w:rFonts w:ascii="Arial" w:hAnsi="Arial" w:eastAsia="Times New Roman" w:cs="Arial"/>
          <w:color w:val="000000"/>
          <w:sz w:val="24"/>
          <w:szCs w:val="24"/>
          <w:lang w:val="sr-Latn-ME"/>
        </w:rPr>
        <w:t xml:space="preserve">neposrednom predajom na arhivi naručioca na adresi </w:t>
      </w:r>
      <w:r>
        <w:rPr>
          <w:rFonts w:ascii="Arial" w:hAnsi="Arial" w:eastAsia="Calibri" w:cs="Arial"/>
          <w:color w:val="000000"/>
          <w:sz w:val="24"/>
          <w:szCs w:val="24"/>
          <w:lang w:val="sr-Latn-ME"/>
        </w:rPr>
        <w:t xml:space="preserve">Bulevar </w:t>
      </w:r>
      <w:r>
        <w:rPr>
          <w:rFonts w:ascii="Arial" w:hAnsi="Arial" w:eastAsia="Times New Roman" w:cs="Arial"/>
          <w:sz w:val="24"/>
          <w:szCs w:val="24"/>
          <w:lang w:val="sr-Latn-ME"/>
        </w:rPr>
        <w:t>Stanka Dragojevića br. 2, ili</w:t>
      </w:r>
    </w:p>
    <w:p>
      <w:pPr>
        <w:pStyle w:val="13"/>
        <w:numPr>
          <w:ilvl w:val="0"/>
          <w:numId w:val="7"/>
        </w:num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putem pošte preporučenom pošiljkom sa povratnicom </w:t>
      </w:r>
      <w:r>
        <w:rPr>
          <w:rFonts w:ascii="Arial" w:hAnsi="Arial" w:eastAsia="Calibri" w:cs="Arial"/>
          <w:color w:val="000000"/>
          <w:sz w:val="24"/>
          <w:szCs w:val="24"/>
          <w:lang w:val="sr-Latn-ME"/>
        </w:rPr>
        <w:t xml:space="preserve">na adresi Bulevar </w:t>
      </w:r>
      <w:r>
        <w:rPr>
          <w:rFonts w:ascii="Arial" w:hAnsi="Arial" w:eastAsia="Times New Roman" w:cs="Arial"/>
          <w:sz w:val="24"/>
          <w:szCs w:val="24"/>
          <w:lang w:val="sr-Latn-ME"/>
        </w:rPr>
        <w:t xml:space="preserve">Stanka Dragojevića br. 2, </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radnim danima od 8:00 do 14:00 sati, zaključno sa danom </w:t>
      </w:r>
      <w:r>
        <w:rPr>
          <w:rFonts w:hint="default" w:ascii="Arial" w:hAnsi="Arial" w:eastAsia="Times New Roman" w:cs="Arial"/>
          <w:color w:val="000000"/>
          <w:sz w:val="24"/>
          <w:szCs w:val="24"/>
          <w:highlight w:val="none"/>
          <w:lang w:val="sr-Latn-RS"/>
        </w:rPr>
        <w:t>27.03.2024</w:t>
      </w:r>
      <w:r>
        <w:rPr>
          <w:rFonts w:ascii="Arial" w:hAnsi="Arial" w:eastAsia="Times New Roman" w:cs="Arial"/>
          <w:color w:val="000000"/>
          <w:sz w:val="24"/>
          <w:szCs w:val="24"/>
          <w:highlight w:val="none"/>
          <w:lang w:val="sr-Latn-ME"/>
        </w:rPr>
        <w:t>.</w:t>
      </w:r>
      <w:r>
        <w:rPr>
          <w:rFonts w:ascii="Arial" w:hAnsi="Arial" w:eastAsia="Times New Roman" w:cs="Arial"/>
          <w:color w:val="000000"/>
          <w:sz w:val="24"/>
          <w:szCs w:val="24"/>
          <w:lang w:val="sr-Latn-ME"/>
        </w:rPr>
        <w:t xml:space="preserve"> godine </w:t>
      </w:r>
      <w:r>
        <w:rPr>
          <w:rFonts w:ascii="Arial" w:hAnsi="Arial" w:eastAsia="Times New Roman" w:cs="Arial"/>
          <w:b/>
          <w:color w:val="000000"/>
          <w:sz w:val="24"/>
          <w:szCs w:val="24"/>
          <w:lang w:val="sr-Latn-ME"/>
        </w:rPr>
        <w:t>najkasnije prije isteka roka za podnošenje ponuda</w:t>
      </w:r>
      <w:r>
        <w:rPr>
          <w:rFonts w:ascii="Arial" w:hAnsi="Arial" w:eastAsia="Times New Roman" w:cs="Arial"/>
          <w:color w:val="000000"/>
          <w:sz w:val="24"/>
          <w:szCs w:val="24"/>
          <w:lang w:val="sr-Latn-ME"/>
        </w:rPr>
        <w:t xml:space="preserve"> (do 1</w:t>
      </w:r>
      <w:r>
        <w:rPr>
          <w:rFonts w:hint="default" w:ascii="Arial" w:hAnsi="Arial" w:eastAsia="Times New Roman" w:cs="Arial"/>
          <w:color w:val="000000"/>
          <w:sz w:val="24"/>
          <w:szCs w:val="24"/>
          <w:lang w:val="sr-Latn-RS"/>
        </w:rPr>
        <w:t>4</w:t>
      </w:r>
      <w:r>
        <w:rPr>
          <w:rFonts w:ascii="Arial" w:hAnsi="Arial" w:eastAsia="Times New Roman" w:cs="Arial"/>
          <w:color w:val="000000"/>
          <w:sz w:val="24"/>
          <w:szCs w:val="24"/>
          <w:lang w:val="sr-Latn-ME"/>
        </w:rPr>
        <w:t>:00 sati).</w:t>
      </w:r>
    </w:p>
    <w:p>
      <w:pPr>
        <w:spacing w:after="0" w:line="240" w:lineRule="auto"/>
        <w:rPr>
          <w:rFonts w:ascii="Arial" w:hAnsi="Arial" w:eastAsia="Times New Roman" w:cs="Arial"/>
          <w:i/>
          <w:iCs/>
          <w:color w:val="000000"/>
          <w:sz w:val="24"/>
          <w:szCs w:val="24"/>
          <w:lang w:val="sr-Latn-ME"/>
        </w:rPr>
      </w:pPr>
    </w:p>
    <w:p>
      <w:pPr>
        <w:spacing w:after="0" w:line="240" w:lineRule="auto"/>
        <w:jc w:val="both"/>
        <w:rPr>
          <w:rFonts w:ascii="Arial" w:hAnsi="Arial" w:eastAsia="Calibri" w:cs="Arial"/>
          <w:sz w:val="24"/>
          <w:szCs w:val="24"/>
          <w:lang w:val="sr-Latn-CS"/>
        </w:rPr>
      </w:pPr>
      <w:r>
        <w:rPr>
          <w:rFonts w:ascii="Arial" w:hAnsi="Arial" w:eastAsia="Times New Roman" w:cs="Arial"/>
          <w:color w:val="000000"/>
          <w:sz w:val="24"/>
          <w:szCs w:val="24"/>
          <w:lang w:val="sr-Latn-ME"/>
        </w:rPr>
        <w:t xml:space="preserve">Original garancije ponude u pisanom obliku dostavlja se u koverti, na kojoj se navodi: naziv i sjedište naručioca, </w:t>
      </w:r>
      <w:r>
        <w:rPr>
          <w:rFonts w:ascii="Arial" w:hAnsi="Arial" w:eastAsia="Calibri" w:cs="Arial"/>
          <w:sz w:val="24"/>
          <w:szCs w:val="24"/>
          <w:lang w:val="sr-Latn-CS"/>
        </w:rPr>
        <w:t>broj tenderske dokumentacije za koju se podnosi garancija, naziv, sjedište i adresa ponuđača i naznake „garancija ponude“ i "ne otvaraj prije roka za otvaranja ponuda".</w:t>
      </w:r>
    </w:p>
    <w:p>
      <w:pPr>
        <w:spacing w:after="0" w:line="240" w:lineRule="auto"/>
        <w:rPr>
          <w:rFonts w:ascii="Arial" w:hAnsi="Arial" w:eastAsia="Times New Roman" w:cs="Arial"/>
          <w:i/>
          <w:iCs/>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7" w:name="_Toc62730562"/>
      <w:r>
        <w:rPr>
          <w:rFonts w:ascii="Arial" w:hAnsi="Arial" w:eastAsia="Times New Roman" w:cs="Times New Roman"/>
          <w:b/>
          <w:sz w:val="24"/>
          <w:szCs w:val="32"/>
          <w:lang w:val="sr-Latn-ME"/>
        </w:rPr>
        <w:t>9. USLOVI ZA AKTIVIRANJE GARANCIJE PONUDE</w:t>
      </w:r>
      <w:r>
        <w:rPr>
          <w:rFonts w:ascii="Arial" w:hAnsi="Arial" w:eastAsia="Times New Roman" w:cs="Times New Roman"/>
          <w:b/>
          <w:sz w:val="24"/>
          <w:szCs w:val="32"/>
          <w:vertAlign w:val="superscript"/>
          <w:lang w:val="sr-Latn-ME"/>
        </w:rPr>
        <w:footnoteReference w:id="6"/>
      </w:r>
      <w:bookmarkEnd w:id="7"/>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Garancija ponude će se aktivirati ako ponuđač: </w:t>
      </w:r>
    </w:p>
    <w:p>
      <w:pPr>
        <w:autoSpaceDE w:val="0"/>
        <w:autoSpaceDN w:val="0"/>
        <w:adjustRightInd w:val="0"/>
        <w:spacing w:before="60" w:after="60" w:line="240" w:lineRule="auto"/>
        <w:ind w:left="567" w:hanging="283"/>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1) odustane od ponude u roku važenja ponude i/ili</w:t>
      </w:r>
    </w:p>
    <w:p>
      <w:pPr>
        <w:autoSpaceDE w:val="0"/>
        <w:autoSpaceDN w:val="0"/>
        <w:adjustRightInd w:val="0"/>
        <w:spacing w:before="60" w:after="60" w:line="240" w:lineRule="auto"/>
        <w:ind w:firstLine="283"/>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2) odbije da zaključi ugovor o javnoj nabavci ili okvirni sporazum.</w:t>
      </w:r>
    </w:p>
    <w:p>
      <w:pPr>
        <w:spacing w:after="0" w:line="240" w:lineRule="auto"/>
        <w:jc w:val="both"/>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8" w:name="_Toc62730563"/>
      <w:r>
        <w:rPr>
          <w:rFonts w:ascii="Arial" w:hAnsi="Arial" w:eastAsia="Times New Roman" w:cs="Times New Roman"/>
          <w:b/>
          <w:sz w:val="24"/>
          <w:szCs w:val="32"/>
          <w:lang w:val="sr-Latn-ME"/>
        </w:rPr>
        <w:t>10. TAJNOST PODATAKA</w:t>
      </w:r>
      <w:bookmarkEnd w:id="8"/>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Tenderska dokumentacija sadrži tajne podatke</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ne</w:t>
      </w:r>
    </w:p>
    <w:p>
      <w:pPr>
        <w:spacing w:after="0" w:line="240" w:lineRule="auto"/>
        <w:rPr>
          <w:rFonts w:ascii="Arial" w:hAnsi="Arial" w:eastAsia="Times New Roman" w:cs="Arial"/>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9" w:name="_Toc62730564"/>
      <w:r>
        <w:rPr>
          <w:rFonts w:ascii="Arial" w:hAnsi="Arial" w:eastAsia="Times New Roman" w:cs="Times New Roman"/>
          <w:b/>
          <w:sz w:val="24"/>
          <w:szCs w:val="32"/>
          <w:lang w:val="sr-Latn-ME"/>
        </w:rPr>
        <w:t>11. UPUTSTVO ZA SAČINJAVANJE PONUDE</w:t>
      </w:r>
      <w:bookmarkEnd w:id="9"/>
    </w:p>
    <w:p>
      <w:pPr>
        <w:spacing w:after="0" w:line="240" w:lineRule="auto"/>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Ponude se sačinjava u ESJN u skladu sa tenderskom dokumentacijom i važećim Pravilnikom o sadržaju ponude i uputstvu za sačinjavanje i podnošenje ponude. </w:t>
      </w: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Ispunjenost uslova za učešće u postupku javne nabavke dokazuje se izjavom privrednog subjekta, koja se sačinjava na obrascu datom u Pravilniku o obrascu izjave privrednog subjekta.</w:t>
      </w:r>
    </w:p>
    <w:p>
      <w:pPr>
        <w:spacing w:after="0" w:line="240" w:lineRule="auto"/>
        <w:jc w:val="both"/>
        <w:rPr>
          <w:rFonts w:ascii="Arial" w:hAnsi="Arial" w:eastAsia="Calibri" w:cs="Arial"/>
          <w:sz w:val="24"/>
          <w:szCs w:val="24"/>
          <w:lang w:val="sr-Latn-ME"/>
        </w:rPr>
      </w:pPr>
      <w:r>
        <w:rPr>
          <w:rFonts w:ascii="Arial" w:hAnsi="Arial" w:eastAsia="Times New Roman" w:cs="Arial"/>
          <w:sz w:val="24"/>
          <w:szCs w:val="24"/>
          <w:lang w:val="sr-Latn-ME"/>
        </w:rPr>
        <w:t xml:space="preserve">Ponuđač je dužan da tačno, potpuno, pravilno i nedvosmisleno popuni </w:t>
      </w:r>
      <w:r>
        <w:rPr>
          <w:rFonts w:ascii="Arial" w:hAnsi="Arial" w:eastAsia="Calibri" w:cs="Arial"/>
          <w:sz w:val="24"/>
          <w:szCs w:val="24"/>
          <w:lang w:val="sr-Latn-ME"/>
        </w:rPr>
        <w:t>Izjavu privrednog subjekta u skladu sa zahtjevima iz tenderske dokumentacije.</w:t>
      </w:r>
    </w:p>
    <w:p>
      <w:pPr>
        <w:spacing w:after="0" w:line="240" w:lineRule="auto"/>
        <w:jc w:val="both"/>
        <w:rPr>
          <w:rFonts w:ascii="Arial" w:hAnsi="Arial" w:eastAsia="Times New Roman" w:cs="Arial"/>
          <w:i/>
          <w:iCs/>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sz w:val="24"/>
          <w:szCs w:val="32"/>
          <w:lang w:val="sr-Latn-ME"/>
        </w:rPr>
      </w:pPr>
      <w:bookmarkStart w:id="10" w:name="_Toc62730565"/>
      <w:r>
        <w:rPr>
          <w:rFonts w:ascii="Arial" w:hAnsi="Arial" w:eastAsia="Times New Roman" w:cs="Times New Roman"/>
          <w:b/>
          <w:sz w:val="24"/>
          <w:szCs w:val="32"/>
          <w:lang w:val="sr-Latn-ME"/>
        </w:rPr>
        <w:t>12. NAČIN ZAKLJUČIVANJA I IZMJENE UGOVORA O JAVNOJ NABAVCI</w:t>
      </w:r>
      <w:bookmarkEnd w:id="10"/>
    </w:p>
    <w:p>
      <w:pPr>
        <w:spacing w:after="0" w:line="240" w:lineRule="auto"/>
        <w:jc w:val="both"/>
        <w:rPr>
          <w:rFonts w:ascii="Arial" w:hAnsi="Arial" w:eastAsia="Times New Roman" w:cs="Arial"/>
          <w:i/>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Ugovor o javnoj nabavci mora da bude u skladu sa uslovima utvrđenim tenderskom dokumentacijom, izabranom ponudom i odlukom o izboru najpovoljnije ponude, osim u pogledu iskazivanja PDV-a.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Ugovor između naručioca i ponuđača čija je ponuda izabrana kao najpovoljnija, </w:t>
      </w:r>
      <w:r>
        <w:rPr>
          <w:rFonts w:ascii="Arial" w:hAnsi="Arial" w:eastAsia="Times New Roman" w:cs="Arial"/>
          <w:b/>
          <w:color w:val="000000"/>
          <w:sz w:val="24"/>
          <w:szCs w:val="24"/>
          <w:lang w:val="sr-Latn-ME"/>
        </w:rPr>
        <w:t>pored uslova koji su propisani ovom tenderskom dokumentacijom</w:t>
      </w:r>
      <w:r>
        <w:rPr>
          <w:rFonts w:ascii="Arial" w:hAnsi="Arial" w:eastAsia="Times New Roman" w:cs="Arial"/>
          <w:color w:val="000000"/>
          <w:sz w:val="24"/>
          <w:szCs w:val="24"/>
          <w:lang w:val="sr-Latn-ME"/>
        </w:rPr>
        <w:t>, će sadržati i sljedeće:</w:t>
      </w:r>
      <w:r>
        <w:rPr>
          <w:rFonts w:ascii="Arial" w:hAnsi="Arial" w:eastAsia="Times New Roman" w:cs="Arial"/>
          <w:color w:val="000000"/>
          <w:sz w:val="24"/>
          <w:szCs w:val="24"/>
          <w:vertAlign w:val="superscript"/>
          <w:lang w:val="sr-Latn-ME"/>
        </w:rPr>
        <w:footnoteReference w:id="7"/>
      </w:r>
    </w:p>
    <w:p>
      <w:pPr>
        <w:spacing w:after="0" w:line="240" w:lineRule="auto"/>
        <w:jc w:val="both"/>
        <w:rPr>
          <w:rFonts w:ascii="Arial" w:hAnsi="Arial" w:eastAsia="Times New Roman" w:cs="Arial"/>
          <w:color w:val="000000"/>
          <w:sz w:val="24"/>
          <w:szCs w:val="24"/>
          <w:lang w:val="sr-Latn-ME"/>
        </w:rPr>
      </w:pPr>
    </w:p>
    <w:p>
      <w:pPr>
        <w:spacing w:line="240" w:lineRule="auto"/>
        <w:jc w:val="both"/>
        <w:rPr>
          <w:rFonts w:ascii="Arial" w:hAnsi="Arial" w:eastAsia="Times New Roman" w:cs="Arial"/>
          <w:color w:val="000000"/>
          <w:sz w:val="24"/>
          <w:szCs w:val="24"/>
          <w:u w:val="single"/>
          <w:lang w:val="sr-Latn-ME"/>
        </w:rPr>
      </w:pPr>
      <w:r>
        <w:rPr>
          <w:rFonts w:ascii="Arial" w:hAnsi="Arial" w:eastAsia="Times New Roman" w:cs="Arial"/>
          <w:color w:val="000000"/>
          <w:sz w:val="24"/>
          <w:szCs w:val="24"/>
          <w:u w:val="single"/>
          <w:lang w:val="sr-Latn-ME"/>
        </w:rPr>
        <w:t>Obaveze ugovornih strana</w:t>
      </w:r>
    </w:p>
    <w:p>
      <w:pPr>
        <w:spacing w:after="0" w:line="276" w:lineRule="auto"/>
        <w:rPr>
          <w:rFonts w:ascii="Arial" w:hAnsi="Arial" w:eastAsia="Calibri" w:cs="Arial"/>
          <w:bCs/>
          <w:sz w:val="24"/>
          <w:szCs w:val="24"/>
          <w:lang w:val="es-AR"/>
        </w:rPr>
      </w:pPr>
      <w:r>
        <w:rPr>
          <w:rFonts w:ascii="Arial" w:hAnsi="Arial" w:eastAsia="Calibri" w:cs="Arial"/>
          <w:sz w:val="24"/>
          <w:szCs w:val="24"/>
          <w:lang w:val="es-AR"/>
        </w:rPr>
        <w:t>Izvršilac</w:t>
      </w:r>
      <w:r>
        <w:rPr>
          <w:rFonts w:ascii="Arial" w:hAnsi="Arial" w:eastAsia="Calibri" w:cs="Arial"/>
          <w:bCs/>
          <w:sz w:val="24"/>
          <w:szCs w:val="24"/>
          <w:lang w:val="es-AR"/>
        </w:rPr>
        <w:t xml:space="preserve"> se obavezuje:</w:t>
      </w:r>
    </w:p>
    <w:p>
      <w:pPr>
        <w:tabs>
          <w:tab w:val="left" w:pos="284"/>
        </w:tabs>
        <w:spacing w:after="0" w:line="240" w:lineRule="auto"/>
        <w:jc w:val="both"/>
        <w:rPr>
          <w:rFonts w:ascii="Arial" w:hAnsi="Arial" w:eastAsia="Calibri" w:cs="Arial"/>
          <w:sz w:val="24"/>
          <w:szCs w:val="24"/>
          <w:lang w:val="pl-PL"/>
        </w:rPr>
      </w:pPr>
      <w:r>
        <w:rPr>
          <w:rFonts w:ascii="Arial" w:hAnsi="Arial" w:eastAsia="Calibri" w:cs="Arial"/>
          <w:bCs/>
          <w:sz w:val="24"/>
          <w:szCs w:val="24"/>
          <w:lang w:val="es-AR"/>
        </w:rPr>
        <w:t xml:space="preserve">- </w:t>
      </w:r>
      <w:r>
        <w:rPr>
          <w:rFonts w:ascii="Arial" w:hAnsi="Arial" w:eastAsia="Calibri" w:cs="Arial"/>
          <w:sz w:val="24"/>
          <w:szCs w:val="24"/>
          <w:lang w:val="sl-SI"/>
        </w:rPr>
        <w:t>da će, ukoliko dođe do promjene partnerskog statusa u kompaniji tokom trajanja ugovora, a definisanog u posebnim uslovima u pozivu za nadmetanje, obezbijediti u roku od 10 dana kontinuitet i dostaviti ugovor sa podugovaračem koji zadovoljava navedene uslove;</w:t>
      </w:r>
    </w:p>
    <w:p>
      <w:pPr>
        <w:tabs>
          <w:tab w:val="left" w:pos="284"/>
        </w:tabs>
        <w:spacing w:after="0" w:line="240" w:lineRule="auto"/>
        <w:jc w:val="both"/>
        <w:rPr>
          <w:rFonts w:ascii="Arial" w:hAnsi="Arial" w:eastAsia="Calibri" w:cs="Arial"/>
          <w:sz w:val="24"/>
          <w:szCs w:val="24"/>
          <w:lang w:val="it-IT"/>
        </w:rPr>
      </w:pPr>
      <w:r>
        <w:rPr>
          <w:rFonts w:ascii="Arial" w:hAnsi="Arial" w:eastAsia="Calibri" w:cs="Arial"/>
          <w:sz w:val="24"/>
          <w:szCs w:val="24"/>
          <w:lang w:val="it-IT"/>
        </w:rPr>
        <w:t xml:space="preserve">- da </w:t>
      </w:r>
      <w:r>
        <w:rPr>
          <w:rFonts w:ascii="Arial" w:hAnsi="Arial" w:eastAsia="Calibri" w:cs="Arial"/>
          <w:sz w:val="24"/>
          <w:szCs w:val="24"/>
          <w:lang w:val="sr-Latn-CS"/>
        </w:rPr>
        <w:t>usluge</w:t>
      </w:r>
      <w:r>
        <w:rPr>
          <w:rFonts w:ascii="Arial" w:hAnsi="Arial" w:eastAsia="Calibri" w:cs="Arial"/>
          <w:sz w:val="24"/>
          <w:szCs w:val="24"/>
          <w:lang w:val="it-IT"/>
        </w:rPr>
        <w:t xml:space="preserve"> koj</w:t>
      </w:r>
      <w:r>
        <w:rPr>
          <w:rFonts w:ascii="Arial" w:hAnsi="Arial" w:eastAsia="Calibri" w:cs="Arial"/>
          <w:sz w:val="24"/>
          <w:szCs w:val="24"/>
          <w:lang w:val="sr-Latn-CS"/>
        </w:rPr>
        <w:t>e</w:t>
      </w:r>
      <w:r>
        <w:rPr>
          <w:rFonts w:ascii="Arial" w:hAnsi="Arial" w:eastAsia="Calibri" w:cs="Arial"/>
          <w:sz w:val="24"/>
          <w:szCs w:val="24"/>
          <w:lang w:val="it-IT"/>
        </w:rPr>
        <w:t xml:space="preserve"> su predmet ovog Ugovora izvodi u skladu sa važećim </w:t>
      </w:r>
      <w:r>
        <w:rPr>
          <w:rFonts w:ascii="Arial" w:hAnsi="Arial" w:eastAsia="Calibri" w:cs="Arial"/>
          <w:sz w:val="24"/>
          <w:szCs w:val="24"/>
          <w:lang w:val="sr-Latn-CS"/>
        </w:rPr>
        <w:t xml:space="preserve">zakonskim </w:t>
      </w:r>
      <w:r>
        <w:rPr>
          <w:rFonts w:ascii="Arial" w:hAnsi="Arial" w:eastAsia="Calibri" w:cs="Arial"/>
          <w:sz w:val="24"/>
          <w:szCs w:val="24"/>
          <w:lang w:val="it-IT"/>
        </w:rPr>
        <w:t xml:space="preserve">propisima, normativima i standardima za ovu vrstu </w:t>
      </w:r>
      <w:r>
        <w:rPr>
          <w:rFonts w:ascii="Arial" w:hAnsi="Arial" w:eastAsia="Calibri" w:cs="Arial"/>
          <w:sz w:val="24"/>
          <w:szCs w:val="24"/>
          <w:lang w:val="sr-Latn-CS"/>
        </w:rPr>
        <w:t>posla</w:t>
      </w:r>
      <w:r>
        <w:rPr>
          <w:rFonts w:ascii="Arial" w:hAnsi="Arial" w:eastAsia="Calibri" w:cs="Arial"/>
          <w:sz w:val="24"/>
          <w:szCs w:val="24"/>
          <w:lang w:val="it-IT"/>
        </w:rPr>
        <w:t>;</w:t>
      </w:r>
    </w:p>
    <w:p>
      <w:pPr>
        <w:tabs>
          <w:tab w:val="left" w:pos="284"/>
        </w:tabs>
        <w:spacing w:after="0" w:line="240" w:lineRule="auto"/>
        <w:jc w:val="both"/>
        <w:rPr>
          <w:rFonts w:ascii="Arial" w:hAnsi="Arial" w:eastAsia="Calibri" w:cs="Arial"/>
          <w:sz w:val="24"/>
          <w:szCs w:val="24"/>
          <w:lang w:val="it-IT"/>
        </w:rPr>
      </w:pPr>
      <w:r>
        <w:rPr>
          <w:rFonts w:ascii="Arial" w:hAnsi="Arial" w:eastAsia="Calibri" w:cs="Arial"/>
          <w:sz w:val="24"/>
          <w:szCs w:val="24"/>
          <w:lang w:val="it-IT"/>
        </w:rPr>
        <w:t xml:space="preserve">- da rukovodi izvršenjem svih </w:t>
      </w:r>
      <w:r>
        <w:rPr>
          <w:rFonts w:ascii="Arial" w:hAnsi="Arial" w:eastAsia="Calibri" w:cs="Arial"/>
          <w:sz w:val="24"/>
          <w:szCs w:val="24"/>
          <w:lang w:val="sr-Latn-CS"/>
        </w:rPr>
        <w:t>usluga</w:t>
      </w:r>
      <w:r>
        <w:rPr>
          <w:rFonts w:ascii="Arial" w:hAnsi="Arial" w:eastAsia="Calibri" w:cs="Arial"/>
          <w:sz w:val="24"/>
          <w:szCs w:val="24"/>
          <w:lang w:val="it-IT"/>
        </w:rPr>
        <w:t>;</w:t>
      </w:r>
    </w:p>
    <w:p>
      <w:pPr>
        <w:tabs>
          <w:tab w:val="left" w:pos="284"/>
        </w:tabs>
        <w:spacing w:after="0" w:line="240" w:lineRule="auto"/>
        <w:jc w:val="both"/>
        <w:rPr>
          <w:rFonts w:ascii="Arial" w:hAnsi="Arial" w:eastAsia="Calibri" w:cs="Arial"/>
          <w:sz w:val="24"/>
          <w:szCs w:val="24"/>
          <w:lang w:val="pl-PL"/>
        </w:rPr>
      </w:pPr>
      <w:r>
        <w:rPr>
          <w:rFonts w:ascii="Arial" w:hAnsi="Arial" w:eastAsia="Calibri" w:cs="Arial"/>
          <w:sz w:val="24"/>
          <w:szCs w:val="24"/>
          <w:lang w:val="pl-PL"/>
        </w:rPr>
        <w:t xml:space="preserve">- da obezbijedi kompletnu dokumentaciju po kojoj se izvode </w:t>
      </w:r>
      <w:r>
        <w:rPr>
          <w:rFonts w:ascii="Arial" w:hAnsi="Arial" w:eastAsia="Calibri" w:cs="Arial"/>
          <w:sz w:val="24"/>
          <w:szCs w:val="24"/>
          <w:lang w:val="sr-Latn-CS"/>
        </w:rPr>
        <w:t>usluge</w:t>
      </w:r>
      <w:r>
        <w:rPr>
          <w:rFonts w:ascii="Arial" w:hAnsi="Arial" w:eastAsia="Calibri" w:cs="Arial"/>
          <w:sz w:val="24"/>
          <w:szCs w:val="24"/>
          <w:lang w:val="pl-PL"/>
        </w:rPr>
        <w:t>;</w:t>
      </w:r>
    </w:p>
    <w:p>
      <w:pPr>
        <w:tabs>
          <w:tab w:val="left" w:pos="284"/>
        </w:tabs>
        <w:spacing w:after="0" w:line="240" w:lineRule="auto"/>
        <w:jc w:val="both"/>
        <w:rPr>
          <w:rFonts w:ascii="Arial" w:hAnsi="Arial" w:eastAsia="Calibri" w:cs="Arial"/>
          <w:sz w:val="24"/>
          <w:szCs w:val="24"/>
          <w:lang w:val="pl-PL"/>
        </w:rPr>
      </w:pPr>
      <w:r>
        <w:rPr>
          <w:rFonts w:ascii="Arial" w:hAnsi="Arial" w:eastAsia="Calibri" w:cs="Arial"/>
          <w:sz w:val="24"/>
          <w:szCs w:val="24"/>
          <w:lang w:val="sr-Latn-CS"/>
        </w:rPr>
        <w:t xml:space="preserve">- da </w:t>
      </w:r>
      <w:r>
        <w:rPr>
          <w:rFonts w:ascii="Arial" w:hAnsi="Arial" w:eastAsia="Calibri" w:cs="Arial"/>
          <w:sz w:val="24"/>
          <w:szCs w:val="24"/>
          <w:lang w:val="pl-PL"/>
        </w:rPr>
        <w:t>sistemsku i funkcionalnu podršku, koja se sastoji od korektivnih mjera koje se tiču rješavanja problema u operativnom radu, pruža u skladu sa prioritetima koji će biti definisani u prilogu A ugovora;</w:t>
      </w:r>
    </w:p>
    <w:p>
      <w:pPr>
        <w:tabs>
          <w:tab w:val="left" w:pos="284"/>
        </w:tabs>
        <w:spacing w:after="0" w:line="240" w:lineRule="auto"/>
        <w:jc w:val="both"/>
        <w:rPr>
          <w:rFonts w:ascii="Arial" w:hAnsi="Arial" w:eastAsia="Calibri" w:cs="Arial"/>
          <w:sz w:val="24"/>
          <w:szCs w:val="24"/>
          <w:lang w:val="sr-Latn-CS"/>
        </w:rPr>
      </w:pPr>
      <w:r>
        <w:rPr>
          <w:rFonts w:ascii="Arial" w:hAnsi="Arial" w:eastAsia="Calibri" w:cs="Arial"/>
          <w:sz w:val="24"/>
          <w:szCs w:val="24"/>
          <w:lang w:val="sr-Latn-CS"/>
        </w:rPr>
        <w:t>- da nadoknadi svu štetu Naručiocu, koja bude prouzrokovana nesavjesnim ili nekvalitetnim postupanjem Izvršioca, suprotno pažnji dobrog stručnjaka.</w:t>
      </w:r>
    </w:p>
    <w:p>
      <w:pPr>
        <w:tabs>
          <w:tab w:val="left" w:pos="284"/>
        </w:tabs>
        <w:spacing w:after="0" w:line="240" w:lineRule="auto"/>
        <w:rPr>
          <w:rFonts w:ascii="Arial" w:hAnsi="Arial" w:eastAsia="Calibri" w:cs="Arial"/>
          <w:sz w:val="24"/>
          <w:szCs w:val="24"/>
          <w:lang w:val="sr-Latn-CS"/>
        </w:rPr>
      </w:pPr>
    </w:p>
    <w:p>
      <w:pPr>
        <w:tabs>
          <w:tab w:val="left" w:pos="284"/>
        </w:tabs>
        <w:spacing w:after="0" w:line="276" w:lineRule="auto"/>
        <w:jc w:val="both"/>
        <w:rPr>
          <w:rFonts w:ascii="Arial" w:hAnsi="Arial" w:eastAsia="Calibri" w:cs="Arial"/>
          <w:sz w:val="24"/>
          <w:szCs w:val="24"/>
          <w:lang w:val="sr-Latn-CS"/>
        </w:rPr>
      </w:pPr>
      <w:r>
        <w:rPr>
          <w:rFonts w:ascii="Arial" w:hAnsi="Arial" w:eastAsia="Calibri" w:cs="Arial"/>
          <w:sz w:val="24"/>
          <w:szCs w:val="24"/>
          <w:lang w:val="sr-Latn-CS"/>
        </w:rPr>
        <w:t>Naručilac se obavezuje:</w:t>
      </w:r>
    </w:p>
    <w:p>
      <w:pPr>
        <w:tabs>
          <w:tab w:val="left" w:pos="284"/>
        </w:tabs>
        <w:spacing w:after="0" w:line="240" w:lineRule="auto"/>
        <w:jc w:val="both"/>
        <w:rPr>
          <w:rFonts w:ascii="Arial" w:hAnsi="Arial" w:eastAsia="Calibri" w:cs="Arial"/>
          <w:sz w:val="24"/>
          <w:szCs w:val="24"/>
          <w:lang w:val="it-IT"/>
        </w:rPr>
      </w:pPr>
      <w:r>
        <w:rPr>
          <w:rFonts w:ascii="Arial" w:hAnsi="Arial" w:eastAsia="Calibri" w:cs="Arial"/>
          <w:sz w:val="24"/>
          <w:szCs w:val="24"/>
          <w:lang w:val="it-IT"/>
        </w:rPr>
        <w:t xml:space="preserve">- da </w:t>
      </w:r>
      <w:r>
        <w:rPr>
          <w:rFonts w:ascii="Arial" w:hAnsi="Arial" w:eastAsia="Calibri" w:cs="Arial"/>
          <w:sz w:val="24"/>
          <w:szCs w:val="24"/>
          <w:lang w:val="sr-Latn-CS"/>
        </w:rPr>
        <w:t>po dogovorenom terminu i planu Izvršioca uvede u posao, što podrazumijeva obezbjeđenje svih potrebnih uslova za nesmetano obavljanje posla;</w:t>
      </w:r>
    </w:p>
    <w:p>
      <w:pPr>
        <w:tabs>
          <w:tab w:val="left" w:pos="284"/>
        </w:tabs>
        <w:spacing w:after="0" w:line="240" w:lineRule="auto"/>
        <w:jc w:val="both"/>
        <w:rPr>
          <w:rFonts w:ascii="Arial" w:hAnsi="Arial" w:eastAsia="Calibri" w:cs="Arial"/>
          <w:sz w:val="24"/>
          <w:szCs w:val="24"/>
          <w:lang w:val="it-IT"/>
        </w:rPr>
      </w:pPr>
      <w:r>
        <w:rPr>
          <w:rFonts w:ascii="Arial" w:hAnsi="Arial" w:eastAsia="Calibri" w:cs="Arial"/>
          <w:sz w:val="24"/>
          <w:szCs w:val="24"/>
          <w:lang w:val="sr-Latn-CS"/>
        </w:rPr>
        <w:t>- da izvrši plaćanje za usluge koje su predmet ovog Ugovora, na način preciziran u ovoj tenderskoj dokumentaciji.</w:t>
      </w:r>
    </w:p>
    <w:p>
      <w:pPr>
        <w:spacing w:after="0" w:line="240" w:lineRule="auto"/>
        <w:jc w:val="both"/>
        <w:rPr>
          <w:rFonts w:ascii="Arial" w:hAnsi="Arial" w:eastAsia="Times New Roman" w:cs="Arial"/>
          <w:color w:val="000000"/>
          <w:sz w:val="24"/>
          <w:szCs w:val="24"/>
          <w:lang w:val="sr-Latn-ME"/>
        </w:rPr>
      </w:pPr>
    </w:p>
    <w:p>
      <w:pPr>
        <w:tabs>
          <w:tab w:val="left" w:pos="284"/>
        </w:tabs>
        <w:spacing w:line="240" w:lineRule="auto"/>
        <w:jc w:val="both"/>
        <w:rPr>
          <w:rFonts w:ascii="Arial" w:hAnsi="Arial" w:eastAsia="Calibri" w:cs="Arial"/>
          <w:color w:val="000000"/>
          <w:sz w:val="24"/>
          <w:szCs w:val="24"/>
          <w:u w:val="single"/>
        </w:rPr>
      </w:pPr>
      <w:r>
        <w:rPr>
          <w:rFonts w:ascii="Arial" w:hAnsi="Arial" w:eastAsia="Calibri" w:cs="Arial"/>
          <w:color w:val="000000"/>
          <w:sz w:val="24"/>
          <w:szCs w:val="24"/>
          <w:u w:val="single"/>
        </w:rPr>
        <w:t>Prava intelektualne svojine</w:t>
      </w:r>
    </w:p>
    <w:p>
      <w:pPr>
        <w:tabs>
          <w:tab w:val="left" w:pos="284"/>
        </w:tabs>
        <w:spacing w:after="200" w:line="240" w:lineRule="auto"/>
        <w:jc w:val="both"/>
        <w:rPr>
          <w:rFonts w:ascii="Arial" w:hAnsi="Arial" w:eastAsia="Calibri" w:cs="Arial"/>
          <w:color w:val="000000"/>
          <w:sz w:val="24"/>
          <w:szCs w:val="24"/>
        </w:rPr>
      </w:pPr>
      <w:r>
        <w:rPr>
          <w:rFonts w:ascii="Arial" w:hAnsi="Arial" w:eastAsia="Calibri" w:cs="Arial"/>
          <w:color w:val="000000"/>
          <w:sz w:val="24"/>
          <w:szCs w:val="24"/>
        </w:rPr>
        <w:t>Ugovorne strane su saglasne da Naručilac isplatom ugovorene cijene održavanja u cjelosti stiče sva prava iskorišćavanja produkata održavanja razvijenih od strane Izvršioca za potrebe izvršenja ovog Ugovora.</w:t>
      </w:r>
    </w:p>
    <w:p>
      <w:pPr>
        <w:spacing w:line="240" w:lineRule="auto"/>
        <w:jc w:val="both"/>
        <w:rPr>
          <w:rFonts w:ascii="Arial" w:hAnsi="Arial" w:eastAsia="Calibri" w:cs="Arial"/>
          <w:sz w:val="24"/>
          <w:szCs w:val="24"/>
          <w:u w:val="single"/>
          <w:lang w:val="sr-Latn-ME"/>
        </w:rPr>
      </w:pPr>
      <w:r>
        <w:rPr>
          <w:rFonts w:ascii="Arial" w:hAnsi="Arial" w:eastAsia="Calibri" w:cs="Arial"/>
          <w:sz w:val="24"/>
          <w:szCs w:val="24"/>
          <w:u w:val="single"/>
          <w:lang w:val="sr-Latn-ME"/>
        </w:rPr>
        <w:t>Izvještavanje</w:t>
      </w:r>
    </w:p>
    <w:p>
      <w:pPr>
        <w:spacing w:after="200" w:line="276" w:lineRule="auto"/>
        <w:jc w:val="both"/>
        <w:rPr>
          <w:rFonts w:ascii="Arial" w:hAnsi="Arial" w:eastAsia="PMingLiU" w:cs="Arial"/>
          <w:sz w:val="24"/>
          <w:szCs w:val="24"/>
          <w:lang w:val="sr-Latn-CS" w:eastAsia="zh-TW"/>
        </w:rPr>
      </w:pPr>
      <w:r>
        <w:rPr>
          <w:rFonts w:ascii="Arial" w:hAnsi="Arial" w:eastAsia="PMingLiU" w:cs="Arial"/>
          <w:sz w:val="24"/>
          <w:szCs w:val="24"/>
          <w:lang w:val="sr-Latn-CS" w:eastAsia="zh-TW"/>
        </w:rPr>
        <w:t xml:space="preserve">Ugovorne strane su saglasne da će Izvršilac biti u obavezi tokom čitavog trajanja ovog Ugovora da jednom mjesečno redovno izvještava Naručioca o detaljima izvršenih usluga koje su predmet ovog Ugovora. Izvještaji moraju sadržati detalje rješenja za svaki upućeni zahtjev. Ukoliko se radi o preventivnim aktivnostima Izvršilac treba da dostavi rezultate i predloge za eventualna poboljšanja ili promjene u cilju poboljšavanja performasi ili izbjegavanja potencijalnih grešaka i problema. Stručno osoblje koje odredi Naručilac će u slučaju da iz redovnih izvještaja utvrdi određene nepravilnosti, zatražiti od Izvršioca preduzimanje svih mjera u pravcu njihovog pravovremenog korigovanja. </w:t>
      </w:r>
      <w:r>
        <w:rPr>
          <w:rFonts w:ascii="Arial" w:hAnsi="Arial" w:eastAsia="Calibri" w:cs="Arial"/>
          <w:sz w:val="24"/>
          <w:szCs w:val="24"/>
        </w:rPr>
        <w:t xml:space="preserve">Izvršilac je dužan da postupi po primjedbama stručnog osoblja, u roku od 3 dana od dana kada je zapisnički konstatovana uočena nepravilnost. </w:t>
      </w:r>
    </w:p>
    <w:p>
      <w:pPr>
        <w:spacing w:after="0" w:line="240" w:lineRule="auto"/>
        <w:jc w:val="both"/>
        <w:rPr>
          <w:rFonts w:ascii="Arial" w:hAnsi="Arial" w:eastAsia="PMingLiU" w:cs="Arial"/>
          <w:sz w:val="24"/>
          <w:szCs w:val="24"/>
          <w:lang w:val="sr-Latn-CS" w:eastAsia="zh-TW"/>
        </w:rPr>
      </w:pPr>
      <w:r>
        <w:rPr>
          <w:rFonts w:ascii="Arial" w:hAnsi="Arial" w:eastAsia="PMingLiU" w:cs="Arial"/>
          <w:sz w:val="24"/>
          <w:szCs w:val="24"/>
          <w:lang w:val="sr-Latn-CS" w:eastAsia="zh-TW"/>
        </w:rPr>
        <w:t>Pored izvještavanja, Izvršilac će biti u obavezi da Naručioca informiše i o nastupanju nepredviđenih okolnosti koje se mogu javiti tokom realizacije ovog Ugovora, a koje se na bilo koji način odnose, ili se mogu odnositi na realizaciju prava i obaveza definisanih ovim Ugovorom.</w:t>
      </w:r>
    </w:p>
    <w:p>
      <w:pPr>
        <w:spacing w:after="0" w:line="240" w:lineRule="auto"/>
        <w:jc w:val="both"/>
        <w:rPr>
          <w:rFonts w:ascii="Arial" w:hAnsi="Arial" w:eastAsia="PMingLiU" w:cs="Arial"/>
          <w:sz w:val="24"/>
          <w:szCs w:val="24"/>
          <w:u w:val="single"/>
          <w:lang w:val="sr-Latn-ME" w:eastAsia="zh-TW"/>
        </w:rPr>
      </w:pPr>
    </w:p>
    <w:p>
      <w:pPr>
        <w:spacing w:line="240" w:lineRule="auto"/>
        <w:jc w:val="both"/>
        <w:rPr>
          <w:rFonts w:ascii="Arial" w:hAnsi="Arial" w:eastAsia="PMingLiU" w:cs="Arial"/>
          <w:sz w:val="24"/>
          <w:szCs w:val="24"/>
          <w:u w:val="single"/>
          <w:lang w:val="sr-Latn-ME" w:eastAsia="zh-TW"/>
        </w:rPr>
      </w:pPr>
      <w:r>
        <w:rPr>
          <w:rFonts w:ascii="Arial" w:hAnsi="Arial" w:eastAsia="PMingLiU" w:cs="Arial"/>
          <w:sz w:val="24"/>
          <w:szCs w:val="24"/>
          <w:u w:val="single"/>
          <w:lang w:val="sr-Latn-ME" w:eastAsia="zh-TW"/>
        </w:rPr>
        <w:t>Ugovorne kazne</w:t>
      </w:r>
    </w:p>
    <w:p>
      <w:pPr>
        <w:spacing w:after="0" w:line="240" w:lineRule="auto"/>
        <w:jc w:val="both"/>
        <w:rPr>
          <w:rFonts w:ascii="Arial" w:hAnsi="Arial" w:eastAsia="PMingLiU" w:cs="Arial"/>
          <w:sz w:val="24"/>
          <w:szCs w:val="24"/>
          <w:highlight w:val="none"/>
          <w:lang w:val="sr-Latn-ME" w:eastAsia="zh-TW"/>
        </w:rPr>
      </w:pPr>
      <w:r>
        <w:rPr>
          <w:rFonts w:ascii="Arial" w:hAnsi="Arial" w:eastAsia="PMingLiU" w:cs="Arial"/>
          <w:sz w:val="24"/>
          <w:szCs w:val="24"/>
          <w:highlight w:val="none"/>
          <w:lang w:val="sr-Latn-ME" w:eastAsia="zh-TW"/>
        </w:rPr>
        <w:t>Ugovorne kazne su:</w:t>
      </w:r>
    </w:p>
    <w:p>
      <w:pPr>
        <w:numPr>
          <w:ilvl w:val="0"/>
          <w:numId w:val="8"/>
        </w:numPr>
        <w:spacing w:after="0" w:line="240" w:lineRule="auto"/>
        <w:jc w:val="both"/>
        <w:rPr>
          <w:rFonts w:ascii="Arial" w:hAnsi="Arial" w:eastAsia="PMingLiU" w:cs="Arial"/>
          <w:sz w:val="24"/>
          <w:szCs w:val="24"/>
          <w:highlight w:val="none"/>
          <w:lang w:eastAsia="zh-TW"/>
        </w:rPr>
      </w:pPr>
      <w:r>
        <w:rPr>
          <w:rFonts w:ascii="Arial" w:hAnsi="Arial" w:eastAsia="PMingLiU" w:cs="Arial"/>
          <w:sz w:val="24"/>
          <w:szCs w:val="24"/>
          <w:highlight w:val="none"/>
          <w:lang w:eastAsia="zh-TW"/>
        </w:rPr>
        <w:t>Ukoliko sistem, u toku jednog mjeseca, nije bio u funkciji više od dva radna dana ( kritični kvar), izvršiće se smanjenje fakture za taj mjesec u visini od 30%;</w:t>
      </w:r>
    </w:p>
    <w:p>
      <w:pPr>
        <w:numPr>
          <w:ilvl w:val="0"/>
          <w:numId w:val="8"/>
        </w:numPr>
        <w:spacing w:after="0" w:line="240" w:lineRule="auto"/>
        <w:jc w:val="both"/>
        <w:rPr>
          <w:rFonts w:ascii="Arial" w:hAnsi="Arial" w:eastAsia="PMingLiU" w:cs="Arial"/>
          <w:sz w:val="24"/>
          <w:szCs w:val="24"/>
          <w:lang w:eastAsia="zh-TW"/>
        </w:rPr>
      </w:pPr>
      <w:r>
        <w:rPr>
          <w:rFonts w:ascii="Arial" w:hAnsi="Arial" w:eastAsia="PMingLiU" w:cs="Arial"/>
          <w:sz w:val="24"/>
          <w:szCs w:val="24"/>
          <w:lang w:val="sr-Latn-CS" w:eastAsia="zh-TW"/>
        </w:rPr>
        <w:t>Ukoliko se u razumnom roku, a najviše u roku do 20 radnih dana (osim u slučaju da su se Naručilac i Izvršilac drugačije usaglasili), ne otkloni manji manji kvar</w:t>
      </w:r>
      <w:bookmarkStart w:id="16" w:name="_GoBack"/>
      <w:bookmarkEnd w:id="16"/>
      <w:r>
        <w:rPr>
          <w:rFonts w:ascii="Arial" w:hAnsi="Arial" w:eastAsia="PMingLiU" w:cs="Arial"/>
          <w:sz w:val="24"/>
          <w:szCs w:val="24"/>
          <w:lang w:val="sr-Latn-CS" w:eastAsia="zh-TW"/>
        </w:rPr>
        <w:t>, izvršiće se smanjenje fakture za taj mjesec u visini do 70%.</w:t>
      </w:r>
    </w:p>
    <w:p>
      <w:pPr>
        <w:spacing w:after="0" w:line="276" w:lineRule="auto"/>
        <w:jc w:val="both"/>
        <w:rPr>
          <w:rFonts w:ascii="Arial" w:hAnsi="Arial" w:eastAsia="PMingLiU" w:cs="Arial"/>
          <w:sz w:val="24"/>
          <w:szCs w:val="24"/>
          <w:lang w:val="sr-Latn-CS" w:eastAsia="zh-TW"/>
        </w:rPr>
      </w:pPr>
    </w:p>
    <w:p>
      <w:pPr>
        <w:spacing w:after="200" w:line="276" w:lineRule="auto"/>
        <w:jc w:val="both"/>
        <w:rPr>
          <w:rFonts w:ascii="Arial" w:hAnsi="Arial" w:eastAsia="PMingLiU" w:cs="Arial"/>
          <w:sz w:val="24"/>
          <w:szCs w:val="24"/>
          <w:lang w:val="sr-Latn-CS" w:eastAsia="zh-TW"/>
        </w:rPr>
      </w:pPr>
      <w:r>
        <w:rPr>
          <w:rFonts w:ascii="Arial" w:hAnsi="Arial" w:eastAsia="PMingLiU" w:cs="Arial"/>
          <w:sz w:val="24"/>
          <w:szCs w:val="24"/>
          <w:lang w:val="sr-Latn-CS" w:eastAsia="zh-TW"/>
        </w:rPr>
        <w:t>Ugovorne kazne se neće uzimati u obzir ukoliko je greška nastala pod uticajem više sile ili kvara izvan uticaja Izvršioca, kao i kvara nastalog usljed greške Naručioca.</w:t>
      </w:r>
    </w:p>
    <w:p>
      <w:pPr>
        <w:spacing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Plaćanje ugovorene kazne ne oslobađa Izvršioca obaveze da u cjelosti završi ugovoreni, posao i to u roku do 10 dana od dana utvrđene ugovorne kazne iz stava 1 ovog člana, u suprotnom će se smatrati ne izvršavanjem ugovorene obaveze.</w:t>
      </w:r>
    </w:p>
    <w:p>
      <w:pPr>
        <w:spacing w:line="240" w:lineRule="auto"/>
        <w:jc w:val="both"/>
        <w:rPr>
          <w:rFonts w:ascii="Arial" w:hAnsi="Arial" w:eastAsia="Calibri" w:cs="Arial"/>
          <w:sz w:val="24"/>
          <w:szCs w:val="24"/>
          <w:u w:val="single"/>
          <w:lang w:val="sr-Latn-ME"/>
        </w:rPr>
      </w:pPr>
      <w:r>
        <w:rPr>
          <w:rFonts w:ascii="Arial" w:hAnsi="Arial" w:eastAsia="Calibri" w:cs="Arial"/>
          <w:sz w:val="24"/>
          <w:szCs w:val="24"/>
          <w:u w:val="single"/>
          <w:lang w:val="sr-Latn-ME"/>
        </w:rPr>
        <w:t>Naknada štete</w:t>
      </w:r>
    </w:p>
    <w:p>
      <w:pPr>
        <w:spacing w:after="0" w:line="240" w:lineRule="auto"/>
        <w:jc w:val="both"/>
        <w:rPr>
          <w:rFonts w:ascii="Arial" w:hAnsi="Arial" w:eastAsia="PMingLiU" w:cs="Arial"/>
          <w:sz w:val="24"/>
          <w:szCs w:val="24"/>
          <w:lang w:val="sr-Latn-ME" w:eastAsia="zh-TW"/>
        </w:rPr>
      </w:pPr>
      <w:r>
        <w:rPr>
          <w:rFonts w:ascii="Arial" w:hAnsi="Arial" w:eastAsia="PMingLiU" w:cs="Arial"/>
          <w:sz w:val="24"/>
          <w:szCs w:val="24"/>
          <w:lang w:val="sr-Latn-ME" w:eastAsia="zh-TW"/>
        </w:rPr>
        <w:t>Ukoliko Izvršilac, namjerno ili krajnjom nepažnjom, postupi suprotno odredbama Ugovora, a zbog toga dođe do neoperativnosti i nefunkcionisanja softverskog rješenja, te zbog toga Naručilac pretrpi štetu, dužan je da prouzrokovanu štetu nadoknadi.</w:t>
      </w:r>
    </w:p>
    <w:p>
      <w:pPr>
        <w:spacing w:after="0" w:line="240" w:lineRule="auto"/>
        <w:jc w:val="both"/>
        <w:rPr>
          <w:rFonts w:ascii="Arial" w:hAnsi="Arial" w:eastAsia="PMingLiU" w:cs="Arial"/>
          <w:sz w:val="24"/>
          <w:szCs w:val="24"/>
          <w:lang w:val="sr-Latn-ME" w:eastAsia="zh-TW"/>
        </w:rPr>
      </w:pPr>
    </w:p>
    <w:p>
      <w:pPr>
        <w:spacing w:after="0" w:line="240" w:lineRule="auto"/>
        <w:jc w:val="both"/>
        <w:rPr>
          <w:rFonts w:ascii="Arial" w:hAnsi="Arial" w:eastAsia="PMingLiU" w:cs="Arial"/>
          <w:sz w:val="24"/>
          <w:szCs w:val="24"/>
          <w:lang w:val="sr-Latn-ME" w:eastAsia="zh-TW"/>
        </w:rPr>
      </w:pPr>
      <w:r>
        <w:rPr>
          <w:rFonts w:ascii="Arial" w:hAnsi="Arial" w:eastAsia="PMingLiU" w:cs="Arial"/>
          <w:sz w:val="24"/>
          <w:szCs w:val="24"/>
          <w:lang w:val="sr-Latn-ME" w:eastAsia="zh-TW"/>
        </w:rPr>
        <w:t>Procjenu uzroka štete izvršiće Komisija Naručioca u prisustvu predstavnika Izvršioca. Ukoliko Komisija Naručioca u prisustvu predstavnika Izvršioca utvrdi da je uzrok nastale štete neispunjavanje ugovrnih obaveza, Naručilac će imati pravo na naknadu štete i na raskid ovog Ugovora.</w:t>
      </w:r>
    </w:p>
    <w:p>
      <w:pPr>
        <w:spacing w:after="0" w:line="240" w:lineRule="auto"/>
        <w:jc w:val="both"/>
        <w:rPr>
          <w:rFonts w:ascii="Arial" w:hAnsi="Arial" w:eastAsia="PMingLiU" w:cs="Arial"/>
          <w:sz w:val="24"/>
          <w:szCs w:val="24"/>
          <w:lang w:val="sr-Latn-ME" w:eastAsia="zh-TW"/>
        </w:rPr>
      </w:pPr>
    </w:p>
    <w:p>
      <w:pPr>
        <w:spacing w:line="240" w:lineRule="auto"/>
        <w:jc w:val="both"/>
        <w:rPr>
          <w:rFonts w:ascii="Arial" w:hAnsi="Arial" w:eastAsia="PMingLiU" w:cs="Arial"/>
          <w:u w:val="single"/>
          <w:lang w:val="sr-Latn-ME" w:eastAsia="zh-TW"/>
        </w:rPr>
      </w:pPr>
      <w:r>
        <w:rPr>
          <w:rFonts w:ascii="Arial" w:hAnsi="Arial" w:eastAsia="PMingLiU" w:cs="Arial"/>
          <w:u w:val="single"/>
          <w:lang w:val="sr-Latn-ME" w:eastAsia="zh-TW"/>
        </w:rPr>
        <w:t>Raskid ugovora</w:t>
      </w:r>
    </w:p>
    <w:p>
      <w:pPr>
        <w:spacing w:before="100" w:beforeAutospacing="1" w:after="0" w:line="240" w:lineRule="auto"/>
        <w:jc w:val="both"/>
        <w:rPr>
          <w:rFonts w:ascii="Arial" w:hAnsi="Arial" w:eastAsia="Calibri" w:cs="Arial"/>
          <w:sz w:val="24"/>
          <w:szCs w:val="24"/>
          <w:lang w:val="sr-Latn-ME"/>
        </w:rPr>
      </w:pPr>
      <w:r>
        <w:rPr>
          <w:rFonts w:ascii="Arial" w:hAnsi="Arial" w:eastAsia="Calibri" w:cs="Arial"/>
          <w:sz w:val="24"/>
          <w:szCs w:val="24"/>
          <w:lang w:val="sr-Latn-ME"/>
        </w:rPr>
        <w:t>Naručilac će jednostrano rakinuti ovaj ugovor u slučaju ako:</w:t>
      </w:r>
    </w:p>
    <w:p>
      <w:pPr>
        <w:spacing w:after="0" w:line="240" w:lineRule="auto"/>
        <w:jc w:val="both"/>
        <w:rPr>
          <w:rFonts w:ascii="Arial" w:hAnsi="Arial" w:eastAsia="Calibri" w:cs="Arial"/>
          <w:color w:val="000000"/>
          <w:sz w:val="24"/>
          <w:szCs w:val="24"/>
        </w:rPr>
      </w:pPr>
      <w:r>
        <w:rPr>
          <w:rFonts w:ascii="Arial" w:hAnsi="Arial" w:eastAsia="Calibri" w:cs="Arial"/>
          <w:sz w:val="24"/>
          <w:szCs w:val="24"/>
          <w:lang w:val="sr-Latn-ME"/>
        </w:rPr>
        <w:t xml:space="preserve">1) Izvršilac </w:t>
      </w:r>
      <w:r>
        <w:rPr>
          <w:rFonts w:ascii="Arial" w:hAnsi="Arial" w:eastAsia="Calibri" w:cs="Arial"/>
          <w:color w:val="000000"/>
          <w:sz w:val="24"/>
          <w:szCs w:val="24"/>
        </w:rPr>
        <w:t>ne bude izvršavao svoje obaveze u rokovima i na način predviđenim Ugovorom;</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2) nastupe okolnosti koje za posljedicu imaju bitnu izmjenu ugovora koja iziskuje sprovođenje novog postupka javne nabavke;</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 xml:space="preserve">2) nastupi neki razlog koji predstavlja osnov za obavezno isključenje iz člana 108 Zakona o javnim nabavkama („Službeni list CG“ br.74/19, 3/23 i 11/23) ili člana 110 ovog zakona, koji je predviđen tenderskom dokumentacijom. </w:t>
      </w:r>
    </w:p>
    <w:p>
      <w:pPr>
        <w:autoSpaceDE w:val="0"/>
        <w:autoSpaceDN w:val="0"/>
        <w:adjustRightInd w:val="0"/>
        <w:spacing w:before="240" w:after="0" w:line="240" w:lineRule="auto"/>
        <w:jc w:val="both"/>
        <w:rPr>
          <w:rFonts w:ascii="Arial" w:hAnsi="Arial" w:eastAsia="Calibri" w:cs="Arial"/>
          <w:sz w:val="24"/>
          <w:szCs w:val="24"/>
          <w:lang w:val="sr-Latn-ME"/>
        </w:rPr>
      </w:pPr>
      <w:r>
        <w:rPr>
          <w:rFonts w:ascii="Arial" w:hAnsi="Arial" w:eastAsia="Calibri" w:cs="Arial"/>
          <w:sz w:val="24"/>
          <w:szCs w:val="24"/>
          <w:lang w:val="sr-Latn-ME"/>
        </w:rPr>
        <w:t>Bitnom izmjenom ugovora iz stava 1 tačka 2 ovog člana smatra se izmjena prirode ugovora u materijalnom smislu u odnosu na ugovor koji je prvobitno zaključen ako je ispunjen jedan ili više sljedećih uslova:</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2) izmjenom se mijenja privredna ravnoteža ugovora u korist privrednog subjekta sa kojim je zaključen ugovor na način koji nije predviđen prvobitnim ugovorom;</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3) izmjenom se značajno povećava obim ugovora;</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4) promjena privrednog subjekta sa kojim je zaključen ugovor o javnoj nabavci, osim u slučaju iz člana 151 stav 1 tačka 4 ZJN;</w:t>
      </w:r>
    </w:p>
    <w:p>
      <w:pPr>
        <w:autoSpaceDE w:val="0"/>
        <w:autoSpaceDN w:val="0"/>
        <w:adjustRightInd w:val="0"/>
        <w:spacing w:after="0" w:line="240" w:lineRule="auto"/>
        <w:jc w:val="both"/>
        <w:rPr>
          <w:rFonts w:ascii="Arial" w:hAnsi="Arial" w:eastAsia="Calibri" w:cs="Arial"/>
          <w:sz w:val="24"/>
          <w:szCs w:val="24"/>
        </w:rPr>
      </w:pPr>
      <w:r>
        <w:rPr>
          <w:rFonts w:ascii="Arial" w:hAnsi="Arial" w:eastAsia="Calibri" w:cs="Arial"/>
          <w:sz w:val="24"/>
          <w:szCs w:val="24"/>
          <w:lang w:val="sl-SI"/>
        </w:rPr>
        <w:t>5) dođe do promjene partnerskog statusa u kompaniji tokom trajanja ugovora, definisanog u posebnim uslovima u predmetnoj tenderskoj dokumentaciji, a Izvršilac ne obezbijedi u roku od 10 dana kontinuitet i ne dostavi ugovor sa podugovaračem koji zadovoljava navedene uslove</w:t>
      </w:r>
      <w:r>
        <w:rPr>
          <w:rFonts w:ascii="Arial" w:hAnsi="Arial" w:eastAsia="Calibri" w:cs="Arial"/>
          <w:color w:val="000000"/>
          <w:sz w:val="24"/>
          <w:szCs w:val="24"/>
          <w:lang w:val="sl-SI"/>
        </w:rPr>
        <w:t>;</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6) ako ponuđač ne izvršava ugovorene obaveze i u drugim slučajevima utvrđenim tenderskom dokumentacijom u skladu sa Zakona o javnim nabavkama („Službeni list CG“ br.74/19, 3/23 i 11/23).</w:t>
      </w:r>
    </w:p>
    <w:p>
      <w:pPr>
        <w:spacing w:before="100" w:beforeAutospacing="1" w:after="0" w:line="240" w:lineRule="auto"/>
        <w:jc w:val="both"/>
        <w:rPr>
          <w:rFonts w:ascii="Arial" w:hAnsi="Arial" w:eastAsia="Calibri" w:cs="Arial"/>
          <w:color w:val="000000"/>
          <w:sz w:val="24"/>
          <w:szCs w:val="24"/>
        </w:rPr>
      </w:pPr>
      <w:r>
        <w:rPr>
          <w:rFonts w:ascii="Arial" w:hAnsi="Arial" w:eastAsia="Calibri" w:cs="Arial"/>
          <w:color w:val="000000"/>
          <w:sz w:val="24"/>
          <w:szCs w:val="24"/>
        </w:rPr>
        <w:t>Izvršilac ima pravo da jednostrano raskine Ugovor ako Naručilac ne plaća Izvršiocu u rokovima i na način predviđen Ugovorom.</w:t>
      </w:r>
    </w:p>
    <w:p>
      <w:pPr>
        <w:autoSpaceDE w:val="0"/>
        <w:autoSpaceDN w:val="0"/>
        <w:adjustRightInd w:val="0"/>
        <w:spacing w:after="0" w:line="240" w:lineRule="auto"/>
        <w:jc w:val="both"/>
        <w:rPr>
          <w:rFonts w:ascii="Arial" w:hAnsi="Arial" w:eastAsia="Calibri" w:cs="Arial"/>
        </w:rPr>
      </w:pPr>
    </w:p>
    <w:p>
      <w:pPr>
        <w:spacing w:line="240" w:lineRule="auto"/>
        <w:jc w:val="both"/>
        <w:rPr>
          <w:rFonts w:ascii="Arial" w:hAnsi="Arial" w:eastAsia="PMingLiU" w:cs="Arial"/>
          <w:sz w:val="24"/>
          <w:szCs w:val="24"/>
          <w:lang w:val="sr-Latn-ME"/>
        </w:rPr>
      </w:pPr>
      <w:r>
        <w:rPr>
          <w:rFonts w:ascii="Arial" w:hAnsi="Arial" w:eastAsia="PMingLiU" w:cs="Arial"/>
          <w:sz w:val="24"/>
          <w:szCs w:val="24"/>
          <w:lang w:val="sr-Latn-ME"/>
        </w:rPr>
        <w:t xml:space="preserve">U bilo kom slučaju prestanka važenja Ugovora iz ovog člana, otkazni rok je 30 dana od dana </w:t>
      </w:r>
      <w:r>
        <w:rPr>
          <w:rFonts w:ascii="Arial" w:hAnsi="Arial" w:eastAsia="Calibri" w:cs="Arial"/>
          <w:sz w:val="24"/>
          <w:szCs w:val="24"/>
          <w:lang w:val="sr-Latn-ME"/>
        </w:rPr>
        <w:t>prijema</w:t>
      </w:r>
      <w:r>
        <w:rPr>
          <w:rFonts w:ascii="Arial" w:hAnsi="Arial" w:eastAsia="PMingLiU" w:cs="Arial"/>
          <w:sz w:val="24"/>
          <w:szCs w:val="24"/>
          <w:lang w:val="sr-Latn-ME"/>
        </w:rPr>
        <w:t xml:space="preserve"> obavještenja o raskidu Ugovora, u kom su oba ugovarača dužna da izvršavaju svoje ugovorene obaveze do isteka otkaznog roka.</w:t>
      </w:r>
    </w:p>
    <w:p>
      <w:pPr>
        <w:spacing w:line="240" w:lineRule="auto"/>
        <w:jc w:val="both"/>
        <w:rPr>
          <w:rFonts w:ascii="Arial" w:hAnsi="Arial" w:eastAsia="PMingLiU" w:cs="Arial"/>
          <w:sz w:val="24"/>
          <w:szCs w:val="24"/>
          <w:lang w:val="sr-Latn-ME"/>
        </w:rPr>
      </w:pPr>
      <w:r>
        <w:rPr>
          <w:rFonts w:ascii="Arial" w:hAnsi="Arial" w:eastAsia="PMingLiU" w:cs="Arial"/>
          <w:sz w:val="24"/>
          <w:szCs w:val="24"/>
          <w:lang w:val="sr-Latn-ME"/>
        </w:rPr>
        <w:t>Ako strane Ugovora sporazumno raskinu ugovor, sporazumom o raskidu ugovora utvrđuju se međusobna prava i obaveze koje proističu iz ugovora.</w:t>
      </w:r>
    </w:p>
    <w:p>
      <w:pPr>
        <w:autoSpaceDE w:val="0"/>
        <w:autoSpaceDN w:val="0"/>
        <w:adjustRightInd w:val="0"/>
        <w:spacing w:after="0" w:line="240" w:lineRule="auto"/>
        <w:jc w:val="both"/>
        <w:rPr>
          <w:rFonts w:ascii="Arial" w:hAnsi="Arial" w:eastAsia="Calibri" w:cs="Arial"/>
        </w:rPr>
      </w:pPr>
    </w:p>
    <w:p>
      <w:pPr>
        <w:spacing w:line="240" w:lineRule="auto"/>
        <w:jc w:val="both"/>
        <w:rPr>
          <w:rFonts w:ascii="Arial" w:hAnsi="Arial" w:eastAsia="PMingLiU" w:cs="Arial"/>
          <w:sz w:val="24"/>
          <w:szCs w:val="24"/>
          <w:u w:val="single"/>
          <w:lang w:val="sr-Latn-ME"/>
        </w:rPr>
      </w:pPr>
      <w:r>
        <w:rPr>
          <w:rFonts w:ascii="Arial" w:hAnsi="Arial" w:eastAsia="PMingLiU" w:cs="Arial"/>
          <w:sz w:val="24"/>
          <w:szCs w:val="24"/>
          <w:u w:val="single"/>
          <w:lang w:val="sr-Latn-ME"/>
        </w:rPr>
        <w:t>Zaštita poslovnih interesa i čuvanje poslovne tajne</w:t>
      </w:r>
    </w:p>
    <w:p>
      <w:pPr>
        <w:spacing w:line="240" w:lineRule="auto"/>
        <w:jc w:val="both"/>
        <w:rPr>
          <w:rFonts w:ascii="Arial" w:hAnsi="Arial" w:eastAsia="PMingLiU" w:cs="Arial"/>
          <w:sz w:val="24"/>
          <w:szCs w:val="24"/>
          <w:lang w:val="sr-Latn-ME"/>
        </w:rPr>
      </w:pPr>
      <w:r>
        <w:rPr>
          <w:rFonts w:ascii="Arial" w:hAnsi="Arial" w:eastAsia="PMingLiU" w:cs="Arial"/>
          <w:sz w:val="24"/>
          <w:szCs w:val="24"/>
          <w:lang w:val="sr-Latn-ME"/>
        </w:rPr>
        <w:t>Ugovorne strane se obavezuju da sa pažnjom dobrog privrednika čuvaju i štite poslovne interese druge ugovorne strane, koje proizilaze iz ovog Ugovora, kao i da u obostranom interesu rade na unapređenju svojih odnosa.</w:t>
      </w:r>
    </w:p>
    <w:p>
      <w:pPr>
        <w:spacing w:line="240" w:lineRule="auto"/>
        <w:jc w:val="both"/>
        <w:rPr>
          <w:rFonts w:ascii="Arial" w:hAnsi="Arial" w:eastAsia="PMingLiU" w:cs="Arial"/>
          <w:sz w:val="24"/>
          <w:szCs w:val="24"/>
          <w:lang w:val="sr-Latn-ME"/>
        </w:rPr>
      </w:pPr>
      <w:r>
        <w:rPr>
          <w:rFonts w:ascii="Arial" w:hAnsi="Arial" w:eastAsia="PMingLiU" w:cs="Arial"/>
          <w:sz w:val="24"/>
          <w:szCs w:val="24"/>
          <w:lang w:val="sr-Latn-ME"/>
        </w:rPr>
        <w:t>Izvršilac se obavezuje na čuvanje svih podataka iz predmeta nabavke, te da iste ni na koji način neće učiniti dostupnim trećim licima bez saglasnosti Naručioca.</w:t>
      </w:r>
    </w:p>
    <w:p>
      <w:pPr>
        <w:spacing w:after="0" w:line="240" w:lineRule="auto"/>
        <w:jc w:val="both"/>
        <w:rPr>
          <w:rFonts w:ascii="Arial" w:hAnsi="Arial" w:eastAsia="PMingLiU" w:cs="Arial"/>
          <w:sz w:val="24"/>
          <w:szCs w:val="24"/>
          <w:lang w:val="sr-Latn-ME"/>
        </w:rPr>
      </w:pPr>
    </w:p>
    <w:p>
      <w:pPr>
        <w:spacing w:line="240" w:lineRule="auto"/>
        <w:jc w:val="both"/>
        <w:rPr>
          <w:rFonts w:ascii="Arial" w:hAnsi="Arial" w:eastAsia="PMingLiU" w:cs="Arial"/>
          <w:sz w:val="24"/>
          <w:szCs w:val="24"/>
          <w:u w:val="single"/>
          <w:lang w:val="sr-Latn-ME"/>
        </w:rPr>
      </w:pPr>
      <w:r>
        <w:rPr>
          <w:rFonts w:ascii="Arial" w:hAnsi="Arial" w:eastAsia="PMingLiU" w:cs="Arial"/>
          <w:sz w:val="24"/>
          <w:szCs w:val="24"/>
          <w:u w:val="single"/>
          <w:lang w:val="sr-Latn-ME"/>
        </w:rPr>
        <w:t>Ostali elementi ugovora</w:t>
      </w:r>
    </w:p>
    <w:p>
      <w:pPr>
        <w:spacing w:after="0" w:line="276" w:lineRule="auto"/>
        <w:jc w:val="both"/>
        <w:rPr>
          <w:rFonts w:ascii="Arial" w:hAnsi="Arial" w:eastAsia="Calibri" w:cs="Arial"/>
          <w:color w:val="000000"/>
          <w:sz w:val="24"/>
          <w:szCs w:val="24"/>
          <w:lang w:val="sl-SI"/>
        </w:rPr>
      </w:pPr>
      <w:r>
        <w:rPr>
          <w:rFonts w:ascii="Arial" w:hAnsi="Arial" w:eastAsia="Calibri" w:cs="Arial"/>
          <w:color w:val="000000"/>
          <w:sz w:val="24"/>
          <w:szCs w:val="24"/>
          <w:lang w:val="sl-SI"/>
        </w:rPr>
        <w:t>Ugovor o javnoj nabavci koji je zaključen uz kršenje antikorupcijskih pravila u skladu sa odredbama člana 38 Zakona o javnim nabavkama („Službeni list CG“ br. 74/19, 3/23 i 11/23) ništav je.</w:t>
      </w:r>
    </w:p>
    <w:p>
      <w:pPr>
        <w:spacing w:after="0" w:line="240" w:lineRule="auto"/>
        <w:jc w:val="both"/>
        <w:rPr>
          <w:rFonts w:ascii="Arial" w:hAnsi="Arial" w:eastAsia="Calibri" w:cs="Arial"/>
          <w:bCs/>
          <w:color w:val="000000"/>
          <w:sz w:val="24"/>
          <w:szCs w:val="24"/>
          <w:lang w:val="sr-Latn-CS"/>
        </w:rPr>
      </w:pPr>
    </w:p>
    <w:p>
      <w:pPr>
        <w:jc w:val="both"/>
        <w:rPr>
          <w:rFonts w:ascii="Arial" w:hAnsi="Arial" w:eastAsia="Calibri" w:cs="Arial"/>
          <w:sz w:val="24"/>
          <w:szCs w:val="24"/>
          <w:lang w:val="sl-SI"/>
        </w:rPr>
      </w:pPr>
      <w:r>
        <w:rPr>
          <w:rFonts w:ascii="Arial" w:hAnsi="Arial" w:eastAsia="Calibri" w:cs="Arial"/>
          <w:sz w:val="24"/>
          <w:szCs w:val="24"/>
          <w:lang w:val="sl-SI"/>
        </w:rPr>
        <w:t>Za sve što nije definisano ovim ugovorom primjenjivaće se odredbe Zakona o obligacionim odnosima.</w:t>
      </w:r>
    </w:p>
    <w:p>
      <w:pPr>
        <w:jc w:val="both"/>
        <w:rPr>
          <w:rFonts w:ascii="Arial" w:hAnsi="Arial" w:eastAsia="Calibri" w:cs="Arial"/>
          <w:color w:val="000000"/>
          <w:sz w:val="24"/>
          <w:szCs w:val="24"/>
          <w:lang w:val="sl-SI"/>
        </w:rPr>
      </w:pPr>
      <w:r>
        <w:rPr>
          <w:rFonts w:ascii="Arial" w:hAnsi="Arial" w:eastAsia="Calibri" w:cs="Arial"/>
          <w:color w:val="000000"/>
          <w:sz w:val="24"/>
          <w:szCs w:val="24"/>
          <w:lang w:val="sl-SI"/>
        </w:rPr>
        <w:t>Eventualne nesporazume koji mogu da se pojave u vezi ovog Ugovora ugovorne strane će pokušati da  riješe sporazumno. Sve sporove koji nasta</w:t>
      </w:r>
      <w:r>
        <w:rPr>
          <w:rFonts w:ascii="Arial" w:hAnsi="Arial" w:eastAsia="Calibri" w:cs="Arial"/>
          <w:color w:val="000000"/>
          <w:sz w:val="24"/>
          <w:szCs w:val="24"/>
          <w:lang w:val="sr-Latn-CS"/>
        </w:rPr>
        <w:t>nu</w:t>
      </w:r>
      <w:r>
        <w:rPr>
          <w:rFonts w:ascii="Arial" w:hAnsi="Arial" w:eastAsia="Calibri" w:cs="Arial"/>
          <w:color w:val="000000"/>
          <w:sz w:val="24"/>
          <w:szCs w:val="24"/>
          <w:lang w:val="sl-SI"/>
        </w:rPr>
        <w:t xml:space="preserve"> u vezi ovog Ugovora rješavaće nadležni sud u Podgorici.</w:t>
      </w:r>
    </w:p>
    <w:p>
      <w:pPr>
        <w:spacing w:after="0" w:line="240" w:lineRule="auto"/>
        <w:jc w:val="both"/>
        <w:rPr>
          <w:rFonts w:ascii="Arial" w:hAnsi="Arial" w:eastAsia="Times New Roman" w:cs="Arial"/>
          <w:b/>
          <w:bCs/>
          <w:color w:val="000000"/>
          <w:sz w:val="24"/>
          <w:szCs w:val="24"/>
          <w:highlight w:val="yellow"/>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color w:val="000000"/>
          <w:sz w:val="24"/>
          <w:szCs w:val="24"/>
          <w:u w:val="single"/>
          <w:lang w:val="sr-Latn-ME"/>
        </w:rPr>
        <w:t>Izmjena ugovora</w:t>
      </w:r>
      <w:r>
        <w:rPr>
          <w:rFonts w:ascii="Arial" w:hAnsi="Arial" w:eastAsia="Times New Roman" w:cs="Arial"/>
          <w:color w:val="000000"/>
          <w:sz w:val="24"/>
          <w:szCs w:val="24"/>
          <w:lang w:val="sr-Latn-ME"/>
        </w:rPr>
        <w:t>:</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Ugovor o javnoj nabavci tokom njegovog trajanja može da se izmijeni bez sprovođenja novog postupka javne nabavke u skladu sa članom 151 Zakona o javnim nabavkama, i to: </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kada je potreba za izmjenom ugovora nastala zbog okolnosti koje naručilac u vrijeme zaključivanja ugovora nije mogao da predvidi, a izmjenom se ne mijenja priroda ugovora a povećanje vrijednosti ugovora nije veće od 20% vrijednosti prvobitnog ugovora;</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kada je potreba za izmjenom ugovora nastala zbog okolnosti koje naručilac u vrijeme zaključivanja ugovora nije mogao da predvidi, a izmjenom se ne mijenja priroda ugovora već se vrši samo smanjenje ugovorene vrijednosti;</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kad se vrši zamjena podugovarača, u skladu sa članom 128 st. 10, 11 i 12 ovog zakona;</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ako privrednog subjekta nakon restruktuiranja, uključujući preuzimanje, spajanje, kupovina ili stečaj, zamjenjuje u potpunosti ili djelimično novi pravni sljedbenik, odnosno privredni subjekat, koji ispunjava prvobitno određene uslove zaključenog ugovora o javnoij nabavci, a izmjene su predviđene tenderskom dokumentaciojom, pod uslovom da se ne vrše druge bitne izmjene ugovora iz člana 15 stav 2 ovog zakona.</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sz w:val="24"/>
          <w:szCs w:val="32"/>
          <w:lang w:val="sr-Latn-ME"/>
        </w:rPr>
      </w:pPr>
      <w:bookmarkStart w:id="11" w:name="_Toc62730566"/>
      <w:r>
        <w:rPr>
          <w:rFonts w:ascii="Arial" w:hAnsi="Arial" w:eastAsia="Times New Roman" w:cs="Times New Roman"/>
          <w:b/>
          <w:sz w:val="24"/>
          <w:szCs w:val="32"/>
          <w:lang w:val="sr-Latn-ME"/>
        </w:rPr>
        <w:t>13. ZAHTJEV ZA POJAŠNJENJE ILI IZMJENU I DOPUNU TENDERSKE DOKUMENTACIJE</w:t>
      </w:r>
      <w:bookmarkEnd w:id="11"/>
    </w:p>
    <w:p>
      <w:pPr>
        <w:spacing w:after="0" w:line="240" w:lineRule="auto"/>
        <w:jc w:val="both"/>
        <w:rPr>
          <w:rFonts w:ascii="Arial" w:hAnsi="Arial" w:eastAsia="Times New Roman" w:cs="Arial"/>
          <w:sz w:val="24"/>
          <w:szCs w:val="24"/>
          <w:lang w:val="sr-Latn-ME"/>
        </w:rPr>
      </w:pPr>
    </w:p>
    <w:p>
      <w:pPr>
        <w:autoSpaceDE w:val="0"/>
        <w:autoSpaceDN w:val="0"/>
        <w:adjustRightInd w:val="0"/>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Privredni subjekat ima pravo da pisanim zahtjevom traži od naručioca pojašnjenje tenderske dokumentacije najkasnije deset dana prije isteka roka određenog za dostavljanje ponuda.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Zahtjev se podnosi isključivo putem ESJN-a.</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color w:val="000000"/>
          <w:sz w:val="24"/>
          <w:szCs w:val="32"/>
          <w:lang w:val="sr-Latn-ME"/>
        </w:rPr>
      </w:pPr>
      <w:bookmarkStart w:id="12" w:name="_Toc508349235"/>
      <w:bookmarkStart w:id="13" w:name="_Toc416180136"/>
      <w:bookmarkStart w:id="14" w:name="_Toc62730567"/>
      <w:r>
        <w:rPr>
          <w:rFonts w:ascii="Arial" w:hAnsi="Arial" w:eastAsia="Times New Roman" w:cs="Times New Roman"/>
          <w:b/>
          <w:sz w:val="24"/>
          <w:szCs w:val="32"/>
          <w:lang w:val="sr-Latn-ME"/>
        </w:rPr>
        <w:t>14. IZJAVA NARUČIOCA O NEPOSTOJANJU SUKOBA INTERESA</w:t>
      </w:r>
      <w:bookmarkEnd w:id="12"/>
      <w:bookmarkEnd w:id="13"/>
      <w:bookmarkEnd w:id="14"/>
    </w:p>
    <w:p>
      <w:pPr>
        <w:tabs>
          <w:tab w:val="left" w:pos="1701"/>
          <w:tab w:val="left" w:pos="4820"/>
        </w:tabs>
        <w:spacing w:after="0" w:line="240" w:lineRule="auto"/>
        <w:jc w:val="both"/>
        <w:rPr>
          <w:rFonts w:ascii="Arial" w:hAnsi="Arial" w:eastAsia="Times New Roman" w:cs="Arial"/>
          <w:color w:val="000000"/>
          <w:sz w:val="24"/>
          <w:szCs w:val="24"/>
          <w:u w:val="single"/>
          <w:lang w:val="sr-Latn-ME"/>
        </w:rPr>
      </w:pPr>
    </w:p>
    <w:p>
      <w:pPr>
        <w:tabs>
          <w:tab w:val="left" w:pos="851"/>
          <w:tab w:val="right" w:pos="3402"/>
        </w:tabs>
        <w:spacing w:after="0" w:line="240" w:lineRule="auto"/>
        <w:jc w:val="both"/>
        <w:rPr>
          <w:rFonts w:ascii="Arial" w:hAnsi="Arial" w:eastAsia="Calibri" w:cs="Arial"/>
          <w:color w:val="000000"/>
          <w:lang w:val="pl-PL"/>
        </w:rPr>
      </w:pPr>
      <w:bookmarkStart w:id="15" w:name="_Toc62730568"/>
      <w:r>
        <w:rPr>
          <w:rFonts w:ascii="Arial" w:hAnsi="Arial" w:eastAsia="Calibri" w:cs="Arial"/>
          <w:color w:val="000000"/>
          <w:lang w:val="pl-PL"/>
        </w:rPr>
        <w:t xml:space="preserve">Naručilac: Ministarstvo finansija </w:t>
      </w:r>
    </w:p>
    <w:p>
      <w:pPr>
        <w:tabs>
          <w:tab w:val="right" w:pos="3402"/>
        </w:tabs>
        <w:spacing w:after="0" w:line="240" w:lineRule="auto"/>
        <w:jc w:val="both"/>
        <w:rPr>
          <w:rFonts w:hint="default" w:ascii="Arial" w:hAnsi="Arial" w:eastAsia="Calibri" w:cs="Arial"/>
          <w:lang w:val="sr-Latn-RS"/>
        </w:rPr>
      </w:pPr>
      <w:r>
        <w:rPr>
          <w:rFonts w:ascii="Arial" w:hAnsi="Arial" w:eastAsia="Calibri" w:cs="Arial"/>
          <w:lang w:val="pl-PL"/>
        </w:rPr>
        <w:t xml:space="preserve">Broj: </w:t>
      </w:r>
      <w:r>
        <w:rPr>
          <w:rFonts w:hint="default" w:ascii="Arial" w:hAnsi="Arial" w:eastAsia="Calibri" w:cs="Arial"/>
          <w:lang w:val="sr-Latn-RS"/>
        </w:rPr>
        <w:t>21-426/24-1688/1</w:t>
      </w:r>
    </w:p>
    <w:p>
      <w:pPr>
        <w:tabs>
          <w:tab w:val="right" w:pos="3402"/>
        </w:tabs>
        <w:spacing w:after="0" w:line="240" w:lineRule="auto"/>
        <w:rPr>
          <w:rFonts w:ascii="Arial" w:hAnsi="Arial" w:eastAsia="Calibri" w:cs="Arial"/>
          <w:lang w:val="pl-PL"/>
        </w:rPr>
      </w:pPr>
      <w:r>
        <w:rPr>
          <w:rFonts w:ascii="Arial" w:hAnsi="Arial" w:eastAsia="Calibri" w:cs="Arial"/>
          <w:lang w:val="pl-PL"/>
        </w:rPr>
        <w:t xml:space="preserve">Podgorica, </w:t>
      </w:r>
      <w:r>
        <w:rPr>
          <w:rFonts w:hint="default" w:ascii="Arial" w:hAnsi="Arial" w:eastAsia="Calibri" w:cs="Arial"/>
          <w:lang w:val="sr-Latn-RS"/>
        </w:rPr>
        <w:t xml:space="preserve"> 08.03.2024. </w:t>
      </w:r>
      <w:r>
        <w:rPr>
          <w:rFonts w:ascii="Arial" w:hAnsi="Arial" w:eastAsia="Calibri" w:cs="Arial"/>
          <w:lang w:val="pl-PL"/>
        </w:rPr>
        <w:t>godine</w:t>
      </w:r>
    </w:p>
    <w:p>
      <w:pPr>
        <w:spacing w:after="0" w:line="240" w:lineRule="auto"/>
        <w:jc w:val="both"/>
        <w:rPr>
          <w:rFonts w:ascii="Arial" w:hAnsi="Arial" w:eastAsia="Times New Roman" w:cs="Arial"/>
          <w:b/>
          <w:bCs/>
          <w:color w:val="000000"/>
          <w:lang w:val="sr-Latn-ME"/>
        </w:rPr>
      </w:pPr>
    </w:p>
    <w:p>
      <w:pPr>
        <w:tabs>
          <w:tab w:val="left" w:pos="3290"/>
        </w:tabs>
        <w:spacing w:after="0" w:line="240" w:lineRule="auto"/>
        <w:ind w:firstLine="708"/>
        <w:jc w:val="both"/>
        <w:rPr>
          <w:rFonts w:ascii="Arial" w:hAnsi="Arial" w:eastAsia="Times New Roman" w:cs="Arial"/>
          <w:color w:val="000000"/>
          <w:lang w:val="sr-Latn-ME"/>
        </w:rPr>
      </w:pPr>
      <w:r>
        <w:rPr>
          <w:rFonts w:ascii="Arial" w:hAnsi="Arial" w:eastAsia="Times New Roman" w:cs="Arial"/>
          <w:color w:val="000000"/>
          <w:lang w:val="sr-Latn-ME"/>
        </w:rPr>
        <w:t xml:space="preserve">U skladu sa članom 43 stav 1 Zakona o javnim nabavkama („Službeni list CG”, br.74/19, 3/23 i 11/23), </w:t>
      </w:r>
    </w:p>
    <w:p>
      <w:pPr>
        <w:tabs>
          <w:tab w:val="left" w:pos="3290"/>
        </w:tabs>
        <w:spacing w:after="0" w:line="240" w:lineRule="auto"/>
        <w:jc w:val="both"/>
        <w:rPr>
          <w:rFonts w:ascii="Arial" w:hAnsi="Arial" w:eastAsia="Times New Roman" w:cs="Arial"/>
          <w:color w:val="000000"/>
          <w:lang w:val="sr-Latn-ME"/>
        </w:rPr>
      </w:pPr>
    </w:p>
    <w:p>
      <w:pPr>
        <w:tabs>
          <w:tab w:val="left" w:pos="3290"/>
        </w:tabs>
        <w:spacing w:after="0" w:line="240" w:lineRule="auto"/>
        <w:jc w:val="both"/>
        <w:rPr>
          <w:rFonts w:ascii="Arial" w:hAnsi="Arial" w:eastAsia="Times New Roman" w:cs="Arial"/>
          <w:color w:val="000000"/>
          <w:lang w:val="sr-Latn-ME"/>
        </w:rPr>
      </w:pPr>
    </w:p>
    <w:p>
      <w:pPr>
        <w:tabs>
          <w:tab w:val="left" w:pos="3290"/>
        </w:tabs>
        <w:spacing w:after="0" w:line="240" w:lineRule="auto"/>
        <w:jc w:val="center"/>
        <w:rPr>
          <w:rFonts w:ascii="Arial" w:hAnsi="Arial" w:eastAsia="Times New Roman" w:cs="Arial"/>
          <w:b/>
          <w:bCs/>
          <w:color w:val="000000"/>
          <w:lang w:val="sr-Latn-ME"/>
        </w:rPr>
      </w:pPr>
      <w:r>
        <w:rPr>
          <w:rFonts w:ascii="Arial" w:hAnsi="Arial" w:eastAsia="Times New Roman" w:cs="Arial"/>
          <w:b/>
          <w:bCs/>
          <w:color w:val="000000"/>
          <w:lang w:val="sr-Latn-ME"/>
        </w:rPr>
        <w:t>Izjavljujem</w:t>
      </w:r>
    </w:p>
    <w:p>
      <w:pPr>
        <w:tabs>
          <w:tab w:val="left" w:pos="3290"/>
        </w:tabs>
        <w:spacing w:after="0" w:line="240" w:lineRule="auto"/>
        <w:jc w:val="both"/>
        <w:rPr>
          <w:rFonts w:ascii="Arial" w:hAnsi="Arial" w:eastAsia="Times New Roman" w:cs="Arial"/>
          <w:color w:val="000000"/>
          <w:lang w:val="sr-Latn-ME"/>
        </w:rPr>
      </w:pPr>
    </w:p>
    <w:p>
      <w:pPr>
        <w:tabs>
          <w:tab w:val="left" w:pos="3290"/>
        </w:tabs>
        <w:spacing w:after="0" w:line="240" w:lineRule="auto"/>
        <w:jc w:val="both"/>
        <w:rPr>
          <w:rFonts w:ascii="Arial" w:hAnsi="Arial" w:eastAsia="Calibri" w:cs="Arial"/>
          <w:lang w:val="sr-Latn-CS"/>
        </w:rPr>
      </w:pPr>
      <w:r>
        <w:rPr>
          <w:rFonts w:ascii="Arial" w:hAnsi="Arial" w:eastAsia="Times New Roman" w:cs="Arial"/>
          <w:color w:val="000000"/>
          <w:lang w:val="sr-Latn-ME"/>
        </w:rPr>
        <w:t xml:space="preserve">da u postupku javne nabavke redni broj 3 iz Plana javnih nabavki broj: </w:t>
      </w:r>
      <w:r>
        <w:rPr>
          <w:rFonts w:hint="default" w:ascii="Arial" w:hAnsi="Arial" w:eastAsia="Calibri" w:cs="Arial"/>
          <w:highlight w:val="none"/>
          <w:lang w:val="sr-Latn-RS"/>
        </w:rPr>
        <w:t>21-426/24-595/1</w:t>
      </w:r>
      <w:r>
        <w:rPr>
          <w:rFonts w:ascii="Arial" w:hAnsi="Arial" w:eastAsia="Calibri" w:cs="Arial"/>
          <w:color w:val="000000"/>
          <w:highlight w:val="none"/>
          <w:lang w:val="sr-Latn-ME"/>
        </w:rPr>
        <w:t xml:space="preserve"> od </w:t>
      </w:r>
      <w:r>
        <w:rPr>
          <w:rFonts w:hint="default" w:ascii="Arial" w:hAnsi="Arial" w:eastAsia="Calibri" w:cs="Arial"/>
          <w:highlight w:val="none"/>
          <w:lang w:val="sr-Latn-RS"/>
        </w:rPr>
        <w:t>30.01.2024</w:t>
      </w:r>
      <w:r>
        <w:rPr>
          <w:rFonts w:ascii="Arial" w:hAnsi="Arial" w:eastAsia="Calibri" w:cs="Arial"/>
          <w:color w:val="000000"/>
          <w:highlight w:val="none"/>
          <w:lang w:val="sr-Latn-ME"/>
        </w:rPr>
        <w:t>.</w:t>
      </w:r>
      <w:r>
        <w:rPr>
          <w:rFonts w:hint="default" w:ascii="Arial" w:hAnsi="Arial" w:eastAsia="Calibri" w:cs="Arial"/>
          <w:color w:val="000000"/>
          <w:highlight w:val="none"/>
          <w:lang w:val="sr-Latn-RS"/>
        </w:rPr>
        <w:t xml:space="preserve"> </w:t>
      </w:r>
      <w:r>
        <w:rPr>
          <w:rFonts w:ascii="Arial" w:hAnsi="Arial" w:eastAsia="Calibri" w:cs="Arial"/>
          <w:color w:val="000000"/>
          <w:highlight w:val="none"/>
          <w:lang w:val="sr-Latn-ME"/>
        </w:rPr>
        <w:t>godine</w:t>
      </w:r>
      <w:r>
        <w:rPr>
          <w:rFonts w:ascii="Arial" w:hAnsi="Arial" w:eastAsia="Calibri" w:cs="Arial"/>
          <w:lang w:val="sr-Latn-CS"/>
        </w:rPr>
        <w:t xml:space="preserve">, šifra plana </w:t>
      </w:r>
      <w:r>
        <w:rPr>
          <w:rFonts w:hint="default" w:ascii="Arial" w:hAnsi="Arial" w:eastAsia="Calibri" w:cs="Arial"/>
          <w:lang w:val="sr-Latn-RS"/>
        </w:rPr>
        <w:t>18936</w:t>
      </w:r>
      <w:r>
        <w:rPr>
          <w:rFonts w:ascii="Arial" w:hAnsi="Arial" w:eastAsia="Calibri" w:cs="Arial"/>
          <w:lang w:val="sr-Latn-CS"/>
        </w:rPr>
        <w:t>,</w:t>
      </w:r>
      <w:r>
        <w:rPr>
          <w:rFonts w:ascii="Arial" w:hAnsi="Arial" w:eastAsia="Times New Roman" w:cs="Arial"/>
          <w:color w:val="000000"/>
          <w:lang w:val="sr-Latn-ME"/>
        </w:rPr>
        <w:t xml:space="preserve"> za </w:t>
      </w:r>
      <w:r>
        <w:rPr>
          <w:rFonts w:ascii="Arial" w:hAnsi="Arial" w:eastAsia="Calibri" w:cs="Arial"/>
          <w:lang w:val="sr-Latn-CS"/>
        </w:rPr>
        <w:t xml:space="preserve">nabavku usluga </w:t>
      </w:r>
      <w:r>
        <w:rPr>
          <w:rFonts w:ascii="Arial" w:hAnsi="Arial" w:eastAsia="Calibri" w:cs="Arial"/>
          <w:lang w:val="sr-Latn-ME"/>
        </w:rPr>
        <w:t>održavanja integrisanog informacionog sistema državnog trezora - SAP</w:t>
      </w:r>
      <w:r>
        <w:rPr>
          <w:rFonts w:ascii="Arial" w:hAnsi="Arial" w:eastAsia="Times New Roman" w:cs="Arial"/>
          <w:color w:val="000000"/>
          <w:lang w:val="sr-Latn-ME"/>
        </w:rPr>
        <w:t>, nijesam u sukobu interesa u smislu člana 41 stav 1 tačka 1 Zakona o javnim nabavkama i da ne postoji ekonomski i drugi lični interes koji može uticati na moju nepristrasnost i nezavisnost u ovom postupku javne nabavke.</w:t>
      </w:r>
    </w:p>
    <w:p>
      <w:pPr>
        <w:tabs>
          <w:tab w:val="left" w:pos="3290"/>
        </w:tabs>
        <w:spacing w:after="0" w:line="240" w:lineRule="auto"/>
        <w:jc w:val="both"/>
        <w:rPr>
          <w:rFonts w:ascii="Arial" w:hAnsi="Arial" w:eastAsia="Times New Roman" w:cs="Arial"/>
          <w:color w:val="000000"/>
          <w:lang w:val="sr-Latn-ME"/>
        </w:rPr>
      </w:pPr>
    </w:p>
    <w:p>
      <w:pPr>
        <w:tabs>
          <w:tab w:val="left" w:pos="3290"/>
        </w:tabs>
        <w:spacing w:after="0" w:line="240" w:lineRule="auto"/>
        <w:jc w:val="both"/>
        <w:rPr>
          <w:rFonts w:ascii="Arial" w:hAnsi="Arial" w:eastAsia="Times New Roman" w:cs="Arial"/>
          <w:color w:val="000000"/>
          <w:lang w:val="sr-Latn-ME"/>
        </w:rPr>
      </w:pPr>
    </w:p>
    <w:p>
      <w:pPr>
        <w:spacing w:after="0" w:line="240" w:lineRule="auto"/>
        <w:ind w:firstLine="1134"/>
        <w:rPr>
          <w:rFonts w:ascii="Arial" w:hAnsi="Arial" w:eastAsia="Calibri" w:cs="Arial"/>
          <w:color w:val="000000"/>
          <w:lang w:val="sr-Latn-CS"/>
        </w:rPr>
      </w:pPr>
      <w:r>
        <w:rPr>
          <w:rFonts w:ascii="Arial" w:hAnsi="Arial" w:eastAsia="Calibri" w:cs="Arial"/>
          <w:color w:val="000000"/>
          <w:lang w:val="sr-Latn-CS"/>
        </w:rPr>
        <w:t xml:space="preserve">                         Ovlašćeno lice naručioca:                                   </w:t>
      </w:r>
    </w:p>
    <w:p>
      <w:pPr>
        <w:spacing w:after="0" w:line="240" w:lineRule="auto"/>
        <w:ind w:firstLine="1134"/>
        <w:jc w:val="center"/>
        <w:rPr>
          <w:rFonts w:ascii="Arial" w:hAnsi="Arial" w:eastAsia="Calibri" w:cs="Arial"/>
          <w:color w:val="000000"/>
          <w:lang w:val="sr-Latn-CS"/>
        </w:rPr>
      </w:pPr>
      <w:r>
        <w:rPr>
          <w:rFonts w:ascii="Arial" w:hAnsi="Arial" w:eastAsia="Calibri" w:cs="Arial"/>
          <w:color w:val="000000"/>
          <w:lang w:val="sr-Latn-CS"/>
        </w:rPr>
        <w:t xml:space="preserve">                                                                             </w:t>
      </w:r>
      <w:r>
        <w:rPr>
          <w:rFonts w:hint="default" w:ascii="Arial" w:hAnsi="Arial" w:eastAsia="Calibri" w:cs="Arial"/>
          <w:color w:val="000000"/>
          <w:lang w:val="sr-Latn-RS"/>
        </w:rPr>
        <w:t>Maja Mitrovi</w:t>
      </w:r>
      <w:r>
        <w:rPr>
          <w:rFonts w:hint="default" w:ascii="Arial" w:hAnsi="Arial" w:eastAsia="Calibri" w:cs="Arial"/>
          <w:color w:val="000000"/>
          <w:lang w:val="sr-Latn-ME"/>
        </w:rPr>
        <w:t>ć</w:t>
      </w:r>
      <w:r>
        <w:rPr>
          <w:rFonts w:ascii="Arial" w:hAnsi="Arial" w:eastAsia="Calibri" w:cs="Arial"/>
          <w:color w:val="000000"/>
          <w:lang w:val="sr-Latn-CS"/>
        </w:rPr>
        <w:t xml:space="preserve">, </w:t>
      </w:r>
      <w:r>
        <w:rPr>
          <w:rFonts w:hint="default" w:ascii="Arial" w:hAnsi="Arial" w:eastAsia="Calibri" w:cs="Arial"/>
          <w:color w:val="000000"/>
          <w:lang w:val="sr-Latn-ME"/>
        </w:rPr>
        <w:t xml:space="preserve">v.d </w:t>
      </w:r>
      <w:r>
        <w:rPr>
          <w:rFonts w:ascii="Arial" w:hAnsi="Arial" w:eastAsia="Calibri" w:cs="Arial"/>
          <w:color w:val="000000"/>
          <w:lang w:val="sr-Latn-CS"/>
        </w:rPr>
        <w:t>sekretarka</w:t>
      </w:r>
    </w:p>
    <w:p>
      <w:pPr>
        <w:spacing w:after="0" w:line="240" w:lineRule="auto"/>
        <w:ind w:left="5664" w:firstLine="708"/>
        <w:rPr>
          <w:rFonts w:ascii="Arial" w:hAnsi="Arial" w:eastAsia="Calibri" w:cs="Arial"/>
          <w:i/>
          <w:iCs/>
          <w:color w:val="000000"/>
        </w:rPr>
      </w:pPr>
      <w:r>
        <w:rPr>
          <w:rFonts w:ascii="Arial" w:hAnsi="Arial" w:eastAsia="Calibri" w:cs="Arial"/>
          <w:i/>
          <w:iCs/>
          <w:color w:val="000000"/>
          <w:lang w:val="sr-Latn-CS"/>
        </w:rPr>
        <w:t xml:space="preserve">                   s.r.</w:t>
      </w:r>
    </w:p>
    <w:p>
      <w:pPr>
        <w:spacing w:after="0" w:line="240" w:lineRule="auto"/>
        <w:jc w:val="right"/>
        <w:rPr>
          <w:rFonts w:ascii="Arial" w:hAnsi="Arial" w:eastAsia="Calibri" w:cs="Arial"/>
          <w:color w:val="000000"/>
        </w:rPr>
      </w:pPr>
    </w:p>
    <w:p>
      <w:pPr>
        <w:spacing w:after="0" w:line="240" w:lineRule="auto"/>
        <w:rPr>
          <w:rFonts w:ascii="Arial" w:hAnsi="Arial" w:eastAsia="Calibri" w:cs="Arial"/>
          <w:i/>
          <w:iCs/>
          <w:color w:val="000000"/>
          <w:lang w:val="sr-Latn-CS"/>
        </w:rPr>
      </w:pPr>
    </w:p>
    <w:p>
      <w:pPr>
        <w:spacing w:after="0" w:line="240" w:lineRule="auto"/>
        <w:rPr>
          <w:rFonts w:ascii="Arial" w:hAnsi="Arial" w:eastAsia="Calibri" w:cs="Arial"/>
          <w:iCs/>
          <w:color w:val="000000"/>
          <w:lang w:val="sr-Latn-CS"/>
        </w:rPr>
      </w:pPr>
      <w:r>
        <w:rPr>
          <w:rFonts w:ascii="Arial" w:hAnsi="Arial" w:eastAsia="Calibri" w:cs="Arial"/>
          <w:iCs/>
          <w:color w:val="000000"/>
          <w:lang w:val="sr-Latn-CS"/>
        </w:rPr>
        <w:t>Načelnica Službe za materijalno-finansijske, računovodstvene poslove i javne nabavke:</w:t>
      </w:r>
    </w:p>
    <w:p>
      <w:pPr>
        <w:spacing w:after="0" w:line="240" w:lineRule="auto"/>
        <w:jc w:val="center"/>
        <w:rPr>
          <w:rFonts w:hint="default" w:ascii="Arial" w:hAnsi="Arial" w:eastAsia="Calibri" w:cs="Arial"/>
          <w:iCs/>
          <w:color w:val="000000"/>
          <w:lang w:val="sr-Latn-ME"/>
        </w:rPr>
      </w:pPr>
      <w:r>
        <w:rPr>
          <w:rFonts w:ascii="Arial" w:hAnsi="Arial" w:eastAsia="Calibri" w:cs="Arial"/>
          <w:iCs/>
          <w:color w:val="000000"/>
          <w:lang w:val="sr-Latn-CS"/>
        </w:rPr>
        <w:t xml:space="preserve">                                                                                                            </w:t>
      </w:r>
      <w:r>
        <w:rPr>
          <w:rFonts w:hint="default" w:ascii="Arial" w:hAnsi="Arial" w:eastAsia="Calibri" w:cs="Arial"/>
          <w:iCs/>
          <w:color w:val="000000"/>
          <w:lang w:val="sr-Latn-ME"/>
        </w:rPr>
        <w:t>Ivana Šofranac</w:t>
      </w:r>
    </w:p>
    <w:p>
      <w:pPr>
        <w:tabs>
          <w:tab w:val="left" w:pos="8160"/>
        </w:tabs>
        <w:spacing w:after="0" w:line="240" w:lineRule="auto"/>
        <w:jc w:val="center"/>
        <w:rPr>
          <w:rFonts w:ascii="Arial" w:hAnsi="Arial" w:eastAsia="Calibri" w:cs="Arial"/>
          <w:i/>
          <w:color w:val="000000"/>
        </w:rPr>
      </w:pPr>
      <w:r>
        <w:rPr>
          <w:rFonts w:ascii="Arial" w:hAnsi="Arial" w:eastAsia="Calibri" w:cs="Arial"/>
          <w:color w:val="000000"/>
        </w:rPr>
        <w:t xml:space="preserve">                                                                                                         </w:t>
      </w:r>
      <w:r>
        <w:rPr>
          <w:rFonts w:ascii="Arial" w:hAnsi="Arial" w:eastAsia="Calibri" w:cs="Arial"/>
          <w:i/>
          <w:color w:val="000000"/>
        </w:rPr>
        <w:t>s.r.</w:t>
      </w:r>
    </w:p>
    <w:p>
      <w:pPr>
        <w:tabs>
          <w:tab w:val="left" w:pos="8160"/>
        </w:tabs>
        <w:spacing w:after="0" w:line="240" w:lineRule="auto"/>
        <w:jc w:val="center"/>
        <w:rPr>
          <w:rFonts w:ascii="Arial" w:hAnsi="Arial" w:eastAsia="Calibri" w:cs="Arial"/>
          <w:i/>
          <w:color w:val="000000"/>
        </w:rPr>
      </w:pPr>
    </w:p>
    <w:p>
      <w:pPr>
        <w:tabs>
          <w:tab w:val="left" w:pos="8160"/>
        </w:tabs>
        <w:spacing w:after="0" w:line="240" w:lineRule="auto"/>
        <w:jc w:val="center"/>
        <w:rPr>
          <w:rFonts w:ascii="Arial" w:hAnsi="Arial" w:eastAsia="Calibri" w:cs="Arial"/>
          <w:i/>
          <w:color w:val="000000"/>
        </w:rPr>
      </w:pPr>
    </w:p>
    <w:p>
      <w:pPr>
        <w:tabs>
          <w:tab w:val="left" w:pos="6405"/>
        </w:tabs>
        <w:spacing w:after="0" w:line="240" w:lineRule="auto"/>
        <w:rPr>
          <w:rFonts w:ascii="Arial" w:hAnsi="Arial" w:eastAsia="Calibri" w:cs="Arial"/>
          <w:color w:val="000000"/>
        </w:rPr>
      </w:pPr>
      <w:r>
        <w:rPr>
          <w:rFonts w:ascii="Arial" w:hAnsi="Arial" w:eastAsia="Calibri" w:cs="Arial"/>
          <w:color w:val="000000"/>
        </w:rPr>
        <w:t>Lica koja su učestvovala u planiranju javne nabavke:</w:t>
      </w:r>
    </w:p>
    <w:p>
      <w:pPr>
        <w:tabs>
          <w:tab w:val="left" w:pos="6405"/>
        </w:tabs>
        <w:spacing w:after="0" w:line="240" w:lineRule="auto"/>
        <w:rPr>
          <w:rFonts w:ascii="Arial" w:hAnsi="Arial" w:eastAsia="Calibri" w:cs="Arial"/>
          <w:color w:val="000000"/>
        </w:rPr>
      </w:pPr>
    </w:p>
    <w:p>
      <w:pPr>
        <w:tabs>
          <w:tab w:val="left" w:pos="6405"/>
        </w:tabs>
        <w:spacing w:after="0" w:line="240" w:lineRule="auto"/>
        <w:rPr>
          <w:rFonts w:ascii="Arial" w:hAnsi="Arial" w:eastAsia="Calibri" w:cs="Arial"/>
          <w:color w:val="000000"/>
          <w:lang w:val="it-IT"/>
        </w:rPr>
      </w:pPr>
      <w:r>
        <w:rPr>
          <w:rFonts w:ascii="Arial" w:hAnsi="Arial" w:eastAsia="Calibri" w:cs="Arial"/>
          <w:color w:val="000000"/>
        </w:rPr>
        <w:t xml:space="preserve">                                                                     </w:t>
      </w:r>
      <w:r>
        <w:rPr>
          <w:rFonts w:hint="default" w:ascii="Arial" w:hAnsi="Arial" w:eastAsia="Calibri" w:cs="Arial"/>
          <w:color w:val="000000"/>
          <w:lang w:val="sr-Latn-ME"/>
        </w:rPr>
        <w:t xml:space="preserve">V.D </w:t>
      </w:r>
      <w:r>
        <w:rPr>
          <w:rFonts w:ascii="Arial" w:hAnsi="Arial" w:eastAsia="Calibri" w:cs="Arial"/>
          <w:color w:val="000000"/>
        </w:rPr>
        <w:t>G</w:t>
      </w:r>
      <w:r>
        <w:rPr>
          <w:rFonts w:ascii="Arial" w:hAnsi="Arial" w:eastAsia="Calibri" w:cs="Arial"/>
          <w:color w:val="000000"/>
          <w:lang w:val="it-IT"/>
        </w:rPr>
        <w:t>eneralni direktor Direktorata državnog trezora</w:t>
      </w:r>
    </w:p>
    <w:p>
      <w:pPr>
        <w:tabs>
          <w:tab w:val="left" w:pos="6405"/>
          <w:tab w:val="left" w:pos="8235"/>
          <w:tab w:val="right" w:pos="9360"/>
        </w:tabs>
        <w:spacing w:after="0" w:line="240" w:lineRule="auto"/>
        <w:rPr>
          <w:rFonts w:hint="default" w:ascii="Arial" w:hAnsi="Arial" w:eastAsia="Calibri" w:cs="Arial"/>
          <w:color w:val="000000"/>
          <w:lang w:val="sr-Latn-ME"/>
        </w:rPr>
      </w:pPr>
      <w:r>
        <w:rPr>
          <w:rFonts w:ascii="Arial" w:hAnsi="Arial" w:eastAsia="Calibri" w:cs="Arial"/>
          <w:color w:val="000000"/>
          <w:lang w:val="it-IT"/>
        </w:rPr>
        <w:t xml:space="preserve">                                                                                                                         </w:t>
      </w:r>
      <w:r>
        <w:rPr>
          <w:rFonts w:hint="default" w:ascii="Arial" w:hAnsi="Arial" w:eastAsia="Calibri" w:cs="Arial"/>
          <w:color w:val="000000"/>
          <w:lang w:val="sr-Latn-ME"/>
        </w:rPr>
        <w:t>Dragan Darmanović</w:t>
      </w:r>
    </w:p>
    <w:p>
      <w:pPr>
        <w:tabs>
          <w:tab w:val="left" w:pos="6405"/>
          <w:tab w:val="left" w:pos="6480"/>
          <w:tab w:val="left" w:pos="7200"/>
        </w:tabs>
        <w:spacing w:after="0" w:line="240" w:lineRule="auto"/>
        <w:rPr>
          <w:rFonts w:ascii="Arial" w:hAnsi="Arial" w:eastAsia="Calibri" w:cs="Arial"/>
          <w:i/>
          <w:color w:val="000000"/>
          <w:lang w:val="it-IT"/>
        </w:rPr>
      </w:pPr>
      <w:r>
        <w:rPr>
          <w:rFonts w:ascii="Arial" w:hAnsi="Arial" w:eastAsia="Calibri" w:cs="Arial"/>
          <w:color w:val="000000"/>
          <w:lang w:val="it-IT"/>
        </w:rPr>
        <w:t xml:space="preserve">                  </w:t>
      </w:r>
      <w:r>
        <w:rPr>
          <w:rFonts w:ascii="Arial" w:hAnsi="Arial" w:eastAsia="Calibri" w:cs="Arial"/>
          <w:color w:val="000000"/>
          <w:lang w:val="it-IT"/>
        </w:rPr>
        <w:tab/>
      </w:r>
      <w:r>
        <w:rPr>
          <w:rFonts w:ascii="Arial" w:hAnsi="Arial" w:eastAsia="Calibri" w:cs="Arial"/>
          <w:color w:val="000000"/>
          <w:lang w:val="it-IT"/>
        </w:rPr>
        <w:t xml:space="preserve">       </w:t>
      </w:r>
      <w:r>
        <w:rPr>
          <w:rFonts w:ascii="Arial" w:hAnsi="Arial" w:eastAsia="Calibri" w:cs="Arial"/>
          <w:color w:val="000000"/>
          <w:lang w:val="it-IT"/>
        </w:rPr>
        <w:tab/>
      </w:r>
      <w:r>
        <w:rPr>
          <w:rFonts w:ascii="Arial" w:hAnsi="Arial" w:eastAsia="Calibri" w:cs="Arial"/>
          <w:color w:val="000000"/>
          <w:lang w:val="it-IT"/>
        </w:rPr>
        <w:tab/>
      </w:r>
      <w:r>
        <w:rPr>
          <w:rFonts w:ascii="Arial" w:hAnsi="Arial" w:eastAsia="Calibri" w:cs="Arial"/>
          <w:color w:val="000000"/>
          <w:lang w:val="it-IT"/>
        </w:rPr>
        <w:t xml:space="preserve">  </w:t>
      </w:r>
      <w:r>
        <w:rPr>
          <w:rFonts w:ascii="Arial" w:hAnsi="Arial" w:eastAsia="Calibri" w:cs="Arial"/>
          <w:i/>
          <w:color w:val="000000"/>
          <w:lang w:val="it-IT"/>
        </w:rPr>
        <w:t>s.r.</w:t>
      </w:r>
    </w:p>
    <w:p>
      <w:pPr>
        <w:tabs>
          <w:tab w:val="left" w:pos="6405"/>
          <w:tab w:val="left" w:pos="6480"/>
          <w:tab w:val="left" w:pos="7200"/>
        </w:tabs>
        <w:spacing w:after="0" w:line="240" w:lineRule="auto"/>
        <w:rPr>
          <w:rFonts w:ascii="Arial" w:hAnsi="Arial" w:eastAsia="Calibri" w:cs="Arial"/>
          <w:i/>
          <w:color w:val="000000"/>
          <w:lang w:val="it-IT"/>
        </w:rPr>
      </w:pPr>
    </w:p>
    <w:p>
      <w:pPr>
        <w:tabs>
          <w:tab w:val="left" w:pos="6405"/>
        </w:tabs>
        <w:spacing w:after="0" w:line="240" w:lineRule="auto"/>
        <w:rPr>
          <w:rFonts w:ascii="Arial" w:hAnsi="Arial" w:eastAsia="Calibri" w:cs="Arial"/>
          <w:i/>
          <w:iCs/>
          <w:color w:val="000000"/>
          <w:lang w:val="sr-Latn-CS"/>
        </w:rPr>
      </w:pPr>
      <w:r>
        <w:rPr>
          <w:rFonts w:ascii="Arial" w:hAnsi="Arial" w:eastAsia="Calibri" w:cs="Arial"/>
          <w:color w:val="000000"/>
          <w:lang w:val="it-IT"/>
        </w:rPr>
        <w:t xml:space="preserve">                                                                                                 </w:t>
      </w:r>
    </w:p>
    <w:p>
      <w:pPr>
        <w:tabs>
          <w:tab w:val="left" w:pos="3290"/>
        </w:tabs>
        <w:spacing w:after="0" w:line="240" w:lineRule="auto"/>
        <w:rPr>
          <w:rFonts w:ascii="Arial" w:hAnsi="Arial" w:eastAsia="Times New Roman" w:cs="Arial"/>
          <w:iCs/>
          <w:color w:val="000000"/>
          <w:sz w:val="24"/>
          <w:szCs w:val="24"/>
        </w:rPr>
      </w:pPr>
      <w:r>
        <w:rPr>
          <w:rFonts w:ascii="Arial" w:hAnsi="Arial" w:eastAsia="Times New Roman" w:cs="Arial"/>
          <w:iCs/>
          <w:color w:val="000000"/>
          <w:sz w:val="24"/>
          <w:szCs w:val="24"/>
        </w:rPr>
        <w:t xml:space="preserve">                </w:t>
      </w:r>
    </w:p>
    <w:p>
      <w:pPr>
        <w:tabs>
          <w:tab w:val="left" w:pos="3290"/>
        </w:tabs>
        <w:spacing w:after="0" w:line="240" w:lineRule="auto"/>
        <w:rPr>
          <w:rFonts w:ascii="Arial" w:hAnsi="Arial" w:eastAsia="Times New Roman" w:cs="Arial"/>
          <w:iCs/>
          <w:color w:val="000000"/>
        </w:rPr>
      </w:pPr>
      <w:r>
        <w:rPr>
          <w:rFonts w:ascii="Arial" w:hAnsi="Arial" w:eastAsia="Times New Roman" w:cs="Arial"/>
          <w:iCs/>
          <w:color w:val="000000"/>
        </w:rPr>
        <w:t xml:space="preserve">Član komisije </w:t>
      </w:r>
      <w:r>
        <w:rPr>
          <w:rFonts w:ascii="Arial" w:hAnsi="Arial" w:eastAsia="Times New Roman" w:cs="Arial"/>
        </w:rPr>
        <w:t>za sprovođenje postupka javne nabavk</w:t>
      </w:r>
      <w:r>
        <w:rPr>
          <w:rFonts w:ascii="Arial" w:hAnsi="Arial" w:eastAsia="Times New Roman" w:cs="Arial"/>
          <w:iCs/>
          <w:color w:val="000000"/>
        </w:rPr>
        <w:t xml:space="preserve">e: Zorica Tadić, predsjednik </w:t>
      </w:r>
    </w:p>
    <w:p>
      <w:pPr>
        <w:tabs>
          <w:tab w:val="left" w:pos="3290"/>
        </w:tabs>
        <w:spacing w:after="0" w:line="240" w:lineRule="auto"/>
        <w:rPr>
          <w:rFonts w:hint="default" w:ascii="Arial" w:hAnsi="Arial" w:eastAsia="Times New Roman" w:cs="Arial"/>
          <w:iCs/>
          <w:color w:val="000000"/>
          <w:lang w:val="sr-Latn-RS"/>
        </w:rPr>
      </w:pPr>
      <w:r>
        <w:rPr>
          <w:rFonts w:hint="default" w:ascii="Arial" w:hAnsi="Arial" w:eastAsia="Times New Roman" w:cs="Arial"/>
          <w:iCs/>
          <w:color w:val="000000"/>
          <w:lang w:val="sr-Latn-RS"/>
        </w:rPr>
        <w:t xml:space="preserve">                                                                                                      </w:t>
      </w:r>
      <w:r>
        <w:rPr>
          <w:rFonts w:hint="default" w:ascii="Arial" w:hAnsi="Arial" w:eastAsia="Times New Roman"/>
          <w:i/>
          <w:iCs w:val="0"/>
          <w:color w:val="000000"/>
          <w:lang w:val="sr-Latn-RS"/>
        </w:rPr>
        <w:t xml:space="preserve">  s.r.</w:t>
      </w:r>
    </w:p>
    <w:p>
      <w:pPr>
        <w:tabs>
          <w:tab w:val="left" w:pos="3290"/>
        </w:tabs>
        <w:spacing w:after="0" w:line="240" w:lineRule="auto"/>
        <w:rPr>
          <w:rFonts w:ascii="Arial" w:hAnsi="Arial" w:eastAsia="Times New Roman" w:cs="Arial"/>
          <w:i/>
          <w:iCs/>
          <w:color w:val="000000"/>
          <w:sz w:val="20"/>
          <w:szCs w:val="20"/>
        </w:rPr>
      </w:pPr>
      <w:r>
        <w:rPr>
          <w:rFonts w:ascii="Arial" w:hAnsi="Arial" w:eastAsia="Times New Roman" w:cs="Arial"/>
          <w:iCs/>
          <w:color w:val="000000"/>
        </w:rPr>
        <w:t xml:space="preserve">        </w:t>
      </w:r>
    </w:p>
    <w:p>
      <w:pPr>
        <w:tabs>
          <w:tab w:val="left" w:pos="3290"/>
        </w:tabs>
        <w:spacing w:after="0" w:line="480" w:lineRule="auto"/>
        <w:rPr>
          <w:rFonts w:ascii="Arial" w:hAnsi="Arial" w:eastAsia="Times New Roman" w:cs="Arial"/>
          <w:iCs/>
          <w:color w:val="000000"/>
        </w:rPr>
      </w:pPr>
      <w:r>
        <w:rPr>
          <w:rFonts w:ascii="Arial" w:hAnsi="Arial" w:eastAsia="Times New Roman" w:cs="Arial"/>
          <w:iCs/>
          <w:color w:val="000000"/>
        </w:rPr>
        <w:t xml:space="preserve">Član komisije </w:t>
      </w:r>
      <w:r>
        <w:rPr>
          <w:rFonts w:ascii="Arial" w:hAnsi="Arial" w:eastAsia="Times New Roman" w:cs="Arial"/>
        </w:rPr>
        <w:t>za sprovođenje postupka javne nabavk</w:t>
      </w:r>
      <w:r>
        <w:rPr>
          <w:rFonts w:ascii="Arial" w:hAnsi="Arial" w:eastAsia="Times New Roman" w:cs="Arial"/>
          <w:iCs/>
          <w:color w:val="000000"/>
        </w:rPr>
        <w:t>e: Ljeposava Pavlović,</w:t>
      </w:r>
      <w:r>
        <w:rPr>
          <w:rFonts w:hint="default" w:ascii="Arial" w:hAnsi="Arial" w:eastAsia="Times New Roman" w:cs="Arial"/>
          <w:iCs/>
          <w:color w:val="000000"/>
          <w:lang w:val="sr-Latn-ME"/>
        </w:rPr>
        <w:t xml:space="preserve"> </w:t>
      </w:r>
      <w:r>
        <w:rPr>
          <w:rFonts w:ascii="Arial" w:hAnsi="Arial" w:eastAsia="Times New Roman" w:cs="Arial"/>
          <w:iCs/>
          <w:color w:val="000000"/>
        </w:rPr>
        <w:t xml:space="preserve">član   </w:t>
      </w:r>
    </w:p>
    <w:p>
      <w:pPr>
        <w:tabs>
          <w:tab w:val="left" w:pos="3290"/>
        </w:tabs>
        <w:spacing w:after="0" w:line="480" w:lineRule="auto"/>
        <w:rPr>
          <w:rFonts w:hint="default" w:ascii="Arial" w:hAnsi="Arial" w:eastAsia="Times New Roman" w:cs="Arial"/>
          <w:iCs/>
          <w:color w:val="000000"/>
          <w:lang w:val="sr-Latn-RS"/>
        </w:rPr>
      </w:pPr>
      <w:r>
        <w:rPr>
          <w:rFonts w:ascii="Arial" w:hAnsi="Arial" w:eastAsia="Times New Roman" w:cs="Arial"/>
          <w:iCs/>
          <w:color w:val="000000"/>
        </w:rPr>
        <w:t xml:space="preserve">      </w:t>
      </w:r>
      <w:r>
        <w:rPr>
          <w:rFonts w:hint="default" w:ascii="Arial" w:hAnsi="Arial" w:eastAsia="Times New Roman" w:cs="Arial"/>
          <w:iCs/>
          <w:color w:val="000000"/>
          <w:lang w:val="sr-Latn-RS"/>
        </w:rPr>
        <w:t xml:space="preserve">                                                                                                  </w:t>
      </w:r>
      <w:r>
        <w:rPr>
          <w:rFonts w:hint="default" w:ascii="Arial" w:hAnsi="Arial" w:eastAsia="Times New Roman"/>
          <w:iCs/>
          <w:color w:val="000000"/>
          <w:lang w:val="sr-Latn-RS"/>
        </w:rPr>
        <w:t xml:space="preserve">  </w:t>
      </w:r>
      <w:r>
        <w:rPr>
          <w:rFonts w:hint="default" w:ascii="Arial" w:hAnsi="Arial" w:eastAsia="Times New Roman"/>
          <w:i/>
          <w:iCs w:val="0"/>
          <w:color w:val="000000"/>
          <w:lang w:val="sr-Latn-RS"/>
        </w:rPr>
        <w:t>s.r.</w:t>
      </w:r>
    </w:p>
    <w:p>
      <w:pPr>
        <w:tabs>
          <w:tab w:val="left" w:pos="3290"/>
        </w:tabs>
        <w:spacing w:after="0" w:line="480" w:lineRule="auto"/>
        <w:rPr>
          <w:rFonts w:ascii="Arial" w:hAnsi="Arial" w:eastAsia="Times New Roman" w:cs="Arial"/>
          <w:iCs/>
          <w:color w:val="000000"/>
        </w:rPr>
      </w:pPr>
      <w:r>
        <w:rPr>
          <w:rFonts w:ascii="Arial" w:hAnsi="Arial" w:eastAsia="Times New Roman" w:cs="Arial"/>
          <w:iCs/>
          <w:color w:val="000000"/>
        </w:rPr>
        <w:t xml:space="preserve">Član komisije </w:t>
      </w:r>
      <w:r>
        <w:rPr>
          <w:rFonts w:ascii="Arial" w:hAnsi="Arial" w:eastAsia="Times New Roman" w:cs="Arial"/>
        </w:rPr>
        <w:t>za sprovođenje postupka javne nabavk</w:t>
      </w:r>
      <w:r>
        <w:rPr>
          <w:rFonts w:ascii="Arial" w:hAnsi="Arial" w:eastAsia="Times New Roman" w:cs="Arial"/>
          <w:iCs/>
          <w:color w:val="000000"/>
        </w:rPr>
        <w:t xml:space="preserve">e: </w:t>
      </w:r>
      <w:r>
        <w:rPr>
          <w:rFonts w:hint="default" w:ascii="Arial" w:hAnsi="Arial" w:eastAsia="Times New Roman" w:cs="Arial"/>
          <w:iCs/>
          <w:color w:val="000000"/>
          <w:lang w:val="sr-Latn-ME"/>
        </w:rPr>
        <w:t xml:space="preserve">Dragan Prenkić, </w:t>
      </w:r>
      <w:r>
        <w:rPr>
          <w:rFonts w:ascii="Arial" w:hAnsi="Arial" w:eastAsia="Times New Roman" w:cs="Arial"/>
          <w:iCs/>
          <w:color w:val="000000"/>
        </w:rPr>
        <w:t xml:space="preserve">član, </w:t>
      </w:r>
    </w:p>
    <w:p>
      <w:pPr>
        <w:tabs>
          <w:tab w:val="left" w:pos="3290"/>
        </w:tabs>
        <w:spacing w:after="0" w:line="480" w:lineRule="auto"/>
        <w:rPr>
          <w:rFonts w:ascii="Arial" w:hAnsi="Arial" w:eastAsia="Times New Roman" w:cs="Arial"/>
          <w:iCs/>
          <w:color w:val="000000"/>
        </w:rPr>
      </w:pPr>
      <w:r>
        <w:rPr>
          <w:rFonts w:hint="default" w:ascii="Arial" w:hAnsi="Arial" w:eastAsia="Times New Roman" w:cs="Arial"/>
          <w:iCs/>
          <w:color w:val="000000"/>
          <w:lang w:val="sr-Latn-RS"/>
        </w:rPr>
        <w:t xml:space="preserve">                                                                                                        </w:t>
      </w:r>
      <w:r>
        <w:rPr>
          <w:rFonts w:hint="default" w:ascii="Arial" w:hAnsi="Arial" w:eastAsia="Times New Roman"/>
          <w:iCs/>
          <w:color w:val="000000"/>
          <w:lang w:val="sr-Latn-RS"/>
        </w:rPr>
        <w:t xml:space="preserve">  </w:t>
      </w:r>
      <w:r>
        <w:rPr>
          <w:rFonts w:hint="default" w:ascii="Arial" w:hAnsi="Arial" w:eastAsia="Times New Roman"/>
          <w:i/>
          <w:iCs w:val="0"/>
          <w:color w:val="000000"/>
          <w:lang w:val="sr-Latn-RS"/>
        </w:rPr>
        <w:t>s.r</w:t>
      </w:r>
    </w:p>
    <w:p>
      <w:pPr>
        <w:tabs>
          <w:tab w:val="left" w:pos="3290"/>
        </w:tabs>
        <w:spacing w:after="0" w:line="480" w:lineRule="auto"/>
        <w:rPr>
          <w:rFonts w:ascii="Arial" w:hAnsi="Arial" w:eastAsia="Times New Roman" w:cs="Arial"/>
          <w:iCs/>
          <w:color w:val="000000"/>
        </w:rPr>
      </w:pPr>
    </w:p>
    <w:p>
      <w:pPr>
        <w:tabs>
          <w:tab w:val="left" w:pos="3290"/>
        </w:tabs>
        <w:spacing w:after="0" w:line="480" w:lineRule="auto"/>
        <w:rPr>
          <w:rFonts w:ascii="Arial" w:hAnsi="Arial" w:eastAsia="Times New Roman" w:cs="Arial"/>
          <w:iCs/>
          <w:color w:val="000000"/>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iCs/>
          <w:sz w:val="24"/>
          <w:szCs w:val="24"/>
          <w:lang w:val="sr-Latn-ME"/>
        </w:rPr>
      </w:pPr>
      <w:r>
        <w:rPr>
          <w:rFonts w:ascii="Arial" w:hAnsi="Arial" w:eastAsia="Times New Roman" w:cs="Times New Roman"/>
          <w:b/>
          <w:sz w:val="24"/>
          <w:szCs w:val="24"/>
          <w:lang w:val="sr-Latn-ME"/>
        </w:rPr>
        <w:t>15. UPUTSTVO O PRAVNOM SREDSTVU</w:t>
      </w:r>
      <w:bookmarkEnd w:id="15"/>
    </w:p>
    <w:p>
      <w:pPr>
        <w:tabs>
          <w:tab w:val="left" w:pos="5760"/>
        </w:tabs>
        <w:spacing w:after="0" w:line="240" w:lineRule="auto"/>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rPr>
      </w:pPr>
      <w:r>
        <w:rPr>
          <w:rFonts w:ascii="Arial" w:hAnsi="Arial" w:eastAsia="Times New Roman" w:cs="Arial"/>
          <w:color w:val="000000"/>
          <w:sz w:val="24"/>
          <w:szCs w:val="24"/>
          <w:lang w:val="sr-Latn-ME"/>
        </w:rPr>
        <w:t xml:space="preserve">    Privredni subjekat može da izjavi žalbu protiv ove tenderske dokumentacije Komisiji za zaštitu prava</w:t>
      </w:r>
      <w:r>
        <w:rPr>
          <w:rFonts w:ascii="Arial" w:hAnsi="Arial" w:eastAsia="Times New Roman" w:cs="Arial"/>
          <w:color w:val="000000"/>
          <w:sz w:val="24"/>
          <w:szCs w:val="24"/>
        </w:rPr>
        <w:t>:</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pPr>
        <w:tabs>
          <w:tab w:val="left" w:pos="5760"/>
        </w:tabs>
        <w:spacing w:after="0" w:line="240" w:lineRule="auto"/>
        <w:jc w:val="both"/>
        <w:rPr>
          <w:rFonts w:ascii="Arial" w:hAnsi="Arial" w:eastAsia="Times New Roman" w:cs="Arial"/>
          <w:color w:val="000000"/>
          <w:sz w:val="24"/>
          <w:szCs w:val="24"/>
          <w:lang w:val="sr-Latn-ME"/>
        </w:rPr>
      </w:pPr>
    </w:p>
    <w:p>
      <w:pPr>
        <w:autoSpaceDE w:val="0"/>
        <w:autoSpaceDN w:val="0"/>
        <w:adjustRightInd w:val="0"/>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Žalba se izjavljuje preko naručioca neposredno putem ESJN-a. Žalba koja nije podnesena na naprijed predviđeni način biće odbijena kao nedozvoljena.</w:t>
      </w:r>
    </w:p>
    <w:p>
      <w:pPr>
        <w:autoSpaceDE w:val="0"/>
        <w:autoSpaceDN w:val="0"/>
        <w:adjustRightInd w:val="0"/>
        <w:spacing w:after="0" w:line="240" w:lineRule="auto"/>
        <w:ind w:firstLine="567"/>
        <w:jc w:val="both"/>
        <w:rPr>
          <w:rFonts w:ascii="Arial" w:hAnsi="Arial" w:eastAsia="Times New Roman" w:cs="Arial"/>
          <w:color w:val="000000"/>
          <w:sz w:val="24"/>
          <w:szCs w:val="24"/>
          <w:lang w:val="sr-Latn-ME"/>
        </w:rPr>
      </w:pPr>
    </w:p>
    <w:p>
      <w:pPr>
        <w:autoSpaceDE w:val="0"/>
        <w:autoSpaceDN w:val="0"/>
        <w:adjustRightInd w:val="0"/>
        <w:spacing w:after="0" w:line="240" w:lineRule="auto"/>
        <w:jc w:val="both"/>
        <w:rPr>
          <w:rFonts w:ascii="Arial" w:hAnsi="Arial" w:eastAsia="Times New Roman" w:cs="Arial"/>
          <w:color w:val="000000"/>
          <w:sz w:val="24"/>
          <w:szCs w:val="24"/>
          <w:highlight w:val="yellow"/>
          <w:lang w:val="sr-Latn-ME"/>
        </w:rPr>
      </w:pPr>
      <w:r>
        <w:rPr>
          <w:rFonts w:ascii="Arial" w:hAnsi="Arial" w:eastAsia="Times New Roman" w:cs="Arial"/>
          <w:color w:val="000000"/>
          <w:sz w:val="24"/>
          <w:szCs w:val="24"/>
          <w:lang w:val="sr-Latn-ME"/>
        </w:rPr>
        <w:t xml:space="preserve">    Podnosilac žalbe je dužan da uz žalbu priloži dokaz o uplati naknade za vođenje postupka u iznosu od 1% od procijenjene vrijednosti javne nabavke, a najviše 20.000,00 eura, na žiro račun Komisije za zaštitu prava broj 530-20240-15 kod NLB Montenegro banke A.D.</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Ukoliko je predmet nabavke podijeljen po partijama, a žalba se odnosi samo na određenu/e partiju/e, naknada se plaća u iznosu 1% od procijenjene vrijednosti javne nabavke te/tih partije/a.</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Fonts w:ascii="Arial" w:hAnsi="Arial" w:eastAsia="Times New Roman" w:cs="Arial"/>
          <w:color w:val="0000FF"/>
          <w:sz w:val="24"/>
          <w:szCs w:val="24"/>
          <w:u w:val="single"/>
          <w:lang w:val="sr-Latn-ME"/>
        </w:rPr>
        <w:t>http://www.kontrola-nabavki.me/</w:t>
      </w:r>
      <w:r>
        <w:rPr>
          <w:rFonts w:ascii="Arial" w:hAnsi="Arial" w:eastAsia="Times New Roman" w:cs="Arial"/>
          <w:color w:val="0000FF"/>
          <w:sz w:val="24"/>
          <w:szCs w:val="24"/>
          <w:u w:val="single"/>
          <w:lang w:val="sr-Latn-ME"/>
        </w:rPr>
        <w:fldChar w:fldCharType="end"/>
      </w:r>
      <w:r>
        <w:rPr>
          <w:rFonts w:ascii="Arial" w:hAnsi="Arial" w:eastAsia="Times New Roman" w:cs="Arial"/>
          <w:color w:val="000000"/>
          <w:sz w:val="24"/>
          <w:szCs w:val="24"/>
          <w:lang w:val="sr-Latn-ME"/>
        </w:rPr>
        <w:t>.“.</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p>
    <w:p/>
    <w:sectPr>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6">
    <w:p>
      <w:pPr>
        <w:spacing w:before="0" w:after="0" w:line="259" w:lineRule="auto"/>
      </w:pPr>
      <w:r>
        <w:separator/>
      </w:r>
    </w:p>
  </w:footnote>
  <w:footnote w:type="continuationSeparator" w:id="17">
    <w:p>
      <w:pPr>
        <w:spacing w:before="0" w:after="0" w:line="259" w:lineRule="auto"/>
      </w:pPr>
      <w:r>
        <w:continuationSeparator/>
      </w:r>
    </w:p>
  </w:footnote>
  <w:footnote w:id="0">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1">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2">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3">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4">
    <w:p>
      <w:pPr>
        <w:pStyle w:val="10"/>
        <w:jc w:val="both"/>
        <w:rPr>
          <w:rFonts w:ascii="Arial" w:hAnsi="Arial" w:cs="Arial"/>
          <w:sz w:val="16"/>
          <w:szCs w:val="16"/>
          <w:lang w:val="sr-Latn-ME"/>
        </w:rPr>
      </w:pPr>
      <w:r>
        <w:rPr>
          <w:rStyle w:val="9"/>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5">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6">
    <w:p>
      <w:pPr>
        <w:pStyle w:val="10"/>
        <w:jc w:val="both"/>
        <w:rPr>
          <w:rFonts w:ascii="Arial" w:hAnsi="Arial" w:cs="Arial"/>
          <w:sz w:val="14"/>
          <w:szCs w:val="14"/>
          <w:lang w:val="sr-Latn-ME"/>
        </w:rPr>
      </w:pPr>
      <w:r>
        <w:rPr>
          <w:rStyle w:val="9"/>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7">
    <w:p>
      <w:pPr>
        <w:jc w:val="both"/>
        <w:rPr>
          <w:rFonts w:ascii="Arial" w:hAnsi="Arial" w:cs="Arial"/>
          <w:color w:val="000000"/>
          <w:sz w:val="16"/>
          <w:szCs w:val="16"/>
        </w:rPr>
      </w:pPr>
      <w:r>
        <w:rPr>
          <w:rStyle w:val="9"/>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1">
    <w:nsid w:val="176829A7"/>
    <w:multiLevelType w:val="multilevel"/>
    <w:tmpl w:val="176829A7"/>
    <w:lvl w:ilvl="0" w:tentative="0">
      <w:start w:val="0"/>
      <w:numFmt w:val="bullet"/>
      <w:lvlText w:val="-"/>
      <w:lvlJc w:val="left"/>
      <w:pPr>
        <w:ind w:left="360" w:hanging="360"/>
      </w:pPr>
      <w:rPr>
        <w:rFonts w:hint="default" w:ascii="Arial" w:hAnsi="Arial" w:eastAsia="Calibri" w:cs="Arial"/>
      </w:rPr>
    </w:lvl>
    <w:lvl w:ilvl="1" w:tentative="0">
      <w:start w:val="1"/>
      <w:numFmt w:val="bullet"/>
      <w:lvlText w:val="o"/>
      <w:lvlJc w:val="left"/>
      <w:pPr>
        <w:ind w:left="1440" w:hanging="360"/>
      </w:pPr>
      <w:rPr>
        <w:rFonts w:hint="default" w:ascii="Courier New" w:hAnsi="Courier New" w:cs="Courier New"/>
      </w:rPr>
    </w:lvl>
    <w:lvl w:ilvl="2" w:tentative="0">
      <w:start w:val="0"/>
      <w:numFmt w:val="bullet"/>
      <w:lvlText w:val="-"/>
      <w:lvlJc w:val="left"/>
      <w:pPr>
        <w:ind w:left="2160" w:hanging="360"/>
      </w:pPr>
      <w:rPr>
        <w:rFonts w:hint="default" w:ascii="Arial" w:hAnsi="Arial" w:eastAsia="Calibri" w:cs="Arial"/>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32D84397"/>
    <w:multiLevelType w:val="multilevel"/>
    <w:tmpl w:val="32D84397"/>
    <w:lvl w:ilvl="0" w:tentative="0">
      <w:start w:val="12"/>
      <w:numFmt w:val="bullet"/>
      <w:lvlText w:val="-"/>
      <w:lvlJc w:val="right"/>
      <w:pPr>
        <w:ind w:left="360" w:hanging="360"/>
      </w:pPr>
      <w:rPr>
        <w:rFonts w:hint="default" w:ascii="Verdana" w:hAnsi="Verdana" w:eastAsia="Times New Roman" w:cs="Times New Roman"/>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4">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5">
    <w:nsid w:val="6764291E"/>
    <w:multiLevelType w:val="multilevel"/>
    <w:tmpl w:val="6764291E"/>
    <w:lvl w:ilvl="0" w:tentative="0">
      <w:start w:val="1"/>
      <w:numFmt w:val="decimal"/>
      <w:lvlText w:val="%1."/>
      <w:lvlJc w:val="left"/>
      <w:pPr>
        <w:ind w:left="108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A44128F"/>
    <w:multiLevelType w:val="multilevel"/>
    <w:tmpl w:val="6A44128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6EAE6A37"/>
    <w:multiLevelType w:val="multilevel"/>
    <w:tmpl w:val="6EAE6A37"/>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 w:numId="2">
    <w:abstractNumId w:val="3"/>
  </w:num>
  <w:num w:numId="3">
    <w:abstractNumId w:val="4"/>
  </w:num>
  <w:num w:numId="4">
    <w:abstractNumId w:val="5"/>
  </w:num>
  <w:num w:numId="5">
    <w:abstractNumId w:val="7"/>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16"/>
    <w:footnote w:id="17"/>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1E2"/>
    <w:rsid w:val="00041399"/>
    <w:rsid w:val="00051E7D"/>
    <w:rsid w:val="00061B98"/>
    <w:rsid w:val="00064CB2"/>
    <w:rsid w:val="000829C9"/>
    <w:rsid w:val="00094244"/>
    <w:rsid w:val="00094A08"/>
    <w:rsid w:val="00095E6A"/>
    <w:rsid w:val="000A1F38"/>
    <w:rsid w:val="000A2E6B"/>
    <w:rsid w:val="000B1411"/>
    <w:rsid w:val="000D2EA3"/>
    <w:rsid w:val="000E5130"/>
    <w:rsid w:val="00102DCC"/>
    <w:rsid w:val="00105D04"/>
    <w:rsid w:val="00113ECC"/>
    <w:rsid w:val="001165B3"/>
    <w:rsid w:val="001252CA"/>
    <w:rsid w:val="001629FC"/>
    <w:rsid w:val="001637BB"/>
    <w:rsid w:val="00194F62"/>
    <w:rsid w:val="00195423"/>
    <w:rsid w:val="0019789B"/>
    <w:rsid w:val="001A02EB"/>
    <w:rsid w:val="001A654C"/>
    <w:rsid w:val="001A7608"/>
    <w:rsid w:val="001B5949"/>
    <w:rsid w:val="001C00F8"/>
    <w:rsid w:val="001C1C59"/>
    <w:rsid w:val="001C1D54"/>
    <w:rsid w:val="001D3749"/>
    <w:rsid w:val="001D431F"/>
    <w:rsid w:val="001D64EA"/>
    <w:rsid w:val="001E1808"/>
    <w:rsid w:val="001F54F1"/>
    <w:rsid w:val="00240916"/>
    <w:rsid w:val="00246961"/>
    <w:rsid w:val="0025046E"/>
    <w:rsid w:val="0026331D"/>
    <w:rsid w:val="0027298D"/>
    <w:rsid w:val="00272FFB"/>
    <w:rsid w:val="002812FB"/>
    <w:rsid w:val="0028395A"/>
    <w:rsid w:val="0028478F"/>
    <w:rsid w:val="002847D2"/>
    <w:rsid w:val="00285E8F"/>
    <w:rsid w:val="002A4077"/>
    <w:rsid w:val="002B070B"/>
    <w:rsid w:val="00301AA0"/>
    <w:rsid w:val="00306EE1"/>
    <w:rsid w:val="003137DB"/>
    <w:rsid w:val="00341AA6"/>
    <w:rsid w:val="00347864"/>
    <w:rsid w:val="0037540C"/>
    <w:rsid w:val="00380130"/>
    <w:rsid w:val="003A2AF7"/>
    <w:rsid w:val="003B0FA7"/>
    <w:rsid w:val="003D252F"/>
    <w:rsid w:val="003E0703"/>
    <w:rsid w:val="003E4931"/>
    <w:rsid w:val="00412386"/>
    <w:rsid w:val="00413720"/>
    <w:rsid w:val="00416A86"/>
    <w:rsid w:val="00443ADF"/>
    <w:rsid w:val="00445F5A"/>
    <w:rsid w:val="0045709C"/>
    <w:rsid w:val="00457C21"/>
    <w:rsid w:val="00462222"/>
    <w:rsid w:val="00463E1B"/>
    <w:rsid w:val="00477459"/>
    <w:rsid w:val="0049582A"/>
    <w:rsid w:val="004A0CF7"/>
    <w:rsid w:val="004A2F64"/>
    <w:rsid w:val="004A6D3C"/>
    <w:rsid w:val="004B7984"/>
    <w:rsid w:val="004C2D42"/>
    <w:rsid w:val="004E5ED9"/>
    <w:rsid w:val="004E7352"/>
    <w:rsid w:val="00527DC2"/>
    <w:rsid w:val="00545B4A"/>
    <w:rsid w:val="0055551F"/>
    <w:rsid w:val="0057236B"/>
    <w:rsid w:val="005811D6"/>
    <w:rsid w:val="005A1673"/>
    <w:rsid w:val="005A2A82"/>
    <w:rsid w:val="005B30E9"/>
    <w:rsid w:val="005C26DD"/>
    <w:rsid w:val="005C2C04"/>
    <w:rsid w:val="005E379F"/>
    <w:rsid w:val="006123FC"/>
    <w:rsid w:val="00653D15"/>
    <w:rsid w:val="00657AE4"/>
    <w:rsid w:val="006A212B"/>
    <w:rsid w:val="006B7DA8"/>
    <w:rsid w:val="0076725F"/>
    <w:rsid w:val="0078302A"/>
    <w:rsid w:val="007867ED"/>
    <w:rsid w:val="00793085"/>
    <w:rsid w:val="00795128"/>
    <w:rsid w:val="007959B1"/>
    <w:rsid w:val="007B326E"/>
    <w:rsid w:val="007F016B"/>
    <w:rsid w:val="007F064D"/>
    <w:rsid w:val="007F0910"/>
    <w:rsid w:val="007F099B"/>
    <w:rsid w:val="007F35AF"/>
    <w:rsid w:val="007F7336"/>
    <w:rsid w:val="00830ED1"/>
    <w:rsid w:val="0083691F"/>
    <w:rsid w:val="00844ED0"/>
    <w:rsid w:val="00871A3A"/>
    <w:rsid w:val="0089368B"/>
    <w:rsid w:val="008C7411"/>
    <w:rsid w:val="008C76B4"/>
    <w:rsid w:val="008D1F99"/>
    <w:rsid w:val="008D568B"/>
    <w:rsid w:val="00910581"/>
    <w:rsid w:val="00930A55"/>
    <w:rsid w:val="00935A3C"/>
    <w:rsid w:val="00957E51"/>
    <w:rsid w:val="00964B62"/>
    <w:rsid w:val="00964E08"/>
    <w:rsid w:val="009673A6"/>
    <w:rsid w:val="00971177"/>
    <w:rsid w:val="009722D6"/>
    <w:rsid w:val="00977C56"/>
    <w:rsid w:val="00977F8F"/>
    <w:rsid w:val="0098135C"/>
    <w:rsid w:val="0098197B"/>
    <w:rsid w:val="009B5283"/>
    <w:rsid w:val="009C4391"/>
    <w:rsid w:val="009E0AF6"/>
    <w:rsid w:val="009F2E7F"/>
    <w:rsid w:val="009F3410"/>
    <w:rsid w:val="00A03E4A"/>
    <w:rsid w:val="00A06A1D"/>
    <w:rsid w:val="00A1397F"/>
    <w:rsid w:val="00A369BE"/>
    <w:rsid w:val="00A44B78"/>
    <w:rsid w:val="00A54BE0"/>
    <w:rsid w:val="00A64D03"/>
    <w:rsid w:val="00A70B71"/>
    <w:rsid w:val="00A81CC3"/>
    <w:rsid w:val="00A967CE"/>
    <w:rsid w:val="00AA41D8"/>
    <w:rsid w:val="00AB48E5"/>
    <w:rsid w:val="00AC73A6"/>
    <w:rsid w:val="00AD4B09"/>
    <w:rsid w:val="00AD6ECA"/>
    <w:rsid w:val="00AD6F80"/>
    <w:rsid w:val="00AE7923"/>
    <w:rsid w:val="00AF385F"/>
    <w:rsid w:val="00B02F55"/>
    <w:rsid w:val="00B17AFD"/>
    <w:rsid w:val="00B21242"/>
    <w:rsid w:val="00B22AF1"/>
    <w:rsid w:val="00B4041F"/>
    <w:rsid w:val="00B436A8"/>
    <w:rsid w:val="00B43933"/>
    <w:rsid w:val="00B45485"/>
    <w:rsid w:val="00B50606"/>
    <w:rsid w:val="00B76CEA"/>
    <w:rsid w:val="00B9733D"/>
    <w:rsid w:val="00BD62E4"/>
    <w:rsid w:val="00BE0BBC"/>
    <w:rsid w:val="00BE2F98"/>
    <w:rsid w:val="00BF221D"/>
    <w:rsid w:val="00BF2E70"/>
    <w:rsid w:val="00BF51E2"/>
    <w:rsid w:val="00C20B4D"/>
    <w:rsid w:val="00C24E48"/>
    <w:rsid w:val="00C25853"/>
    <w:rsid w:val="00C4104E"/>
    <w:rsid w:val="00C4628F"/>
    <w:rsid w:val="00C47618"/>
    <w:rsid w:val="00C52248"/>
    <w:rsid w:val="00C5658A"/>
    <w:rsid w:val="00C56723"/>
    <w:rsid w:val="00C93719"/>
    <w:rsid w:val="00C97CCD"/>
    <w:rsid w:val="00CA129B"/>
    <w:rsid w:val="00CC1376"/>
    <w:rsid w:val="00CC7355"/>
    <w:rsid w:val="00CD769D"/>
    <w:rsid w:val="00CF1D21"/>
    <w:rsid w:val="00CF380C"/>
    <w:rsid w:val="00D16305"/>
    <w:rsid w:val="00D4539F"/>
    <w:rsid w:val="00D55B8E"/>
    <w:rsid w:val="00D56CA8"/>
    <w:rsid w:val="00DC37E9"/>
    <w:rsid w:val="00DC4DE2"/>
    <w:rsid w:val="00DD4AD8"/>
    <w:rsid w:val="00DD4F37"/>
    <w:rsid w:val="00DE34BF"/>
    <w:rsid w:val="00DE37A4"/>
    <w:rsid w:val="00E03B04"/>
    <w:rsid w:val="00E15A9C"/>
    <w:rsid w:val="00E270ED"/>
    <w:rsid w:val="00E369E8"/>
    <w:rsid w:val="00E53679"/>
    <w:rsid w:val="00E60A6A"/>
    <w:rsid w:val="00E62B12"/>
    <w:rsid w:val="00EA30DD"/>
    <w:rsid w:val="00EA7F59"/>
    <w:rsid w:val="00EE1B13"/>
    <w:rsid w:val="00EE261E"/>
    <w:rsid w:val="00EE5AFE"/>
    <w:rsid w:val="00F202B3"/>
    <w:rsid w:val="00F42FAB"/>
    <w:rsid w:val="00F47A85"/>
    <w:rsid w:val="00F57EB9"/>
    <w:rsid w:val="00F80A87"/>
    <w:rsid w:val="00F909A3"/>
    <w:rsid w:val="00FC6EE6"/>
    <w:rsid w:val="00FD4599"/>
    <w:rsid w:val="0D9C5D55"/>
    <w:rsid w:val="1D342716"/>
    <w:rsid w:val="208C0D13"/>
    <w:rsid w:val="267915B6"/>
    <w:rsid w:val="2DFF3C7B"/>
    <w:rsid w:val="3ABB79B8"/>
    <w:rsid w:val="6CD671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8"/>
    <w:semiHidden/>
    <w:unhideWhenUsed/>
    <w:qFormat/>
    <w:uiPriority w:val="99"/>
    <w:pPr>
      <w:spacing w:after="0" w:line="240" w:lineRule="auto"/>
    </w:pPr>
    <w:rPr>
      <w:rFonts w:ascii="Segoe UI" w:hAnsi="Segoe UI" w:cs="Segoe UI"/>
      <w:sz w:val="18"/>
      <w:szCs w:val="18"/>
    </w:rPr>
  </w:style>
  <w:style w:type="character" w:styleId="5">
    <w:name w:val="annotation reference"/>
    <w:basedOn w:val="2"/>
    <w:semiHidden/>
    <w:unhideWhenUsed/>
    <w:uiPriority w:val="99"/>
    <w:rPr>
      <w:sz w:val="16"/>
      <w:szCs w:val="16"/>
    </w:rPr>
  </w:style>
  <w:style w:type="paragraph" w:styleId="6">
    <w:name w:val="annotation text"/>
    <w:basedOn w:val="1"/>
    <w:link w:val="16"/>
    <w:semiHidden/>
    <w:unhideWhenUsed/>
    <w:uiPriority w:val="99"/>
    <w:pPr>
      <w:spacing w:line="240" w:lineRule="auto"/>
    </w:pPr>
    <w:rPr>
      <w:sz w:val="20"/>
      <w:szCs w:val="20"/>
    </w:rPr>
  </w:style>
  <w:style w:type="paragraph" w:styleId="7">
    <w:name w:val="annotation subject"/>
    <w:basedOn w:val="6"/>
    <w:next w:val="6"/>
    <w:link w:val="17"/>
    <w:semiHidden/>
    <w:unhideWhenUsed/>
    <w:uiPriority w:val="99"/>
    <w:rPr>
      <w:b/>
      <w:bCs/>
    </w:rPr>
  </w:style>
  <w:style w:type="paragraph" w:styleId="8">
    <w:name w:val="footer"/>
    <w:basedOn w:val="1"/>
    <w:link w:val="15"/>
    <w:unhideWhenUsed/>
    <w:uiPriority w:val="99"/>
    <w:pPr>
      <w:tabs>
        <w:tab w:val="center" w:pos="4680"/>
        <w:tab w:val="right" w:pos="9360"/>
      </w:tabs>
      <w:spacing w:after="0" w:line="240" w:lineRule="auto"/>
    </w:pPr>
  </w:style>
  <w:style w:type="character" w:styleId="9">
    <w:name w:val="footnote reference"/>
    <w:unhideWhenUsed/>
    <w:qFormat/>
    <w:uiPriority w:val="99"/>
    <w:rPr>
      <w:vertAlign w:val="superscript"/>
    </w:rPr>
  </w:style>
  <w:style w:type="paragraph" w:styleId="10">
    <w:name w:val="footnote text"/>
    <w:basedOn w:val="1"/>
    <w:link w:val="12"/>
    <w:unhideWhenUsed/>
    <w:uiPriority w:val="99"/>
    <w:pPr>
      <w:spacing w:after="0" w:line="240" w:lineRule="auto"/>
    </w:pPr>
    <w:rPr>
      <w:rFonts w:ascii="Calibri" w:hAnsi="Calibri" w:eastAsia="Calibri" w:cs="Times New Roman"/>
      <w:sz w:val="20"/>
      <w:szCs w:val="20"/>
    </w:rPr>
  </w:style>
  <w:style w:type="paragraph" w:styleId="11">
    <w:name w:val="header"/>
    <w:basedOn w:val="1"/>
    <w:link w:val="14"/>
    <w:unhideWhenUsed/>
    <w:uiPriority w:val="99"/>
    <w:pPr>
      <w:tabs>
        <w:tab w:val="center" w:pos="4680"/>
        <w:tab w:val="right" w:pos="9360"/>
      </w:tabs>
      <w:spacing w:after="0" w:line="240" w:lineRule="auto"/>
    </w:pPr>
  </w:style>
  <w:style w:type="character" w:customStyle="1" w:styleId="12">
    <w:name w:val="Footnote Text Char"/>
    <w:basedOn w:val="2"/>
    <w:link w:val="10"/>
    <w:uiPriority w:val="99"/>
    <w:rPr>
      <w:rFonts w:ascii="Calibri" w:hAnsi="Calibri" w:eastAsia="Calibri" w:cs="Times New Roman"/>
      <w:sz w:val="20"/>
      <w:szCs w:val="20"/>
    </w:rPr>
  </w:style>
  <w:style w:type="paragraph" w:styleId="13">
    <w:name w:val="List Paragraph"/>
    <w:basedOn w:val="1"/>
    <w:qFormat/>
    <w:uiPriority w:val="34"/>
    <w:pPr>
      <w:ind w:left="720"/>
      <w:contextualSpacing/>
    </w:pPr>
  </w:style>
  <w:style w:type="character" w:customStyle="1" w:styleId="14">
    <w:name w:val="Header Char"/>
    <w:basedOn w:val="2"/>
    <w:link w:val="11"/>
    <w:qFormat/>
    <w:uiPriority w:val="99"/>
  </w:style>
  <w:style w:type="character" w:customStyle="1" w:styleId="15">
    <w:name w:val="Footer Char"/>
    <w:basedOn w:val="2"/>
    <w:link w:val="8"/>
    <w:qFormat/>
    <w:uiPriority w:val="99"/>
  </w:style>
  <w:style w:type="character" w:customStyle="1" w:styleId="16">
    <w:name w:val="Comment Text Char"/>
    <w:basedOn w:val="2"/>
    <w:link w:val="6"/>
    <w:semiHidden/>
    <w:qFormat/>
    <w:uiPriority w:val="99"/>
    <w:rPr>
      <w:sz w:val="20"/>
      <w:szCs w:val="20"/>
    </w:rPr>
  </w:style>
  <w:style w:type="character" w:customStyle="1" w:styleId="17">
    <w:name w:val="Comment Subject Char"/>
    <w:basedOn w:val="16"/>
    <w:link w:val="7"/>
    <w:semiHidden/>
    <w:qFormat/>
    <w:uiPriority w:val="99"/>
    <w:rPr>
      <w:b/>
      <w:bCs/>
      <w:sz w:val="20"/>
      <w:szCs w:val="20"/>
    </w:rPr>
  </w:style>
  <w:style w:type="character" w:customStyle="1" w:styleId="18">
    <w:name w:val="Balloon Text Char"/>
    <w:basedOn w:val="2"/>
    <w:link w:val="4"/>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4165</Words>
  <Characters>23741</Characters>
  <Lines>197</Lines>
  <Paragraphs>55</Paragraphs>
  <TotalTime>28</TotalTime>
  <ScaleCrop>false</ScaleCrop>
  <LinksUpToDate>false</LinksUpToDate>
  <CharactersWithSpaces>27851</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2023-04-06T11:20:00Z</dcterms:created>
  <dc:creator>Sanja Bakic</dc:creator>
  <cp:lastModifiedBy>Dragan Prenkic</cp:lastModifiedBy>
  <cp:lastPrinted>2024-03-08T07:53:00Z</cp:lastPrinted>
  <dcterms:modified xsi:type="dcterms:W3CDTF">2024-03-08T11:59:04Z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A0D6B63388204F7B9D54484D7458342E</vt:lpwstr>
  </property>
</Properties>
</file>