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sz w:val="24"/>
          <w:szCs w:val="24"/>
        </w:rPr>
      </w:pPr>
      <w:r>
        <w:rPr>
          <w:rFonts w:ascii="Arial" w:hAnsi="Arial" w:cs="Arial"/>
          <w:b/>
          <w:color w:val="000000"/>
          <w:sz w:val="24"/>
          <w:szCs w:val="24"/>
        </w:rPr>
        <w:t xml:space="preserve">OBRAZAC 1  </w:t>
      </w:r>
    </w:p>
    <w:p>
      <w:pPr>
        <w:rPr>
          <w:rFonts w:ascii="Arial" w:hAnsi="Arial" w:cs="Arial"/>
          <w:color w:val="000000"/>
          <w:sz w:val="24"/>
          <w:szCs w:val="24"/>
        </w:rPr>
      </w:pPr>
    </w:p>
    <w:p>
      <w:pPr>
        <w:tabs>
          <w:tab w:val="left" w:pos="1701"/>
          <w:tab w:val="left" w:pos="4820"/>
        </w:tabs>
        <w:jc w:val="both"/>
        <w:rPr>
          <w:rFonts w:ascii="Arial" w:hAnsi="Arial" w:cs="Arial"/>
          <w:color w:val="000000"/>
          <w:sz w:val="24"/>
          <w:szCs w:val="24"/>
        </w:rPr>
      </w:pPr>
      <w:r>
        <w:rPr>
          <w:rFonts w:ascii="Arial" w:hAnsi="Arial" w:cs="Arial"/>
          <w:color w:val="000000"/>
          <w:sz w:val="24"/>
          <w:szCs w:val="24"/>
        </w:rPr>
        <w:t>Putevi d.o.o. Podgorica</w:t>
      </w:r>
    </w:p>
    <w:p>
      <w:pPr>
        <w:tabs>
          <w:tab w:val="left" w:pos="1701"/>
          <w:tab w:val="left" w:pos="4820"/>
        </w:tabs>
        <w:jc w:val="both"/>
        <w:rPr>
          <w:rFonts w:hint="default" w:ascii="Arial" w:hAnsi="Arial" w:cs="Arial"/>
          <w:sz w:val="24"/>
          <w:szCs w:val="24"/>
          <w:highlight w:val="none"/>
          <w:lang w:val="sr-Latn-ME"/>
        </w:rPr>
      </w:pPr>
      <w:r>
        <w:rPr>
          <w:rFonts w:ascii="Arial" w:hAnsi="Arial" w:cs="Arial"/>
          <w:sz w:val="24"/>
          <w:szCs w:val="24"/>
          <w:highlight w:val="none"/>
        </w:rPr>
        <w:t xml:space="preserve">Broj iz evidencije postupaka javnih nabavki: </w:t>
      </w:r>
      <w:r>
        <w:rPr>
          <w:rFonts w:hint="default" w:ascii="Arial" w:hAnsi="Arial" w:cs="Arial"/>
          <w:sz w:val="24"/>
          <w:szCs w:val="24"/>
          <w:highlight w:val="none"/>
          <w:lang w:val="en-US"/>
        </w:rPr>
        <w:t>32</w:t>
      </w:r>
      <w:r>
        <w:rPr>
          <w:rFonts w:hint="default" w:ascii="Arial" w:hAnsi="Arial" w:cs="Arial"/>
          <w:sz w:val="24"/>
          <w:szCs w:val="24"/>
          <w:highlight w:val="none"/>
          <w:lang w:val="sr-Latn-ME"/>
        </w:rPr>
        <w:t>/23</w:t>
      </w:r>
    </w:p>
    <w:p>
      <w:pPr>
        <w:jc w:val="both"/>
        <w:rPr>
          <w:rFonts w:hint="default" w:ascii="Arial" w:hAnsi="Arial" w:cs="Arial"/>
          <w:color w:val="000000"/>
          <w:sz w:val="24"/>
          <w:szCs w:val="24"/>
          <w:highlight w:val="none"/>
          <w:lang w:val="sr-Latn-ME"/>
        </w:rPr>
      </w:pPr>
      <w:r>
        <w:rPr>
          <w:rFonts w:ascii="Arial" w:hAnsi="Arial" w:cs="Arial"/>
          <w:color w:val="000000"/>
          <w:sz w:val="24"/>
          <w:szCs w:val="24"/>
          <w:highlight w:val="none"/>
        </w:rPr>
        <w:t>Redni broj iz Plana javnih nabavki:</w:t>
      </w:r>
      <w:r>
        <w:rPr>
          <w:rFonts w:ascii="Arial" w:hAnsi="Arial" w:cs="Arial"/>
          <w:color w:val="000000"/>
          <w:sz w:val="24"/>
          <w:szCs w:val="24"/>
          <w:highlight w:val="none"/>
          <w:lang w:val="sr-Latn-ME"/>
        </w:rPr>
        <w:t xml:space="preserve"> </w:t>
      </w:r>
      <w:r>
        <w:rPr>
          <w:rFonts w:hint="default" w:ascii="Arial" w:hAnsi="Arial" w:cs="Arial"/>
          <w:color w:val="000000"/>
          <w:sz w:val="24"/>
          <w:szCs w:val="24"/>
          <w:highlight w:val="none"/>
          <w:lang w:val="sr-Latn-ME"/>
        </w:rPr>
        <w:t>67</w:t>
      </w:r>
    </w:p>
    <w:p>
      <w:pPr>
        <w:jc w:val="both"/>
        <w:rPr>
          <w:rFonts w:ascii="Arial" w:hAnsi="Arial" w:cs="Arial"/>
          <w:b/>
          <w:bCs/>
          <w:color w:val="000000"/>
          <w:sz w:val="24"/>
          <w:szCs w:val="24"/>
          <w:highlight w:val="none"/>
        </w:rPr>
      </w:pPr>
      <w:r>
        <w:rPr>
          <w:rFonts w:ascii="Arial" w:hAnsi="Arial" w:cs="Arial"/>
          <w:color w:val="000000"/>
          <w:sz w:val="24"/>
          <w:szCs w:val="24"/>
          <w:highlight w:val="none"/>
        </w:rPr>
        <w:t xml:space="preserve">Mjesto i datum: </w:t>
      </w:r>
      <w:r>
        <w:rPr>
          <w:rFonts w:hint="default" w:ascii="Arial" w:hAnsi="Arial" w:cs="Arial"/>
          <w:color w:val="000000"/>
          <w:sz w:val="24"/>
          <w:szCs w:val="24"/>
          <w:highlight w:val="none"/>
          <w:lang w:val="en-US"/>
        </w:rPr>
        <w:t>03.10</w:t>
      </w:r>
      <w:r>
        <w:rPr>
          <w:rFonts w:hint="default" w:ascii="Arial" w:hAnsi="Arial" w:cs="Arial"/>
          <w:color w:val="000000"/>
          <w:sz w:val="24"/>
          <w:szCs w:val="24"/>
          <w:highlight w:val="none"/>
          <w:lang w:val="sr-Latn-ME"/>
        </w:rPr>
        <w:t>.2023</w:t>
      </w:r>
      <w:r>
        <w:rPr>
          <w:rFonts w:ascii="Arial" w:hAnsi="Arial" w:cs="Arial"/>
          <w:color w:val="000000"/>
          <w:sz w:val="24"/>
          <w:szCs w:val="24"/>
          <w:highlight w:val="none"/>
        </w:rPr>
        <w:t xml:space="preserve"> godine</w:t>
      </w:r>
    </w:p>
    <w:p>
      <w:pPr>
        <w:rPr>
          <w:rFonts w:ascii="Arial" w:hAnsi="Arial" w:cs="Arial"/>
          <w:sz w:val="24"/>
          <w:szCs w:val="24"/>
        </w:rPr>
      </w:pPr>
    </w:p>
    <w:p>
      <w:pPr>
        <w:rPr>
          <w:rFonts w:ascii="Arial" w:hAnsi="Arial" w:cs="Arial"/>
          <w:sz w:val="24"/>
          <w:szCs w:val="24"/>
        </w:rPr>
      </w:pPr>
    </w:p>
    <w:p>
      <w:pPr>
        <w:tabs>
          <w:tab w:val="left" w:pos="1276"/>
          <w:tab w:val="left" w:pos="3261"/>
        </w:tabs>
        <w:jc w:val="both"/>
        <w:rPr>
          <w:rFonts w:ascii="Arial" w:hAnsi="Arial" w:cs="Arial"/>
          <w:b/>
          <w:bCs/>
          <w:color w:val="000000"/>
          <w:sz w:val="24"/>
          <w:szCs w:val="24"/>
        </w:rPr>
      </w:pPr>
      <w:r>
        <w:rPr>
          <w:rFonts w:ascii="Arial" w:hAnsi="Arial" w:cs="Arial"/>
          <w:sz w:val="24"/>
          <w:szCs w:val="24"/>
        </w:rPr>
        <w:t>Na osnovu člana 93 stav 1 Zakona o javnim nabavkama („Službeni list CG“, br. 074/19</w:t>
      </w:r>
      <w:r>
        <w:rPr>
          <w:rFonts w:hint="default" w:ascii="Arial" w:hAnsi="Arial" w:cs="Arial"/>
          <w:sz w:val="24"/>
          <w:szCs w:val="24"/>
          <w:lang w:val="sr-Latn-ME"/>
        </w:rPr>
        <w:t xml:space="preserve">, 3/23,011/23), </w:t>
      </w:r>
      <w:r>
        <w:rPr>
          <w:rFonts w:ascii="Arial" w:hAnsi="Arial" w:cs="Arial"/>
          <w:sz w:val="24"/>
          <w:szCs w:val="24"/>
        </w:rPr>
        <w:t>Putevi d.o.o. Podgorica objavljuje</w:t>
      </w:r>
      <w:r>
        <w:rPr>
          <w:rFonts w:ascii="Arial" w:hAnsi="Arial" w:cs="Arial"/>
          <w:b/>
          <w:bCs/>
          <w:color w:val="000000"/>
          <w:sz w:val="24"/>
          <w:szCs w:val="24"/>
        </w:rPr>
        <w:t xml:space="preserve">        </w:t>
      </w: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sz w:val="24"/>
          <w:szCs w:val="24"/>
        </w:rPr>
      </w:pPr>
      <w:r>
        <w:rPr>
          <w:rFonts w:ascii="Arial" w:hAnsi="Arial" w:cs="Arial"/>
          <w:b/>
          <w:bCs/>
          <w:color w:val="000000"/>
          <w:sz w:val="24"/>
          <w:szCs w:val="24"/>
        </w:rPr>
        <w:t xml:space="preserve">                                          </w:t>
      </w:r>
      <w:r>
        <w:rPr>
          <w:rFonts w:ascii="Arial" w:hAnsi="Arial" w:cs="Arial"/>
          <w:b/>
          <w:bCs/>
          <w:color w:val="000000"/>
          <w:sz w:val="24"/>
          <w:szCs w:val="24"/>
        </w:rPr>
        <w:tab/>
      </w:r>
      <w:r>
        <w:rPr>
          <w:rFonts w:ascii="Arial" w:hAnsi="Arial" w:cs="Arial"/>
          <w:bCs/>
          <w:color w:val="000000"/>
          <w:sz w:val="24"/>
          <w:szCs w:val="24"/>
        </w:rPr>
        <w:t xml:space="preserve">                                                      </w:t>
      </w:r>
    </w:p>
    <w:p>
      <w:pPr>
        <w:keepNext/>
        <w:jc w:val="center"/>
        <w:outlineLvl w:val="0"/>
        <w:rPr>
          <w:rFonts w:ascii="Arial" w:hAnsi="Arial" w:cs="Arial"/>
          <w:b/>
          <w:bCs/>
          <w:color w:val="000000"/>
          <w:sz w:val="24"/>
          <w:szCs w:val="24"/>
        </w:rPr>
      </w:pPr>
    </w:p>
    <w:p>
      <w:pPr>
        <w:jc w:val="center"/>
        <w:rPr>
          <w:rFonts w:ascii="Arial" w:hAnsi="Arial" w:cs="Arial"/>
          <w:b/>
          <w:bCs/>
          <w:color w:val="000000"/>
          <w:sz w:val="24"/>
          <w:szCs w:val="24"/>
        </w:rPr>
      </w:pPr>
      <w:r>
        <w:rPr>
          <w:rFonts w:ascii="Arial" w:hAnsi="Arial" w:cs="Arial"/>
          <w:b/>
          <w:bCs/>
          <w:color w:val="000000"/>
          <w:sz w:val="24"/>
          <w:szCs w:val="24"/>
        </w:rPr>
        <w:t>TENDERSKU DOKUMENTACIJU</w:t>
      </w:r>
    </w:p>
    <w:p>
      <w:pPr>
        <w:jc w:val="center"/>
        <w:rPr>
          <w:rFonts w:ascii="Arial" w:hAnsi="Arial" w:cs="Arial"/>
          <w:b/>
          <w:bCs/>
          <w:color w:val="000000"/>
          <w:sz w:val="24"/>
          <w:szCs w:val="24"/>
        </w:rPr>
      </w:pPr>
      <w:r>
        <w:rPr>
          <w:rFonts w:ascii="Arial" w:hAnsi="Arial" w:cs="Arial"/>
          <w:b/>
          <w:bCs/>
          <w:color w:val="000000"/>
          <w:sz w:val="24"/>
          <w:szCs w:val="24"/>
        </w:rPr>
        <w:t>ZA OTVORENI POSTUPAK JAVNE NABAVKE</w:t>
      </w:r>
    </w:p>
    <w:p>
      <w:pPr>
        <w:jc w:val="center"/>
        <w:rPr>
          <w:rFonts w:ascii="Arial" w:hAnsi="Arial" w:cs="Arial"/>
          <w:b/>
          <w:bCs/>
          <w:color w:val="000000"/>
          <w:sz w:val="24"/>
          <w:szCs w:val="24"/>
        </w:rPr>
      </w:pPr>
    </w:p>
    <w:p>
      <w:pPr>
        <w:jc w:val="center"/>
        <w:rPr>
          <w:rFonts w:hint="default" w:ascii="Arial" w:hAnsi="Arial" w:cs="Arial"/>
          <w:color w:val="000000"/>
          <w:sz w:val="24"/>
          <w:szCs w:val="24"/>
          <w:lang w:val="sr-Latn-ME"/>
        </w:rPr>
      </w:pPr>
      <w:r>
        <w:rPr>
          <w:rFonts w:hint="default" w:ascii="Arial" w:hAnsi="Arial" w:cs="Arial"/>
          <w:color w:val="000000"/>
          <w:sz w:val="24"/>
          <w:szCs w:val="24"/>
        </w:rPr>
        <w:t>Za nabavku</w:t>
      </w:r>
      <w:r>
        <w:rPr>
          <w:rFonts w:hint="default" w:ascii="Arial" w:hAnsi="Arial" w:cs="Arial"/>
          <w:color w:val="000000"/>
          <w:sz w:val="24"/>
          <w:szCs w:val="24"/>
          <w:lang w:val="sr-Latn-ME"/>
        </w:rPr>
        <w:t xml:space="preserve"> -</w:t>
      </w:r>
      <w:r>
        <w:rPr>
          <w:rFonts w:hint="default" w:ascii="Arial" w:hAnsi="Arial" w:cs="Arial"/>
          <w:color w:val="000000"/>
          <w:sz w:val="24"/>
          <w:szCs w:val="24"/>
        </w:rPr>
        <w:t xml:space="preserve"> </w:t>
      </w:r>
      <w:r>
        <w:rPr>
          <w:rFonts w:hint="default" w:ascii="Arial" w:hAnsi="Arial" w:cs="Arial"/>
          <w:color w:val="000000"/>
          <w:sz w:val="24"/>
          <w:szCs w:val="24"/>
          <w:lang w:val="sr-Latn-ME"/>
        </w:rPr>
        <w:t>razni radovi na površinskom sloju</w:t>
      </w:r>
    </w:p>
    <w:p>
      <w:pPr>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Predmet nabavke se nabavlja:</w:t>
      </w:r>
    </w:p>
    <w:p>
      <w:pPr>
        <w:jc w:val="both"/>
        <w:rPr>
          <w:rFonts w:ascii="Arial" w:hAnsi="Arial" w:cs="Arial"/>
          <w:color w:val="000000"/>
          <w:sz w:val="24"/>
          <w:szCs w:val="24"/>
        </w:rPr>
      </w:pPr>
    </w:p>
    <w:p>
      <w:pPr>
        <w:jc w:val="both"/>
        <w:rPr>
          <w:rFonts w:hint="default" w:ascii="Arial" w:hAnsi="Arial" w:cs="Arial"/>
          <w:color w:val="000000"/>
          <w:sz w:val="24"/>
          <w:szCs w:val="24"/>
          <w:lang w:val="sr-Latn-ME"/>
        </w:rPr>
      </w:pPr>
      <w:r>
        <w:rPr>
          <w:rFonts w:ascii="Arial" w:hAnsi="Arial" w:cs="Arial"/>
          <w:color w:val="000000"/>
          <w:sz w:val="24"/>
          <w:szCs w:val="24"/>
        </w:rPr>
        <w:sym w:font="Wingdings" w:char="00A8"/>
      </w:r>
      <w:r>
        <w:rPr>
          <w:rFonts w:ascii="Arial" w:hAnsi="Arial" w:cs="Arial"/>
          <w:color w:val="000000"/>
          <w:sz w:val="24"/>
          <w:szCs w:val="24"/>
        </w:rPr>
        <w:t xml:space="preserve"> </w:t>
      </w:r>
      <w:r>
        <w:rPr>
          <w:rFonts w:hint="default" w:ascii="Arial" w:hAnsi="Arial" w:cs="Arial"/>
          <w:color w:val="000000"/>
          <w:sz w:val="24"/>
          <w:szCs w:val="24"/>
          <w:lang w:val="sr-Latn-ME"/>
        </w:rPr>
        <w:t>kao cjelina</w:t>
      </w: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0" w:name="_Toc62730553"/>
      <w:r>
        <w:rPr>
          <w:rFonts w:ascii="Arial" w:hAnsi="Arial" w:cs="Arial"/>
          <w:b/>
          <w:color w:val="000000"/>
          <w:sz w:val="24"/>
          <w:szCs w:val="24"/>
        </w:rPr>
        <w:t>POZIV ZA NADMETANJE</w:t>
      </w:r>
      <w:r>
        <w:rPr>
          <w:rFonts w:ascii="Arial" w:hAnsi="Arial" w:cs="Arial"/>
          <w:b/>
          <w:color w:val="000000"/>
          <w:sz w:val="24"/>
          <w:szCs w:val="24"/>
          <w:vertAlign w:val="superscript"/>
        </w:rPr>
        <w:footnoteReference w:id="0"/>
      </w:r>
      <w:bookmarkEnd w:id="0"/>
      <w:r>
        <w:rPr>
          <w:rFonts w:ascii="Arial" w:hAnsi="Arial" w:cs="Arial"/>
          <w:b/>
          <w:color w:val="000000"/>
          <w:sz w:val="24"/>
          <w:szCs w:val="24"/>
        </w:rPr>
        <w:t xml:space="preserve"> </w:t>
      </w:r>
    </w:p>
    <w:p>
      <w:pPr>
        <w:rPr>
          <w:rFonts w:ascii="Arial" w:hAnsi="Arial" w:cs="Arial"/>
          <w:b/>
          <w:bCs/>
          <w:color w:val="000000"/>
          <w:sz w:val="24"/>
          <w:szCs w:val="24"/>
        </w:rPr>
      </w:pPr>
      <w:r>
        <w:rPr>
          <w:rFonts w:ascii="Arial" w:hAnsi="Arial" w:cs="Arial"/>
          <w:b/>
          <w:bCs/>
          <w:color w:val="000000"/>
          <w:sz w:val="24"/>
          <w:szCs w:val="24"/>
        </w:rPr>
        <w:tab/>
      </w:r>
    </w:p>
    <w:p>
      <w:pPr>
        <w:ind w:left="360"/>
        <w:jc w:val="center"/>
        <w:rPr>
          <w:rFonts w:ascii="Arial" w:hAnsi="Arial" w:cs="Arial"/>
          <w:b/>
          <w:bCs/>
          <w:color w:val="000000"/>
          <w:sz w:val="24"/>
          <w:szCs w:val="24"/>
        </w:rPr>
      </w:pPr>
    </w:p>
    <w:p>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Podaci o naručiocu;</w:t>
      </w:r>
    </w:p>
    <w:p>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Podaci o postupku i predmetu javne nabavke: </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Vrsta postupka,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Predmet javne nabavke (vrsta predmeta, naziv i opis predmeta),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Procijenjena vrijednost predmeta nabavke</w:t>
      </w:r>
      <w:r>
        <w:rPr>
          <w:rFonts w:ascii="Arial" w:hAnsi="Arial" w:eastAsia="Calibri" w:cs="Arial"/>
          <w:color w:val="000000"/>
          <w:sz w:val="24"/>
          <w:szCs w:val="24"/>
          <w:vertAlign w:val="superscript"/>
        </w:rPr>
        <w:footnoteReference w:id="1"/>
      </w:r>
      <w:r>
        <w:rPr>
          <w:rFonts w:ascii="Arial" w:hAnsi="Arial" w:eastAsia="Calibri" w:cs="Arial"/>
          <w:color w:val="000000"/>
          <w:sz w:val="24"/>
          <w:szCs w:val="24"/>
        </w:rPr>
        <w:t>,</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Način nabavke: </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Cjelina, po partijama,</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Zajednička nabavka,</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Centralizovana nabavka,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Posebni oblik nabavke:</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Okvirni sporazum,</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Dinamički sistem nabavki,</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Elektronska aukcija,</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Elektronski katalog,</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Kriterijum za izbor najpovoljnije ponude,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Način, mjesto i vrijeme podnošenja ponuda i otvaranja ponuda,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za donošenje odluke o izboru,</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važenja ponude,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Garancija ponude</w:t>
      </w:r>
    </w:p>
    <w:p>
      <w:pPr>
        <w:rPr>
          <w:rFonts w:ascii="Arial" w:hAnsi="Arial" w:eastAsia="Calibri" w:cs="Arial"/>
          <w:color w:val="000000"/>
          <w:sz w:val="24"/>
          <w:szCs w:val="24"/>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1" w:name="_Toc62730554"/>
      <w:r>
        <w:rPr>
          <w:rFonts w:ascii="Arial" w:hAnsi="Arial" w:cs="Arial"/>
          <w:b/>
          <w:color w:val="000000"/>
          <w:sz w:val="24"/>
          <w:szCs w:val="24"/>
        </w:rPr>
        <w:t>TEHNIČKA SPECIFIKACIJA PREDMETA JAVNE NABAVKE</w:t>
      </w:r>
      <w:r>
        <w:rPr>
          <w:rFonts w:ascii="Arial" w:hAnsi="Arial" w:cs="Arial"/>
          <w:b/>
          <w:color w:val="000000"/>
          <w:sz w:val="24"/>
          <w:szCs w:val="24"/>
          <w:vertAlign w:val="superscript"/>
        </w:rPr>
        <w:footnoteReference w:id="2"/>
      </w:r>
      <w:bookmarkEnd w:id="1"/>
    </w:p>
    <w:p>
      <w:pPr>
        <w:rPr>
          <w:rFonts w:ascii="Arial" w:hAnsi="Arial" w:eastAsia="Calibri" w:cs="Arial"/>
          <w:color w:val="000000"/>
          <w:sz w:val="24"/>
          <w:szCs w:val="24"/>
        </w:rPr>
      </w:pPr>
    </w:p>
    <w:p>
      <w:pPr>
        <w:numPr>
          <w:ilvl w:val="0"/>
          <w:numId w:val="5"/>
        </w:numPr>
        <w:spacing w:after="160" w:line="259" w:lineRule="auto"/>
        <w:contextualSpacing/>
        <w:jc w:val="both"/>
        <w:rPr>
          <w:rFonts w:ascii="Arial" w:hAnsi="Arial" w:eastAsia="Calibri" w:cs="Arial"/>
          <w:color w:val="000000"/>
          <w:sz w:val="24"/>
          <w:szCs w:val="24"/>
        </w:rPr>
      </w:pPr>
      <w:r>
        <w:rPr>
          <w:rFonts w:ascii="Arial" w:hAnsi="Arial" w:eastAsia="Calibri" w:cs="Arial"/>
          <w:color w:val="000000"/>
          <w:sz w:val="24"/>
          <w:szCs w:val="24"/>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sz w:val="24"/>
          <w:szCs w:val="24"/>
        </w:rPr>
      </w:pPr>
      <w:r>
        <w:rPr>
          <w:rFonts w:ascii="Arial" w:hAnsi="Arial" w:eastAsia="Calibri" w:cs="Arial"/>
          <w:color w:val="000000"/>
          <w:sz w:val="24"/>
          <w:szCs w:val="24"/>
        </w:rPr>
        <w:t>Zahtjevi u pogledu načina izvršavanja predmeta nabavke koji su od značaja za sačinjavanje ponude i izvršenje ugovora</w:t>
      </w:r>
    </w:p>
    <w:p>
      <w:pPr>
        <w:rPr>
          <w:rFonts w:ascii="Arial" w:hAnsi="Arial" w:eastAsia="Calibri"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 w:val="24"/>
          <w:szCs w:val="24"/>
        </w:rPr>
      </w:pPr>
      <w:bookmarkStart w:id="2" w:name="_Toc62730555"/>
      <w:r>
        <w:rPr>
          <w:rFonts w:ascii="Arial" w:hAnsi="Arial" w:cs="Arial"/>
          <w:b/>
          <w:color w:val="000000"/>
          <w:sz w:val="24"/>
          <w:szCs w:val="24"/>
        </w:rPr>
        <w:t>DODATNE INFORMACIJE O PREDMETU I POSTUPKU NABAVKE</w:t>
      </w:r>
      <w:r>
        <w:rPr>
          <w:rFonts w:ascii="Arial" w:hAnsi="Arial" w:cs="Arial"/>
          <w:b/>
          <w:color w:val="000000"/>
          <w:sz w:val="24"/>
          <w:szCs w:val="24"/>
          <w:vertAlign w:val="superscript"/>
        </w:rPr>
        <w:footnoteReference w:id="3"/>
      </w:r>
      <w:bookmarkEnd w:id="2"/>
    </w:p>
    <w:p>
      <w:pPr>
        <w:jc w:val="both"/>
        <w:rPr>
          <w:rFonts w:ascii="Arial" w:hAnsi="Arial" w:cs="Arial"/>
          <w:b/>
          <w:bCs/>
          <w:color w:val="000000"/>
          <w:sz w:val="24"/>
          <w:szCs w:val="24"/>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4"/>
          <w:szCs w:val="24"/>
        </w:rPr>
      </w:pPr>
      <w:r>
        <w:rPr>
          <w:rFonts w:ascii="Arial" w:hAnsi="Arial" w:eastAsia="Calibri" w:cs="Arial"/>
          <w:b/>
          <w:bCs/>
          <w:color w:val="000000"/>
          <w:sz w:val="24"/>
          <w:szCs w:val="24"/>
        </w:rPr>
        <w:t>Procijenjena vrijednost predment</w:t>
      </w:r>
      <w:r>
        <w:rPr>
          <w:rFonts w:ascii="Arial" w:hAnsi="Arial" w:eastAsia="Calibri" w:cs="Arial"/>
          <w:b/>
          <w:bCs/>
          <w:color w:val="000000"/>
          <w:sz w:val="24"/>
          <w:szCs w:val="24"/>
          <w:lang w:val="sr-Latn-ME"/>
        </w:rPr>
        <w:t xml:space="preserve">e </w:t>
      </w:r>
      <w:r>
        <w:rPr>
          <w:rFonts w:ascii="Arial" w:hAnsi="Arial" w:eastAsia="Calibri" w:cs="Arial"/>
          <w:b/>
          <w:bCs/>
          <w:color w:val="000000"/>
          <w:sz w:val="24"/>
          <w:szCs w:val="24"/>
        </w:rPr>
        <w:t>nabavke:</w:t>
      </w:r>
      <w:r>
        <w:rPr>
          <w:rFonts w:ascii="Arial" w:hAnsi="Arial" w:eastAsia="Calibri" w:cs="Arial"/>
          <w:b/>
          <w:bCs/>
          <w:color w:val="000000"/>
          <w:sz w:val="24"/>
          <w:szCs w:val="24"/>
          <w:vertAlign w:val="superscript"/>
        </w:rPr>
        <w:footnoteReference w:id="4"/>
      </w:r>
    </w:p>
    <w:p>
      <w:pPr>
        <w:spacing w:after="160" w:line="259" w:lineRule="auto"/>
        <w:jc w:val="both"/>
        <w:rPr>
          <w:rFonts w:ascii="Arial" w:hAnsi="Arial" w:eastAsia="Calibri" w:cs="Arial"/>
          <w:color w:val="000000"/>
          <w:sz w:val="24"/>
          <w:szCs w:val="24"/>
        </w:rPr>
      </w:pPr>
    </w:p>
    <w:p>
      <w:pPr>
        <w:spacing w:after="160" w:line="259" w:lineRule="auto"/>
        <w:jc w:val="both"/>
        <w:rPr>
          <w:rFonts w:hint="default" w:ascii="Arial" w:hAnsi="Arial" w:cs="Arial"/>
          <w:color w:val="000000"/>
          <w:sz w:val="22"/>
          <w:szCs w:val="22"/>
          <w:lang w:val="en-US"/>
        </w:rPr>
      </w:pPr>
      <w:r>
        <w:rPr>
          <w:rFonts w:ascii="Arial" w:hAnsi="Arial" w:eastAsia="Calibri" w:cs="Arial"/>
          <w:color w:val="000000"/>
          <w:sz w:val="24"/>
          <w:szCs w:val="24"/>
        </w:rPr>
        <w:sym w:font="Wingdings" w:char="F0A8"/>
      </w:r>
      <w:r>
        <w:rPr>
          <w:rFonts w:ascii="Arial" w:hAnsi="Arial" w:eastAsia="Calibri" w:cs="Arial"/>
          <w:color w:val="000000"/>
          <w:sz w:val="24"/>
          <w:szCs w:val="24"/>
        </w:rPr>
        <w:t xml:space="preserve"> </w:t>
      </w:r>
      <w:r>
        <w:rPr>
          <w:rFonts w:ascii="Arial" w:hAnsi="Arial" w:eastAsia="Calibri" w:cs="Arial"/>
          <w:b/>
          <w:bCs/>
          <w:color w:val="000000"/>
          <w:sz w:val="24"/>
          <w:szCs w:val="24"/>
        </w:rPr>
        <w:t>Procijenjena vrijednost predmeta nabavke bez zaključivanja okvirnog sporazuma</w:t>
      </w:r>
      <w:r>
        <w:rPr>
          <w:rFonts w:ascii="Arial" w:hAnsi="Arial" w:eastAsia="Calibri" w:cs="Arial"/>
          <w:color w:val="000000"/>
          <w:sz w:val="24"/>
          <w:szCs w:val="24"/>
        </w:rPr>
        <w:t>:</w:t>
      </w:r>
      <w:r>
        <w:rPr>
          <w:rFonts w:hint="default" w:ascii="Arial" w:hAnsi="Arial" w:cs="Arial"/>
          <w:b w:val="0"/>
          <w:bCs w:val="0"/>
          <w:color w:val="000000"/>
          <w:sz w:val="24"/>
          <w:szCs w:val="24"/>
          <w:lang w:val="sr-Latn-ME"/>
        </w:rPr>
        <w:t xml:space="preserve"> 30.000,00 eura bez PDV-a</w:t>
      </w:r>
    </w:p>
    <w:p>
      <w:pPr>
        <w:jc w:val="both"/>
        <w:rPr>
          <w:rFonts w:hint="default" w:ascii="Arial" w:hAnsi="Arial" w:cs="Arial"/>
          <w:color w:val="000000"/>
          <w:sz w:val="24"/>
          <w:szCs w:val="24"/>
          <w:lang w:val="sr-Latn-ME"/>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sz w:val="24"/>
          <w:szCs w:val="24"/>
        </w:rPr>
      </w:pPr>
      <w:r>
        <w:rPr>
          <w:rFonts w:ascii="Arial" w:hAnsi="Arial" w:cs="Arial"/>
          <w:b/>
          <w:color w:val="000000"/>
          <w:sz w:val="24"/>
          <w:szCs w:val="24"/>
        </w:rPr>
        <w:t>ZAKLJUČIVANJE OKVIRNOG SPORAZUMA</w:t>
      </w:r>
      <w:r>
        <w:rPr>
          <w:rFonts w:ascii="Arial" w:hAnsi="Arial" w:cs="Arial"/>
          <w:b/>
          <w:color w:val="000000"/>
          <w:sz w:val="24"/>
          <w:szCs w:val="24"/>
          <w:vertAlign w:val="superscript"/>
        </w:rPr>
        <w:footnoteReference w:id="5"/>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sz w:val="24"/>
          <w:szCs w:val="24"/>
        </w:rPr>
      </w:pPr>
      <w:r>
        <w:rPr>
          <w:rFonts w:ascii="Arial" w:hAnsi="Arial" w:cs="Arial"/>
          <w:color w:val="000000"/>
          <w:sz w:val="24"/>
          <w:szCs w:val="24"/>
        </w:rPr>
        <w:t>Zaključiće se okvirni sporazum:</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ZAKLJUČUJU ZAJEDNIČKU NABAVKU</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t xml:space="preserve">Zajednička nabavka se sprovodi za; </w:t>
      </w:r>
      <w:r>
        <w:rPr>
          <w:rFonts w:ascii="Arial" w:hAnsi="Arial" w:cs="Arial"/>
          <w:b/>
          <w:color w:val="000000"/>
          <w:sz w:val="24"/>
          <w:szCs w:val="24"/>
          <w:u w:val="single"/>
        </w:rPr>
        <w:t>Nije primjenivo.</w:t>
      </w:r>
    </w:p>
    <w:p>
      <w:pPr>
        <w:jc w:val="both"/>
        <w:rPr>
          <w:rFonts w:ascii="Arial" w:hAnsi="Arial" w:cs="Arial"/>
          <w:color w:val="000000"/>
          <w:sz w:val="24"/>
          <w:szCs w:val="24"/>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SU UKLJUČENI U CENTRALIZOVANU NABAVKU</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Centralizovana nabavka se sprovodi za</w:t>
      </w:r>
      <w:r>
        <w:rPr>
          <w:rFonts w:ascii="Arial" w:hAnsi="Arial" w:cs="Arial"/>
          <w:b/>
          <w:color w:val="000000"/>
          <w:sz w:val="24"/>
          <w:szCs w:val="24"/>
          <w:u w:val="single"/>
        </w:rPr>
        <w:t xml:space="preserve"> Nije primjenivo.</w:t>
      </w:r>
    </w:p>
    <w:p>
      <w:pPr>
        <w:jc w:val="both"/>
        <w:rPr>
          <w:rFonts w:ascii="Arial" w:hAnsi="Arial" w:cs="Arial"/>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NAČIN SPROVOĐENJA ELEKTRONSKE AUKCIJE</w:t>
      </w:r>
    </w:p>
    <w:p>
      <w:pPr>
        <w:jc w:val="both"/>
        <w:rPr>
          <w:rFonts w:ascii="Arial" w:hAnsi="Arial" w:cs="Arial"/>
          <w:sz w:val="24"/>
          <w:szCs w:val="24"/>
        </w:rPr>
      </w:pPr>
    </w:p>
    <w:p>
      <w:pPr>
        <w:jc w:val="both"/>
        <w:rPr>
          <w:rFonts w:ascii="Arial" w:hAnsi="Arial" w:cs="Arial"/>
          <w:color w:val="222A35"/>
          <w:sz w:val="24"/>
          <w:szCs w:val="24"/>
        </w:rPr>
      </w:pPr>
      <w:r>
        <w:rPr>
          <w:rFonts w:ascii="Arial" w:hAnsi="Arial" w:cs="Arial"/>
          <w:color w:val="222A35"/>
          <w:sz w:val="24"/>
          <w:szCs w:val="24"/>
        </w:rPr>
        <w:t>Elektronska aukcija će se sprovesti nakon ocjene ponuda, kao elektronski proces koji se ponavlja, radi postizanja nove (</w:t>
      </w:r>
      <w:r>
        <w:rPr>
          <w:rFonts w:ascii="Arial" w:hAnsi="Arial" w:cs="Arial"/>
          <w:sz w:val="24"/>
          <w:szCs w:val="24"/>
          <w:u w:val="single"/>
        </w:rPr>
        <w:t>upisati kriterijum za koji se sprovodi elektronska aukcija)</w:t>
      </w:r>
      <w:r>
        <w:rPr>
          <w:rFonts w:ascii="Arial" w:hAnsi="Arial" w:cs="Arial"/>
          <w:color w:val="222A35"/>
          <w:sz w:val="24"/>
          <w:szCs w:val="24"/>
        </w:rPr>
        <w:t>.</w:t>
      </w:r>
    </w:p>
    <w:p>
      <w:pPr>
        <w:jc w:val="both"/>
        <w:rPr>
          <w:rFonts w:ascii="Arial" w:hAnsi="Arial" w:cs="Arial"/>
          <w:color w:val="222A35"/>
          <w:sz w:val="24"/>
          <w:szCs w:val="24"/>
        </w:rPr>
      </w:pPr>
    </w:p>
    <w:p>
      <w:pPr>
        <w:jc w:val="both"/>
        <w:rPr>
          <w:rFonts w:ascii="Arial" w:hAnsi="Arial" w:cs="Arial"/>
          <w:color w:val="222A35"/>
          <w:sz w:val="24"/>
          <w:szCs w:val="24"/>
        </w:rPr>
      </w:pPr>
      <w:r>
        <w:rPr>
          <w:rFonts w:ascii="Arial" w:hAnsi="Arial" w:cs="Arial"/>
          <w:color w:val="222A35"/>
          <w:sz w:val="24"/>
          <w:szCs w:val="24"/>
        </w:rPr>
        <w:t xml:space="preserve"> </w:t>
      </w:r>
      <w:r>
        <w:rPr>
          <w:rFonts w:ascii="Arial" w:hAnsi="Arial" w:cs="Arial"/>
          <w:b/>
          <w:color w:val="000000"/>
          <w:sz w:val="24"/>
          <w:szCs w:val="24"/>
          <w:u w:val="single"/>
        </w:rPr>
        <w:t>Nije primjenivo.</w:t>
      </w:r>
    </w:p>
    <w:p>
      <w:pPr>
        <w:jc w:val="both"/>
        <w:rPr>
          <w:rFonts w:ascii="Arial" w:hAnsi="Arial" w:cs="Arial"/>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ELEKTRONSKI KATALOG</w:t>
      </w:r>
      <w:r>
        <w:rPr>
          <w:rFonts w:ascii="Arial" w:hAnsi="Arial" w:cs="Arial"/>
          <w:b/>
          <w:color w:val="FF0000"/>
          <w:sz w:val="24"/>
          <w:szCs w:val="24"/>
        </w:rPr>
        <w:t xml:space="preserve"> </w:t>
      </w:r>
    </w:p>
    <w:p>
      <w:pPr>
        <w:jc w:val="both"/>
        <w:rPr>
          <w:rFonts w:ascii="Arial" w:hAnsi="Arial" w:cs="Arial"/>
          <w:color w:val="FF0000"/>
          <w:sz w:val="24"/>
          <w:szCs w:val="24"/>
        </w:rPr>
      </w:pPr>
    </w:p>
    <w:p>
      <w:pPr>
        <w:jc w:val="both"/>
        <w:rPr>
          <w:rFonts w:ascii="Arial" w:hAnsi="Arial" w:cs="Arial"/>
          <w:color w:val="222A35"/>
          <w:sz w:val="24"/>
          <w:szCs w:val="24"/>
        </w:rPr>
      </w:pPr>
      <w:r>
        <w:rPr>
          <w:rFonts w:ascii="Arial" w:hAnsi="Arial" w:cs="Arial"/>
          <w:color w:val="222A35"/>
          <w:sz w:val="24"/>
          <w:szCs w:val="24"/>
        </w:rPr>
        <w:t xml:space="preserve">Elektronski katalog sastavlja ponuđač u skladu s tehničkim specifikacijama i u formi </w:t>
      </w:r>
    </w:p>
    <w:p>
      <w:pPr>
        <w:jc w:val="both"/>
        <w:rPr>
          <w:rFonts w:ascii="Arial" w:hAnsi="Arial" w:cs="Arial"/>
          <w:color w:val="222A35"/>
          <w:sz w:val="24"/>
          <w:szCs w:val="24"/>
        </w:rPr>
      </w:pPr>
    </w:p>
    <w:p>
      <w:pPr>
        <w:jc w:val="both"/>
        <w:rPr>
          <w:rFonts w:ascii="Arial" w:hAnsi="Arial" w:cs="Arial"/>
          <w:color w:val="222A35"/>
          <w:sz w:val="24"/>
          <w:szCs w:val="24"/>
        </w:rPr>
      </w:pPr>
      <w:r>
        <w:rPr>
          <w:rFonts w:ascii="Arial" w:hAnsi="Arial" w:cs="Arial"/>
          <w:b/>
          <w:color w:val="000000"/>
          <w:sz w:val="24"/>
          <w:szCs w:val="24"/>
          <w:u w:val="single"/>
        </w:rPr>
        <w:t>Nije primjenivo.</w:t>
      </w:r>
    </w:p>
    <w:p>
      <w:pPr>
        <w:jc w:val="both"/>
        <w:rPr>
          <w:rFonts w:ascii="Arial" w:hAnsi="Arial" w:cs="Arial"/>
          <w:color w:val="222A35"/>
          <w:sz w:val="24"/>
          <w:szCs w:val="24"/>
        </w:rPr>
      </w:pPr>
    </w:p>
    <w:p>
      <w:pPr>
        <w:jc w:val="both"/>
        <w:rPr>
          <w:rFonts w:ascii="Arial" w:hAnsi="Arial" w:cs="Arial"/>
          <w:color w:val="000000"/>
          <w:sz w:val="24"/>
          <w:szCs w:val="24"/>
        </w:rPr>
      </w:pPr>
    </w:p>
    <w:p>
      <w:pPr>
        <w:jc w:val="both"/>
        <w:rPr>
          <w:rFonts w:ascii="Arial" w:hAnsi="Arial" w:cs="Arial"/>
          <w:b/>
          <w:bCs/>
          <w:color w:val="FF0000"/>
          <w:sz w:val="24"/>
          <w:szCs w:val="24"/>
        </w:rPr>
      </w:pPr>
    </w:p>
    <w:p>
      <w:pPr>
        <w:jc w:val="both"/>
        <w:rPr>
          <w:rFonts w:ascii="Arial" w:hAnsi="Arial" w:cs="Arial"/>
          <w:b/>
          <w:bCs/>
          <w:color w:val="FF0000"/>
          <w:sz w:val="24"/>
          <w:szCs w:val="24"/>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sz w:val="24"/>
          <w:szCs w:val="24"/>
        </w:rPr>
      </w:pPr>
      <w:r>
        <w:rPr>
          <w:rFonts w:ascii="Arial" w:hAnsi="Arial" w:cs="Arial"/>
          <w:b/>
          <w:sz w:val="24"/>
          <w:szCs w:val="24"/>
        </w:rPr>
        <w:t>REZERVISANA NABAVKA</w:t>
      </w:r>
    </w:p>
    <w:p>
      <w:pPr>
        <w:jc w:val="both"/>
        <w:rPr>
          <w:rFonts w:ascii="Arial" w:hAnsi="Arial" w:cs="Arial"/>
          <w:b/>
          <w:bCs/>
          <w:color w:val="FF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jc w:val="both"/>
        <w:rPr>
          <w:rFonts w:ascii="Arial" w:hAnsi="Arial" w:cs="Arial"/>
          <w:b/>
          <w:bCs/>
          <w:color w:val="FF0000"/>
          <w:sz w:val="24"/>
          <w:szCs w:val="24"/>
        </w:rPr>
      </w:pPr>
    </w:p>
    <w:p>
      <w:pPr>
        <w:jc w:val="both"/>
        <w:rPr>
          <w:rFonts w:ascii="Arial" w:hAnsi="Arial" w:cs="Arial"/>
          <w:b/>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sz w:val="24"/>
          <w:szCs w:val="24"/>
        </w:rPr>
      </w:pPr>
      <w:bookmarkStart w:id="3" w:name="_Toc62730556"/>
      <w:r>
        <w:rPr>
          <w:rFonts w:ascii="Arial" w:hAnsi="Arial" w:cs="Arial"/>
          <w:b/>
          <w:sz w:val="24"/>
          <w:szCs w:val="24"/>
        </w:rPr>
        <w:t>NAČIN UTVRĐIVANJA EKVIVALENTNOSTI</w:t>
      </w:r>
      <w:bookmarkEnd w:id="3"/>
    </w:p>
    <w:p>
      <w:pPr>
        <w:jc w:val="both"/>
        <w:rPr>
          <w:rFonts w:ascii="Arial" w:hAnsi="Arial" w:cs="Arial"/>
          <w:bCs/>
          <w:color w:val="FF0000"/>
          <w:sz w:val="24"/>
          <w:szCs w:val="24"/>
        </w:rPr>
      </w:pPr>
    </w:p>
    <w:p>
      <w:pPr>
        <w:jc w:val="both"/>
        <w:rPr>
          <w:rFonts w:ascii="Arial" w:hAnsi="Arial" w:cs="Arial"/>
          <w:bCs/>
          <w:color w:val="000000"/>
          <w:sz w:val="24"/>
          <w:szCs w:val="24"/>
        </w:rPr>
      </w:pPr>
      <w:r>
        <w:rPr>
          <w:rFonts w:ascii="Arial" w:hAnsi="Arial" w:cs="Arial"/>
          <w:bCs/>
          <w:color w:val="000000"/>
          <w:sz w:val="24"/>
          <w:szCs w:val="24"/>
        </w:rPr>
        <w:t xml:space="preserve">Način utvrđivanja ekvivalentnosti: </w:t>
      </w:r>
      <w:r>
        <w:rPr>
          <w:rFonts w:ascii="Arial" w:hAnsi="Arial" w:cs="Arial"/>
          <w:b/>
          <w:color w:val="000000"/>
          <w:sz w:val="24"/>
          <w:szCs w:val="24"/>
          <w:u w:val="single"/>
        </w:rPr>
        <w:t>Nije primjenivo.</w:t>
      </w:r>
    </w:p>
    <w:p>
      <w:pPr>
        <w:jc w:val="both"/>
        <w:rPr>
          <w:rFonts w:ascii="Arial" w:hAnsi="Arial" w:cs="Arial"/>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 w:val="24"/>
          <w:szCs w:val="24"/>
        </w:rPr>
      </w:pPr>
      <w:bookmarkStart w:id="4" w:name="_Toc62730557"/>
      <w:r>
        <w:rPr>
          <w:rFonts w:ascii="Arial" w:hAnsi="Arial" w:cs="Arial"/>
          <w:b/>
          <w:sz w:val="24"/>
          <w:szCs w:val="24"/>
        </w:rPr>
        <w:t>OSNOVI ZA OBAVEZNO ISKLJUČENJE IZ POSTUPKA JAVNE NABAVKE</w:t>
      </w:r>
      <w:bookmarkEnd w:id="4"/>
    </w:p>
    <w:p>
      <w:pPr>
        <w:jc w:val="both"/>
        <w:rPr>
          <w:rFonts w:ascii="Arial" w:hAnsi="Arial" w:cs="Arial"/>
          <w:sz w:val="24"/>
          <w:szCs w:val="24"/>
        </w:rPr>
      </w:pPr>
    </w:p>
    <w:p>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pPr>
        <w:numPr>
          <w:ilvl w:val="0"/>
          <w:numId w:val="6"/>
        </w:numPr>
        <w:rPr>
          <w:rFonts w:ascii="Arial" w:hAnsi="Arial" w:cs="Arial"/>
          <w:lang w:val="sr-Latn-ME"/>
        </w:rPr>
      </w:pPr>
      <w:r>
        <w:rPr>
          <w:rFonts w:ascii="Arial" w:hAnsi="Arial" w:cs="Arial"/>
          <w:lang w:val="sr-Latn-ME"/>
        </w:rPr>
        <w:t>ne ispunjava uslov iz člana 99 ovog zakona;</w:t>
      </w:r>
    </w:p>
    <w:p>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pPr>
        <w:numPr>
          <w:ilvl w:val="0"/>
          <w:numId w:val="6"/>
        </w:numPr>
        <w:rPr>
          <w:rFonts w:ascii="Arial" w:hAnsi="Arial" w:cs="Arial"/>
          <w:lang w:val="sr-Latn-ME"/>
        </w:rPr>
      </w:pPr>
      <w:r>
        <w:rPr>
          <w:rFonts w:ascii="Arial" w:hAnsi="Arial" w:cs="Arial"/>
          <w:lang w:val="sr-Latn-ME"/>
        </w:rPr>
        <w:t>postoji drugi razlog propisan ovim zakonom.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 w:val="24"/>
          <w:szCs w:val="24"/>
        </w:rPr>
      </w:pPr>
      <w:r>
        <w:rPr>
          <w:rFonts w:ascii="Arial" w:hAnsi="Arial" w:cs="Arial"/>
          <w:b/>
          <w:sz w:val="24"/>
          <w:szCs w:val="24"/>
        </w:rPr>
        <w:t>SREDSTVA FINANSIJSKOG OBEZBJEĐENJA UGOVORA O JAVNOJ NABAVCI</w:t>
      </w:r>
      <w:bookmarkEnd w:id="5"/>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t>Ponuđač čija ponuda bude izabrana kao najpovoljnija je dužan da uz potpisan ugovor o javnoj nabavci dostavi naručiocu:</w:t>
      </w:r>
    </w:p>
    <w:p>
      <w:pPr>
        <w:jc w:val="both"/>
        <w:rPr>
          <w:rFonts w:ascii="Arial" w:hAnsi="Arial" w:cs="Arial"/>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w:t>
      </w:r>
      <w:r>
        <w:rPr>
          <w:rFonts w:ascii="Arial" w:hAnsi="Arial" w:cs="Arial"/>
          <w:sz w:val="24"/>
          <w:szCs w:val="24"/>
        </w:rPr>
        <w:t>garanciju za dobro izvršenje ugovora ako su potpisnici dužni da ga izvršavaju</w:t>
      </w:r>
      <w:r>
        <w:rPr>
          <w:rFonts w:ascii="Arial" w:hAnsi="Arial" w:cs="Arial"/>
          <w:sz w:val="24"/>
          <w:szCs w:val="24"/>
          <w:vertAlign w:val="superscript"/>
        </w:rPr>
        <w:footnoteReference w:id="6"/>
      </w:r>
      <w:r>
        <w:rPr>
          <w:rFonts w:ascii="Arial" w:hAnsi="Arial" w:cs="Arial"/>
          <w:sz w:val="24"/>
          <w:szCs w:val="24"/>
        </w:rPr>
        <w:t xml:space="preserve">, za slučaj povrede ugovorenih obaveza </w:t>
      </w:r>
      <w:r>
        <w:rPr>
          <w:rFonts w:ascii="Arial" w:hAnsi="Arial" w:cs="Arial"/>
          <w:color w:val="000000"/>
          <w:sz w:val="24"/>
          <w:szCs w:val="24"/>
        </w:rPr>
        <w:t>u iznosu od 10% od vrijednosti ugovora</w:t>
      </w:r>
      <w:r>
        <w:rPr>
          <w:rFonts w:ascii="Arial" w:hAnsi="Arial" w:cs="Arial"/>
          <w:sz w:val="24"/>
          <w:szCs w:val="24"/>
          <w:vertAlign w:val="superscript"/>
        </w:rPr>
        <w:footnoteReference w:id="7"/>
      </w:r>
      <w:r>
        <w:rPr>
          <w:rFonts w:ascii="Arial" w:hAnsi="Arial" w:cs="Arial"/>
          <w:sz w:val="24"/>
          <w:szCs w:val="24"/>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sz w:val="24"/>
          <w:szCs w:val="24"/>
        </w:rPr>
      </w:pPr>
      <w:bookmarkStart w:id="6" w:name="_Toc62730559"/>
      <w:r>
        <w:rPr>
          <w:rFonts w:ascii="Arial" w:hAnsi="Arial" w:cs="Arial"/>
          <w:b/>
          <w:sz w:val="24"/>
          <w:szCs w:val="24"/>
        </w:rPr>
        <w:t>METODOLOGIJA VREDNOVANJA PONUDA</w:t>
      </w:r>
      <w:bookmarkEnd w:id="6"/>
    </w:p>
    <w:p>
      <w:pPr>
        <w:rPr>
          <w:rFonts w:ascii="Arial" w:hAnsi="Arial" w:cs="Arial"/>
          <w:sz w:val="24"/>
          <w:szCs w:val="24"/>
        </w:rPr>
      </w:pPr>
    </w:p>
    <w:p>
      <w:pPr>
        <w:jc w:val="both"/>
        <w:rPr>
          <w:rFonts w:ascii="Arial" w:hAnsi="Arial" w:cs="Arial"/>
          <w:sz w:val="24"/>
          <w:szCs w:val="24"/>
        </w:rPr>
      </w:pPr>
      <w:bookmarkStart w:id="7" w:name="_Toc62730560"/>
      <w:r>
        <w:rPr>
          <w:rFonts w:ascii="Arial" w:hAnsi="Arial" w:cs="Arial"/>
          <w:sz w:val="24"/>
          <w:szCs w:val="24"/>
        </w:rPr>
        <w:t>Naručilac će u postupku javne nabavki izabrati ekonomski najpovoljniju ponudu, primjenom pristupa isplativosti, po osnovu kriterijuma</w:t>
      </w:r>
      <w:r>
        <w:rPr>
          <w:rFonts w:ascii="Arial" w:hAnsi="Arial" w:cs="Arial"/>
          <w:sz w:val="24"/>
          <w:szCs w:val="24"/>
          <w:vertAlign w:val="superscript"/>
        </w:rPr>
        <w:footnoteReference w:id="8"/>
      </w:r>
      <w:r>
        <w:rPr>
          <w:rFonts w:ascii="Arial" w:hAnsi="Arial" w:cs="Arial"/>
          <w:sz w:val="24"/>
          <w:szCs w:val="24"/>
        </w:rPr>
        <w:t xml:space="preserve">: </w:t>
      </w:r>
    </w:p>
    <w:p>
      <w:pPr>
        <w:rPr>
          <w:rFonts w:ascii="Arial" w:hAnsi="Arial" w:cs="Arial"/>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w:t>
      </w:r>
      <w:r>
        <w:rPr>
          <w:rFonts w:ascii="Arial" w:hAnsi="Arial" w:cs="Arial"/>
          <w:sz w:val="24"/>
          <w:szCs w:val="24"/>
        </w:rPr>
        <w:t xml:space="preserve">odnos cijene i kvaliteta </w:t>
      </w:r>
    </w:p>
    <w:p>
      <w:pPr>
        <w:rPr>
          <w:rFonts w:ascii="Arial" w:hAnsi="Arial" w:cs="Arial"/>
          <w:sz w:val="24"/>
          <w:szCs w:val="24"/>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1. Parametar: Cijena (C) ..................maksimalan broj bodova </w:t>
      </w:r>
      <w:r>
        <w:rPr>
          <w:rFonts w:hint="default" w:ascii="Arial" w:hAnsi="Arial" w:cs="Arial"/>
          <w:i/>
          <w:color w:val="000000"/>
          <w:lang w:val="sr-Latn-ME"/>
        </w:rPr>
        <w:t>9</w:t>
      </w:r>
      <w:r>
        <w:rPr>
          <w:rFonts w:ascii="Arial" w:hAnsi="Arial" w:cs="Arial"/>
          <w:i/>
          <w:color w:val="000000"/>
        </w:rPr>
        <w:t>0</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2. Parametar: Kvalitet (K) </w:t>
      </w:r>
      <w:r>
        <w:rPr>
          <w:rFonts w:ascii="Arial" w:hAnsi="Arial" w:cs="Arial"/>
          <w:i/>
          <w:color w:val="000000"/>
          <w:lang w:val="sr-Latn-ME"/>
        </w:rPr>
        <w:t xml:space="preserve"> </w:t>
      </w:r>
      <w:r>
        <w:rPr>
          <w:rFonts w:ascii="Arial" w:hAnsi="Arial" w:cs="Arial"/>
          <w:i/>
          <w:color w:val="000000"/>
        </w:rPr>
        <w:t xml:space="preserve">...............maksimalan broj bodova 10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1. Parametar cijena (C) vrednovaće se na sljedeći način: max </w:t>
      </w:r>
      <w:r>
        <w:rPr>
          <w:rFonts w:hint="default" w:ascii="Arial" w:hAnsi="Arial" w:cs="Arial"/>
          <w:i/>
          <w:color w:val="000000"/>
          <w:lang w:val="sr-Latn-ME"/>
        </w:rPr>
        <w:t>9</w:t>
      </w:r>
      <w:r>
        <w:rPr>
          <w:rFonts w:ascii="Arial" w:hAnsi="Arial" w:cs="Arial"/>
          <w:i/>
          <w:color w:val="000000"/>
        </w:rPr>
        <w:t xml:space="preserve">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Broj bodova(C)= (najniža ponuđena cijena bez PDV / ponuđena cijena bez PDV) ×</w:t>
      </w:r>
      <w:r>
        <w:rPr>
          <w:rFonts w:hint="default" w:ascii="Arial" w:hAnsi="Arial" w:cs="Arial"/>
          <w:i/>
          <w:color w:val="000000"/>
          <w:lang w:val="sr-Latn-ME"/>
        </w:rPr>
        <w:t>9</w:t>
      </w:r>
      <w:r>
        <w:rPr>
          <w:rFonts w:ascii="Arial" w:hAnsi="Arial" w:cs="Arial"/>
          <w:i/>
          <w:color w:val="000000"/>
        </w:rPr>
        <w:t xml:space="preserve">0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pPr>
        <w:pBdr>
          <w:top w:val="single" w:color="auto" w:sz="4" w:space="1"/>
          <w:left w:val="single" w:color="auto" w:sz="4" w:space="4"/>
          <w:bottom w:val="single" w:color="auto" w:sz="4" w:space="1"/>
          <w:right w:val="single" w:color="auto" w:sz="4" w:space="4"/>
        </w:pBdr>
        <w:jc w:val="both"/>
        <w:rPr>
          <w:rFonts w:hint="default" w:ascii="Arial" w:hAnsi="Arial" w:cs="Arial"/>
          <w:color w:val="000000"/>
          <w:lang w:val="sr-Latn-ME"/>
        </w:rPr>
      </w:pPr>
      <w:r>
        <w:rPr>
          <w:rFonts w:ascii="Arial" w:hAnsi="Arial" w:cs="Arial"/>
          <w:i/>
          <w:color w:val="000000"/>
          <w:lang w:val="fr-FR"/>
        </w:rPr>
        <w:t>2. Parametar kvalitet (K) vrednovaće se na sljedeći način: max 10 bodova za izbor najpovoljnije ponude primjenom parametra kvalitet, kao osnova za vrednovanje uzima se:</w:t>
      </w:r>
      <w:r>
        <w:rPr>
          <w:rFonts w:hint="default" w:ascii="Arial" w:hAnsi="Arial" w:cs="Arial"/>
          <w:i/>
          <w:color w:val="000000"/>
          <w:lang w:val="sr-Latn-ME"/>
        </w:rPr>
        <w:t xml:space="preserve"> </w:t>
      </w:r>
    </w:p>
    <w:p>
      <w:pPr>
        <w:pBdr>
          <w:top w:val="single" w:color="auto" w:sz="4" w:space="1"/>
          <w:left w:val="single" w:color="auto" w:sz="4" w:space="4"/>
          <w:bottom w:val="single" w:color="auto" w:sz="4" w:space="1"/>
          <w:right w:val="single" w:color="auto" w:sz="4" w:space="4"/>
        </w:pBdr>
        <w:jc w:val="both"/>
        <w:rPr>
          <w:rFonts w:hint="default" w:ascii="Arial" w:hAnsi="Arial" w:cs="Arial"/>
          <w:i/>
          <w:iCs/>
          <w:color w:val="auto"/>
          <w:sz w:val="24"/>
          <w:szCs w:val="24"/>
          <w:shd w:val="clear" w:color="auto" w:fill="auto"/>
          <w:lang w:val="fr-FR"/>
        </w:rPr>
      </w:pPr>
      <w:r>
        <w:rPr>
          <w:rFonts w:hint="default" w:ascii="Arial" w:hAnsi="Arial" w:eastAsia="sans-serif" w:cs="Arial"/>
          <w:i/>
          <w:iCs/>
          <w:caps w:val="0"/>
          <w:color w:val="auto"/>
          <w:spacing w:val="0"/>
          <w:sz w:val="24"/>
          <w:szCs w:val="24"/>
          <w:shd w:val="clear" w:color="auto" w:fill="auto"/>
        </w:rPr>
        <w:t>Podkriterijum kvalitet iskazuje se kroz: Kvalifikacije i iskustvo ovlašćenog inženjera koji će rukovoditi građenjem objekta u cjelini (10 bodova). Vrednovanje ponuda po osnovu parametra kvaliteta koji se odnose na kvalifikacije i iskustvo ovlašćenog inženjera koji će rukovoditi građenjem objekta u cjelini, vrši se na osnovu podataka o kvalifikacijama i iskustvu lica kojima će biti povjereno izvršenje ovog dijela predmeta nabavke. Ponuđač dokazuje parametar kvalitet na način što će dostaviti potvrdu nadležnog organa ili ovlašćene organizacije, odnosno pravnog lica (investitora, naručioca posla) kojom potvrđuje da ovlašćeni inženjer koji će rukovoditi građenjem objekta u cjelini ima predviđene kvalifikacije i iskustvo na rukovođenju na istim ili sličnim poslovima tokom prethodnih godina, ali ne duže od pet godina, računajući i godinu u kojoj je započet postupak javne nabavke, a koji su predvidjeni tenderskom dokumentacijom i koje sadrže opis i vrijednost predmeta nabavke, vrijeme realizacije ugovora i konstataciju da je ugovor blagovremeno i kvalitetno izvršen. Maksimalni broj bodova dobija ponuda ponuđača koji ima najveći broj potvrda kako je to definisano prethodnim stavom, a ostale ponude dobijaju proporcionalno broj bodova po formuli: Q=Nj / Nmax x 10, Gdje je: Q - Broj bodova, Nj - broj potvrda, Nmax - najveći broj potvrda. Napomena: Vrednovanje će se vršiti za ponuđeni parametar iznad predviđenih minimalnih zahtjeva stručne i tehničke osposobljenosti.</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JEZIK PONUDE</w:t>
      </w:r>
      <w:bookmarkEnd w:id="7"/>
    </w:p>
    <w:p>
      <w:pPr>
        <w:jc w:val="both"/>
        <w:rPr>
          <w:rFonts w:ascii="Arial" w:hAnsi="Arial" w:cs="Arial"/>
          <w:b/>
          <w:bCs/>
          <w:color w:val="000000"/>
          <w:sz w:val="24"/>
          <w:szCs w:val="24"/>
        </w:rPr>
      </w:pPr>
    </w:p>
    <w:p>
      <w:pPr>
        <w:jc w:val="both"/>
        <w:rPr>
          <w:rFonts w:ascii="Arial" w:hAnsi="Arial" w:cs="Arial"/>
          <w:color w:val="000000"/>
          <w:sz w:val="24"/>
          <w:szCs w:val="24"/>
        </w:rPr>
      </w:pPr>
      <w:r>
        <w:rPr>
          <w:rFonts w:ascii="Arial" w:hAnsi="Arial" w:cs="Arial"/>
          <w:color w:val="000000"/>
          <w:sz w:val="24"/>
          <w:szCs w:val="24"/>
        </w:rPr>
        <w:t>Ponuda se sačinjava na:</w:t>
      </w:r>
    </w:p>
    <w:p>
      <w:pPr>
        <w:jc w:val="both"/>
        <w:rPr>
          <w:rFonts w:ascii="Arial" w:hAnsi="Arial" w:cs="Arial"/>
          <w:b/>
          <w:bCs/>
          <w:color w:val="000000"/>
          <w:sz w:val="24"/>
          <w:szCs w:val="24"/>
        </w:rPr>
      </w:pPr>
    </w:p>
    <w:p>
      <w:pPr>
        <w:jc w:val="both"/>
        <w:rPr>
          <w:rFonts w:hint="default" w:ascii="Arial" w:hAnsi="Arial" w:cs="Arial"/>
          <w:color w:val="000000"/>
          <w:sz w:val="24"/>
          <w:szCs w:val="24"/>
        </w:rPr>
      </w:pPr>
      <w:r>
        <w:rPr>
          <w:rFonts w:hint="default" w:ascii="Arial" w:hAnsi="Arial" w:cs="Arial"/>
          <w:color w:val="000000"/>
          <w:sz w:val="24"/>
          <w:szCs w:val="24"/>
        </w:rPr>
        <w:sym w:font="Wingdings" w:char="F0A8"/>
      </w:r>
      <w:r>
        <w:rPr>
          <w:rFonts w:hint="default" w:ascii="Arial" w:hAnsi="Arial" w:cs="Arial"/>
          <w:color w:val="000000"/>
          <w:sz w:val="24"/>
          <w:szCs w:val="24"/>
        </w:rPr>
        <w:t xml:space="preserve"> crnogorski jezik i drugi jezik koji je u službenoj upotrebi u Crnoj Gori, u skladu sa Ustavom i zakonom</w:t>
      </w:r>
    </w:p>
    <w:p>
      <w:pPr>
        <w:jc w:val="both"/>
        <w:rPr>
          <w:rFonts w:hint="default" w:ascii="Arial" w:hAnsi="Arial" w:cs="Arial"/>
          <w:color w:val="000000"/>
          <w:sz w:val="24"/>
          <w:szCs w:val="24"/>
        </w:rPr>
      </w:pPr>
    </w:p>
    <w:p>
      <w:pPr>
        <w:jc w:val="both"/>
        <w:rPr>
          <w:rFonts w:hint="default" w:ascii="Arial" w:hAnsi="Arial" w:cs="Arial"/>
          <w:sz w:val="24"/>
          <w:szCs w:val="24"/>
          <w:lang w:val="sr-Latn-ME"/>
        </w:rPr>
      </w:pPr>
      <w:r>
        <w:rPr>
          <w:rFonts w:hint="default" w:ascii="Arial" w:hAnsi="Arial" w:cs="Arial"/>
          <w:color w:val="000000"/>
          <w:sz w:val="24"/>
          <w:szCs w:val="24"/>
        </w:rPr>
        <w:sym w:font="Wingdings" w:char="F0A8"/>
      </w:r>
      <w:r>
        <w:rPr>
          <w:rFonts w:hint="default" w:ascii="Arial" w:hAnsi="Arial" w:cs="Arial"/>
          <w:color w:val="000000"/>
          <w:sz w:val="24"/>
          <w:szCs w:val="24"/>
          <w:lang w:val="sr-Latn-ME"/>
        </w:rPr>
        <w:t xml:space="preserve"> </w:t>
      </w:r>
      <w:r>
        <w:rPr>
          <w:rFonts w:hint="default" w:ascii="Arial" w:hAnsi="Arial" w:cs="Arial"/>
          <w:color w:val="000000"/>
          <w:sz w:val="24"/>
          <w:szCs w:val="24"/>
        </w:rPr>
        <w:t>crnogorski jezik</w:t>
      </w:r>
      <w:r>
        <w:rPr>
          <w:rFonts w:hint="default" w:ascii="Arial" w:hAnsi="Arial" w:cs="Arial"/>
          <w:color w:val="000000"/>
          <w:sz w:val="24"/>
          <w:szCs w:val="24"/>
          <w:lang w:val="sr-Latn-ME"/>
        </w:rPr>
        <w:t xml:space="preserve"> za ponudu u cjelini.</w:t>
      </w:r>
    </w:p>
    <w:p>
      <w:pPr>
        <w:jc w:val="both"/>
        <w:rPr>
          <w:rFonts w:ascii="Arial" w:hAnsi="Arial" w:cs="Arial"/>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8" w:name="_Toc62730561"/>
      <w:r>
        <w:rPr>
          <w:rFonts w:ascii="Arial" w:hAnsi="Arial" w:cs="Arial"/>
          <w:b/>
          <w:sz w:val="24"/>
          <w:szCs w:val="24"/>
        </w:rPr>
        <w:t>NAČIN, MJESTO I VRIJEME PODNOŠENJA PONUDA I OTVARANJA PONUDA</w:t>
      </w:r>
      <w:bookmarkEnd w:id="8"/>
    </w:p>
    <w:p>
      <w:pPr>
        <w:jc w:val="both"/>
        <w:rPr>
          <w:rFonts w:ascii="Arial" w:hAnsi="Arial" w:cs="Arial"/>
          <w:b/>
          <w:bCs/>
          <w:color w:val="000000"/>
          <w:sz w:val="24"/>
          <w:szCs w:val="24"/>
        </w:rPr>
      </w:pPr>
    </w:p>
    <w:p>
      <w:pPr>
        <w:jc w:val="both"/>
        <w:rPr>
          <w:rFonts w:ascii="Arial" w:hAnsi="Arial" w:cs="Arial"/>
          <w:color w:val="000000"/>
          <w:sz w:val="24"/>
          <w:szCs w:val="24"/>
          <w:highlight w:val="none"/>
        </w:rPr>
      </w:pPr>
      <w:r>
        <w:rPr>
          <w:rFonts w:ascii="Arial" w:hAnsi="Arial" w:cs="Arial"/>
          <w:b/>
          <w:color w:val="000000"/>
          <w:sz w:val="24"/>
          <w:szCs w:val="24"/>
          <w:highlight w:val="none"/>
        </w:rPr>
        <w:t xml:space="preserve">Ponude se podnose preko ESJN-a zaključno sa danom </w:t>
      </w:r>
      <w:r>
        <w:rPr>
          <w:rFonts w:hint="default" w:ascii="Arial" w:hAnsi="Arial" w:cs="Arial"/>
          <w:b/>
          <w:color w:val="000000"/>
          <w:sz w:val="24"/>
          <w:szCs w:val="24"/>
          <w:highlight w:val="none"/>
          <w:lang w:val="en-US"/>
        </w:rPr>
        <w:t>20.10</w:t>
      </w:r>
      <w:r>
        <w:rPr>
          <w:rFonts w:ascii="Arial" w:hAnsi="Arial" w:cs="Arial"/>
          <w:b/>
          <w:color w:val="000000"/>
          <w:sz w:val="24"/>
          <w:szCs w:val="24"/>
          <w:highlight w:val="none"/>
        </w:rPr>
        <w:t>.202</w:t>
      </w:r>
      <w:r>
        <w:rPr>
          <w:rFonts w:hint="default" w:ascii="Arial" w:hAnsi="Arial" w:cs="Arial"/>
          <w:b/>
          <w:color w:val="000000"/>
          <w:sz w:val="24"/>
          <w:szCs w:val="24"/>
          <w:highlight w:val="none"/>
          <w:lang w:val="sr-Latn-ME"/>
        </w:rPr>
        <w:t>3</w:t>
      </w:r>
      <w:r>
        <w:rPr>
          <w:rFonts w:ascii="Arial" w:hAnsi="Arial" w:cs="Arial"/>
          <w:b/>
          <w:color w:val="000000"/>
          <w:sz w:val="24"/>
          <w:szCs w:val="24"/>
          <w:highlight w:val="none"/>
        </w:rPr>
        <w:t>. godine do 1</w:t>
      </w:r>
      <w:r>
        <w:rPr>
          <w:rFonts w:hint="default" w:ascii="Arial" w:hAnsi="Arial" w:cs="Arial"/>
          <w:b/>
          <w:color w:val="000000"/>
          <w:sz w:val="24"/>
          <w:szCs w:val="24"/>
          <w:highlight w:val="none"/>
          <w:lang w:val="en-US"/>
        </w:rPr>
        <w:t>0</w:t>
      </w:r>
      <w:r>
        <w:rPr>
          <w:rFonts w:ascii="Arial" w:hAnsi="Arial" w:cs="Arial"/>
          <w:b/>
          <w:color w:val="000000"/>
          <w:sz w:val="24"/>
          <w:szCs w:val="24"/>
          <w:highlight w:val="none"/>
        </w:rPr>
        <w:t>:00 sati</w:t>
      </w:r>
      <w:r>
        <w:rPr>
          <w:rFonts w:ascii="Arial" w:hAnsi="Arial" w:cs="Arial"/>
          <w:color w:val="000000"/>
          <w:sz w:val="24"/>
          <w:szCs w:val="24"/>
          <w:highlight w:val="none"/>
        </w:rPr>
        <w:t xml:space="preserve">. </w:t>
      </w:r>
    </w:p>
    <w:p>
      <w:pPr>
        <w:jc w:val="both"/>
        <w:rPr>
          <w:rFonts w:ascii="Arial" w:hAnsi="Arial" w:cs="Arial"/>
          <w:color w:val="000000"/>
          <w:sz w:val="24"/>
          <w:szCs w:val="24"/>
          <w:highlight w:val="none"/>
        </w:rPr>
      </w:pPr>
    </w:p>
    <w:p>
      <w:pPr>
        <w:jc w:val="both"/>
        <w:rPr>
          <w:rFonts w:ascii="Arial" w:hAnsi="Arial" w:cs="Arial"/>
          <w:color w:val="000000"/>
          <w:sz w:val="24"/>
          <w:szCs w:val="24"/>
          <w:highlight w:val="none"/>
        </w:rPr>
      </w:pPr>
      <w:bookmarkStart w:id="9" w:name="_Toc62730562"/>
      <w:r>
        <w:rPr>
          <w:rFonts w:ascii="Arial" w:hAnsi="Arial" w:cs="Arial"/>
          <w:color w:val="000000"/>
          <w:sz w:val="24"/>
          <w:szCs w:val="24"/>
          <w:highlight w:val="none"/>
        </w:rPr>
        <w:t>Otvaranje ponuda održaće se dana</w:t>
      </w:r>
      <w:r>
        <w:rPr>
          <w:rFonts w:hint="default" w:ascii="Arial" w:hAnsi="Arial" w:cs="Arial"/>
          <w:color w:val="000000"/>
          <w:sz w:val="24"/>
          <w:szCs w:val="24"/>
          <w:highlight w:val="none"/>
          <w:lang w:val="sr-Latn-ME"/>
        </w:rPr>
        <w:t xml:space="preserve"> </w:t>
      </w:r>
      <w:r>
        <w:rPr>
          <w:rFonts w:hint="default" w:ascii="Arial" w:hAnsi="Arial" w:cs="Arial"/>
          <w:color w:val="000000"/>
          <w:sz w:val="24"/>
          <w:szCs w:val="24"/>
          <w:highlight w:val="none"/>
          <w:lang w:val="en-US"/>
        </w:rPr>
        <w:t>20.10</w:t>
      </w:r>
      <w:r>
        <w:rPr>
          <w:rFonts w:hint="default" w:ascii="Arial" w:hAnsi="Arial" w:cs="Arial"/>
          <w:color w:val="000000"/>
          <w:sz w:val="24"/>
          <w:szCs w:val="24"/>
          <w:highlight w:val="none"/>
          <w:lang w:val="sr-Latn-ME"/>
        </w:rPr>
        <w:t>.2023</w:t>
      </w:r>
      <w:r>
        <w:rPr>
          <w:rFonts w:ascii="Arial" w:hAnsi="Arial" w:cs="Arial"/>
          <w:color w:val="000000"/>
          <w:sz w:val="24"/>
          <w:szCs w:val="24"/>
          <w:highlight w:val="none"/>
        </w:rPr>
        <w:t>. godine u 1</w:t>
      </w:r>
      <w:r>
        <w:rPr>
          <w:rFonts w:hint="default" w:ascii="Arial" w:hAnsi="Arial" w:cs="Arial"/>
          <w:color w:val="000000"/>
          <w:sz w:val="24"/>
          <w:szCs w:val="24"/>
          <w:highlight w:val="none"/>
          <w:lang w:val="en-US"/>
        </w:rPr>
        <w:t>0</w:t>
      </w:r>
      <w:r>
        <w:rPr>
          <w:rFonts w:ascii="Arial" w:hAnsi="Arial" w:cs="Arial"/>
          <w:color w:val="000000"/>
          <w:sz w:val="24"/>
          <w:szCs w:val="24"/>
          <w:highlight w:val="none"/>
        </w:rPr>
        <w:t>:30 sati.</w:t>
      </w:r>
    </w:p>
    <w:p>
      <w:pPr>
        <w:pStyle w:val="7"/>
        <w:keepNext w:val="0"/>
        <w:keepLines w:val="0"/>
        <w:widowControl/>
        <w:suppressLineNumbers w:val="0"/>
        <w:shd w:val="clear" w:fill="FFFFFF"/>
        <w:spacing w:before="0" w:beforeAutospacing="0" w:after="0" w:afterAutospacing="0"/>
        <w:ind w:left="0" w:right="0" w:firstLine="0"/>
        <w:jc w:val="both"/>
        <w:rPr>
          <w:rFonts w:hint="default" w:ascii="Times New Roman" w:hAnsi="Times New Roman" w:cs="Times New Roman"/>
          <w:i w:val="0"/>
          <w:iCs w:val="0"/>
          <w:caps w:val="0"/>
          <w:color w:val="auto"/>
          <w:spacing w:val="0"/>
          <w:sz w:val="24"/>
          <w:szCs w:val="24"/>
        </w:rPr>
      </w:pPr>
      <w:r>
        <w:rPr>
          <w:rFonts w:ascii="Arial" w:hAnsi="Arial" w:cs="Arial"/>
          <w:i w:val="0"/>
          <w:iCs w:val="0"/>
          <w:caps w:val="0"/>
          <w:color w:val="auto"/>
          <w:spacing w:val="0"/>
          <w:sz w:val="24"/>
          <w:szCs w:val="24"/>
          <w:shd w:val="clear" w:fill="FFFFFF"/>
        </w:rPr>
        <w:t>Napomena: U skladu sa Zakonom o javnim nabavkama Izjava privrednog subjekta i garancija ponude podnose se u elektronskom obliku putem ESJN.</w:t>
      </w:r>
    </w:p>
    <w:p>
      <w:pPr>
        <w:pStyle w:val="7"/>
        <w:keepNext w:val="0"/>
        <w:keepLines w:val="0"/>
        <w:widowControl/>
        <w:suppressLineNumbers w:val="0"/>
        <w:shd w:val="clear" w:fill="FFFFFF"/>
        <w:spacing w:before="0" w:beforeAutospacing="0" w:after="0" w:afterAutospacing="0"/>
        <w:ind w:left="0" w:right="0" w:firstLine="0"/>
        <w:jc w:val="both"/>
        <w:rPr>
          <w:rFonts w:ascii="Arial" w:hAnsi="Arial" w:cs="Arial"/>
          <w:i/>
          <w:iCs/>
          <w:color w:val="000000"/>
          <w:sz w:val="24"/>
          <w:szCs w:val="24"/>
          <w:highlight w:val="none"/>
        </w:rPr>
      </w:pPr>
      <w:r>
        <w:rPr>
          <w:rFonts w:hint="default" w:ascii="Arial" w:hAnsi="Arial" w:cs="Arial"/>
          <w:i w:val="0"/>
          <w:iCs w:val="0"/>
          <w:caps w:val="0"/>
          <w:color w:val="auto"/>
          <w:spacing w:val="0"/>
          <w:sz w:val="24"/>
          <w:szCs w:val="24"/>
          <w:shd w:val="clear"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pPr>
        <w:jc w:val="both"/>
        <w:rPr>
          <w:rFonts w:ascii="Arial" w:hAnsi="Arial" w:cs="Arial"/>
          <w:color w:val="000000"/>
          <w:sz w:val="24"/>
          <w:szCs w:val="24"/>
          <w:highlight w:val="none"/>
        </w:rPr>
      </w:pPr>
    </w:p>
    <w:p>
      <w:pPr>
        <w:numPr>
          <w:ilvl w:val="0"/>
          <w:numId w:val="7"/>
        </w:numPr>
        <w:spacing w:before="96"/>
        <w:jc w:val="both"/>
        <w:rPr>
          <w:rFonts w:ascii="Arial" w:hAnsi="Arial" w:eastAsia="Calibri" w:cs="Arial"/>
          <w:color w:val="000000"/>
          <w:sz w:val="24"/>
          <w:szCs w:val="24"/>
          <w:highlight w:val="none"/>
        </w:rPr>
      </w:pPr>
      <w:r>
        <w:rPr>
          <w:rFonts w:ascii="Arial" w:hAnsi="Arial" w:eastAsia="Calibri" w:cs="Arial"/>
          <w:color w:val="000000"/>
          <w:sz w:val="24"/>
          <w:szCs w:val="24"/>
          <w:highlight w:val="none"/>
        </w:rPr>
        <w:t xml:space="preserve">neposrednom podnošenjem na arhivi naručioca na adresi </w:t>
      </w:r>
      <w:r>
        <w:rPr>
          <w:rFonts w:hint="default" w:ascii="Arial" w:hAnsi="Arial" w:eastAsia="Calibri" w:cs="Arial"/>
          <w:sz w:val="24"/>
          <w:szCs w:val="24"/>
          <w:highlight w:val="none"/>
          <w:lang w:val="sr-Latn-ME"/>
        </w:rPr>
        <w:t>Bohinjska br.29, Stari aerodrom</w:t>
      </w:r>
    </w:p>
    <w:p>
      <w:pPr>
        <w:numPr>
          <w:ilvl w:val="0"/>
          <w:numId w:val="7"/>
        </w:numPr>
        <w:spacing w:before="96"/>
        <w:jc w:val="both"/>
        <w:rPr>
          <w:rFonts w:ascii="Arial" w:hAnsi="Arial" w:eastAsia="Calibri" w:cs="Arial"/>
          <w:color w:val="000000"/>
          <w:sz w:val="24"/>
          <w:szCs w:val="24"/>
          <w:highlight w:val="none"/>
        </w:rPr>
      </w:pPr>
      <w:r>
        <w:rPr>
          <w:rFonts w:hint="default" w:ascii="Arial" w:hAnsi="Arial" w:eastAsia="Calibri" w:cs="Arial"/>
          <w:sz w:val="24"/>
          <w:szCs w:val="24"/>
          <w:highlight w:val="none"/>
          <w:lang w:val="sr-Latn-ME"/>
        </w:rPr>
        <w:t xml:space="preserve"> </w:t>
      </w:r>
      <w:r>
        <w:rPr>
          <w:rFonts w:ascii="Arial" w:hAnsi="Arial" w:eastAsia="Calibri" w:cs="Arial"/>
          <w:color w:val="000000"/>
          <w:sz w:val="24"/>
          <w:szCs w:val="24"/>
          <w:highlight w:val="none"/>
        </w:rPr>
        <w:t xml:space="preserve">preporučenom pošiljkom sa povratnicom na adresi </w:t>
      </w:r>
      <w:r>
        <w:rPr>
          <w:rFonts w:hint="default" w:ascii="Arial" w:hAnsi="Arial" w:eastAsia="Calibri" w:cs="Arial"/>
          <w:sz w:val="24"/>
          <w:szCs w:val="24"/>
          <w:highlight w:val="none"/>
          <w:lang w:val="sr-Latn-ME"/>
        </w:rPr>
        <w:t>Bohinjska br.29, Stari aerodrom.</w:t>
      </w:r>
    </w:p>
    <w:p>
      <w:pPr>
        <w:jc w:val="both"/>
        <w:rPr>
          <w:rFonts w:ascii="Arial" w:hAnsi="Arial" w:cs="Arial"/>
          <w:color w:val="000000"/>
          <w:sz w:val="24"/>
          <w:szCs w:val="24"/>
          <w:highlight w:val="yellow"/>
        </w:rPr>
      </w:pPr>
    </w:p>
    <w:p>
      <w:pPr>
        <w:jc w:val="both"/>
        <w:rPr>
          <w:rFonts w:ascii="Arial" w:hAnsi="Arial" w:cs="Arial"/>
          <w:color w:val="000000"/>
          <w:sz w:val="24"/>
          <w:szCs w:val="24"/>
          <w:highlight w:val="none"/>
        </w:rPr>
      </w:pPr>
      <w:r>
        <w:rPr>
          <w:rFonts w:ascii="Arial" w:hAnsi="Arial" w:cs="Arial"/>
          <w:color w:val="000000"/>
          <w:sz w:val="24"/>
          <w:szCs w:val="24"/>
          <w:highlight w:val="none"/>
        </w:rPr>
        <w:t>radnim danima od 8:00 do 1</w:t>
      </w:r>
      <w:r>
        <w:rPr>
          <w:rFonts w:hint="default" w:ascii="Arial" w:hAnsi="Arial" w:cs="Arial"/>
          <w:color w:val="000000"/>
          <w:sz w:val="24"/>
          <w:szCs w:val="24"/>
          <w:highlight w:val="none"/>
          <w:lang w:val="sr-Latn-ME"/>
        </w:rPr>
        <w:t>6</w:t>
      </w:r>
      <w:r>
        <w:rPr>
          <w:rFonts w:ascii="Arial" w:hAnsi="Arial" w:cs="Arial"/>
          <w:color w:val="000000"/>
          <w:sz w:val="24"/>
          <w:szCs w:val="24"/>
          <w:highlight w:val="none"/>
        </w:rPr>
        <w:t xml:space="preserve">:00 sati, zaključno sa danom </w:t>
      </w:r>
      <w:r>
        <w:rPr>
          <w:rFonts w:hint="default" w:ascii="Arial" w:hAnsi="Arial" w:cs="Arial"/>
          <w:color w:val="000000"/>
          <w:sz w:val="24"/>
          <w:szCs w:val="24"/>
          <w:highlight w:val="none"/>
          <w:lang w:val="en-US"/>
        </w:rPr>
        <w:t>20.10</w:t>
      </w:r>
      <w:r>
        <w:rPr>
          <w:rFonts w:hint="default" w:ascii="Arial" w:hAnsi="Arial" w:cs="Arial"/>
          <w:color w:val="000000"/>
          <w:sz w:val="24"/>
          <w:szCs w:val="24"/>
          <w:highlight w:val="none"/>
          <w:lang w:val="sr-Latn-ME"/>
        </w:rPr>
        <w:t>.2023</w:t>
      </w:r>
      <w:r>
        <w:rPr>
          <w:rFonts w:ascii="Arial" w:hAnsi="Arial" w:cs="Arial"/>
          <w:color w:val="000000"/>
          <w:sz w:val="24"/>
          <w:szCs w:val="24"/>
          <w:highlight w:val="none"/>
        </w:rPr>
        <w:t>. godine do 1</w:t>
      </w:r>
      <w:r>
        <w:rPr>
          <w:rFonts w:hint="default" w:ascii="Arial" w:hAnsi="Arial" w:cs="Arial"/>
          <w:color w:val="000000"/>
          <w:sz w:val="24"/>
          <w:szCs w:val="24"/>
          <w:highlight w:val="none"/>
          <w:lang w:val="en-US"/>
        </w:rPr>
        <w:t>0</w:t>
      </w:r>
      <w:r>
        <w:rPr>
          <w:rFonts w:ascii="Arial" w:hAnsi="Arial" w:cs="Arial"/>
          <w:color w:val="000000"/>
          <w:sz w:val="24"/>
          <w:szCs w:val="24"/>
          <w:highlight w:val="none"/>
        </w:rPr>
        <w:t>:00 sati.</w:t>
      </w:r>
    </w:p>
    <w:p>
      <w:pPr>
        <w:jc w:val="both"/>
        <w:rPr>
          <w:rFonts w:ascii="Arial" w:hAnsi="Arial" w:cs="Arial"/>
          <w:color w:val="000000"/>
          <w:sz w:val="24"/>
          <w:szCs w:val="24"/>
          <w:highlight w:val="non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USLOVI ZA AKTIVIRANJE GARANCIJE PONUDE</w:t>
      </w:r>
      <w:r>
        <w:rPr>
          <w:rFonts w:ascii="Arial" w:hAnsi="Arial" w:cs="Arial"/>
          <w:b/>
          <w:sz w:val="24"/>
          <w:szCs w:val="24"/>
          <w:vertAlign w:val="superscript"/>
        </w:rPr>
        <w:footnoteReference w:id="9"/>
      </w:r>
      <w:bookmarkEnd w:id="9"/>
    </w:p>
    <w:p>
      <w:pPr>
        <w:jc w:val="both"/>
        <w:rPr>
          <w:rFonts w:ascii="Arial" w:hAnsi="Arial" w:cs="Arial"/>
          <w:b/>
          <w:bCs/>
          <w:color w:val="000000"/>
          <w:sz w:val="24"/>
          <w:szCs w:val="24"/>
        </w:rPr>
      </w:pPr>
    </w:p>
    <w:p>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pPr>
        <w:pStyle w:val="9"/>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pPr>
        <w:pStyle w:val="9"/>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TAJNOST PODATAKA</w:t>
      </w:r>
      <w:bookmarkEnd w:id="10"/>
    </w:p>
    <w:p>
      <w:pPr>
        <w:jc w:val="both"/>
        <w:rPr>
          <w:rFonts w:ascii="Arial" w:hAnsi="Arial" w:cs="Arial"/>
          <w:color w:val="000000"/>
          <w:sz w:val="24"/>
          <w:szCs w:val="24"/>
        </w:rPr>
      </w:pPr>
      <w:r>
        <w:rPr>
          <w:rFonts w:ascii="Arial" w:hAnsi="Arial" w:cs="Arial"/>
          <w:color w:val="000000"/>
          <w:sz w:val="24"/>
          <w:szCs w:val="24"/>
        </w:rPr>
        <w:t xml:space="preserve"> </w:t>
      </w:r>
    </w:p>
    <w:p>
      <w:pPr>
        <w:jc w:val="both"/>
        <w:rPr>
          <w:rFonts w:ascii="Arial" w:hAnsi="Arial" w:cs="Arial"/>
          <w:color w:val="000000"/>
          <w:sz w:val="24"/>
          <w:szCs w:val="24"/>
        </w:rPr>
      </w:pPr>
      <w:r>
        <w:rPr>
          <w:rFonts w:ascii="Arial" w:hAnsi="Arial" w:cs="Arial"/>
          <w:color w:val="000000"/>
          <w:sz w:val="24"/>
          <w:szCs w:val="24"/>
        </w:rPr>
        <w:t>Tenderska dokumentacija sadrži tajne podatke</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11" w:name="_Toc62730564"/>
      <w:r>
        <w:rPr>
          <w:rFonts w:ascii="Arial" w:hAnsi="Arial" w:cs="Arial"/>
          <w:b/>
          <w:sz w:val="24"/>
          <w:szCs w:val="24"/>
        </w:rPr>
        <w:t>UPUTSTVO ZA SAČINJAVANJE PONUDE</w:t>
      </w:r>
      <w:bookmarkEnd w:id="11"/>
    </w:p>
    <w:p>
      <w:pPr>
        <w:rPr>
          <w:rFonts w:ascii="Arial" w:hAnsi="Arial" w:cs="Arial"/>
          <w:sz w:val="24"/>
          <w:szCs w:val="24"/>
        </w:rPr>
      </w:pPr>
    </w:p>
    <w:p>
      <w:pPr>
        <w:jc w:val="both"/>
        <w:rPr>
          <w:rFonts w:ascii="Arial" w:hAnsi="Arial" w:cs="Arial"/>
          <w:sz w:val="24"/>
          <w:szCs w:val="24"/>
        </w:rPr>
      </w:pPr>
      <w:r>
        <w:rPr>
          <w:rFonts w:ascii="Arial" w:hAnsi="Arial" w:cs="Arial"/>
          <w:sz w:val="24"/>
          <w:szCs w:val="24"/>
        </w:rPr>
        <w:t xml:space="preserve">Ponude se sačinjava u ESJN u skladu sa tenderskom dokumentacijom i važećim Pravilnikom o sadržaju ponude i uputstvu za sačinjavanje i podnošenje ponude. </w:t>
      </w:r>
    </w:p>
    <w:p>
      <w:pPr>
        <w:jc w:val="both"/>
        <w:rPr>
          <w:rFonts w:ascii="Arial" w:hAnsi="Arial" w:cs="Arial"/>
          <w:sz w:val="24"/>
          <w:szCs w:val="24"/>
        </w:rPr>
      </w:pPr>
      <w:r>
        <w:rPr>
          <w:rFonts w:ascii="Arial" w:hAnsi="Arial" w:cs="Arial"/>
          <w:sz w:val="24"/>
          <w:szCs w:val="24"/>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sz w:val="24"/>
          <w:szCs w:val="24"/>
        </w:rPr>
      </w:pPr>
      <w:r>
        <w:rPr>
          <w:rFonts w:ascii="Arial" w:hAnsi="Arial" w:cs="Arial"/>
          <w:sz w:val="24"/>
          <w:szCs w:val="24"/>
        </w:rPr>
        <w:t xml:space="preserve">Ponuđač je dužan da tačno i nedvosmisleno popuni </w:t>
      </w:r>
      <w:r>
        <w:rPr>
          <w:rFonts w:ascii="Arial" w:hAnsi="Arial" w:eastAsia="Calibri" w:cs="Arial"/>
          <w:sz w:val="24"/>
          <w:szCs w:val="24"/>
        </w:rPr>
        <w:t>Izjavu privrednog subjekta u skladu sa zahtjevima iz tenderske dokumentacije.</w:t>
      </w:r>
    </w:p>
    <w:p>
      <w:pPr>
        <w:jc w:val="both"/>
        <w:rPr>
          <w:rFonts w:ascii="Arial" w:hAnsi="Arial" w:cs="Arial"/>
          <w:b/>
          <w:bCs/>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 w:val="24"/>
          <w:szCs w:val="24"/>
        </w:rPr>
      </w:pPr>
      <w:bookmarkStart w:id="12" w:name="_Toc62730565"/>
      <w:r>
        <w:rPr>
          <w:rFonts w:ascii="Arial" w:hAnsi="Arial" w:cs="Arial"/>
          <w:b/>
          <w:sz w:val="24"/>
          <w:szCs w:val="24"/>
        </w:rPr>
        <w:t>NAČIN ZAKLJUČIVANJA I IZMJENE UGOVORA O JAVNOJ NABAVCI</w:t>
      </w:r>
      <w:bookmarkEnd w:id="12"/>
    </w:p>
    <w:p>
      <w:pPr>
        <w:jc w:val="both"/>
        <w:rPr>
          <w:rFonts w:ascii="Arial" w:hAnsi="Arial" w:cs="Arial"/>
          <w:i/>
          <w:sz w:val="24"/>
          <w:szCs w:val="24"/>
        </w:rPr>
      </w:pPr>
    </w:p>
    <w:p>
      <w:pPr>
        <w:jc w:val="both"/>
        <w:rPr>
          <w:rFonts w:ascii="Arial" w:hAnsi="Arial" w:cs="Arial"/>
          <w:sz w:val="24"/>
          <w:szCs w:val="24"/>
        </w:rPr>
      </w:pPr>
      <w:r>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Ugovor o javnoj nabavci mora da bude u skladu sa uslovima utvrđenim tenderskom dokumentacijom, izabranom ponudom i odlukom o izboru najpovoljnije ponude, osim u pogledu iskazivanja PDV-a.</w:t>
      </w:r>
    </w:p>
    <w:p>
      <w:pPr>
        <w:jc w:val="both"/>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Ugovor između naručioca i ponuđača čija je ponuda izabrana kao najpovoljnija, pored uslova koji su propisani ovom tenderskom dokumentacijom, će sadržati i sljedeće:</w:t>
      </w:r>
      <w:r>
        <w:rPr>
          <w:rFonts w:ascii="Arial" w:hAnsi="Arial" w:cs="Arial"/>
          <w:color w:val="000000"/>
          <w:sz w:val="24"/>
          <w:szCs w:val="24"/>
          <w:vertAlign w:val="superscript"/>
        </w:rPr>
        <w:footnoteReference w:id="10"/>
      </w:r>
    </w:p>
    <w:p>
      <w:pPr>
        <w:jc w:val="both"/>
        <w:rPr>
          <w:rFonts w:ascii="Arial" w:hAnsi="Arial" w:cs="Arial"/>
          <w:color w:val="000000"/>
          <w:sz w:val="24"/>
          <w:szCs w:val="24"/>
        </w:rPr>
      </w:pPr>
    </w:p>
    <w:p>
      <w:pPr>
        <w:jc w:val="both"/>
        <w:rPr>
          <w:rFonts w:ascii="Arial" w:hAnsi="Arial" w:eastAsia="PMingLiU" w:cs="Arial"/>
          <w:sz w:val="24"/>
          <w:szCs w:val="24"/>
          <w:lang w:val="sr-Latn-CS"/>
        </w:rPr>
      </w:pPr>
      <w:r>
        <w:rPr>
          <w:rFonts w:ascii="Arial" w:hAnsi="Arial" w:eastAsia="PMingLiU" w:cs="Arial"/>
          <w:sz w:val="24"/>
          <w:szCs w:val="24"/>
          <w:lang w:val="sr-Latn-CS"/>
        </w:rPr>
        <w:t>Izabrani ponuđač se obavezuje da plati ugovornu kaznu u visini 2‰ za svaki dan kašnjenja u isporuci robe, a najviše 5% od ukupne vrijednosti ugovorenog posla.</w:t>
      </w:r>
    </w:p>
    <w:p>
      <w:pPr>
        <w:jc w:val="both"/>
        <w:rPr>
          <w:rFonts w:ascii="Arial" w:hAnsi="Arial" w:eastAsia="Calibri" w:cs="Arial"/>
          <w:sz w:val="24"/>
          <w:szCs w:val="24"/>
        </w:rPr>
      </w:pPr>
      <w:r>
        <w:rPr>
          <w:rFonts w:ascii="Arial" w:hAnsi="Arial" w:eastAsia="Calibri" w:cs="Arial"/>
          <w:sz w:val="24"/>
          <w:szCs w:val="24"/>
        </w:rPr>
        <w:t xml:space="preserve">Ugovorne strane su saglasne da do raskida Ugovora može doći ako Dobavljač ne bude izvršavao svoje obaveze u rokovima i na način predvidjen Ugovorom: </w:t>
      </w:r>
    </w:p>
    <w:p>
      <w:pPr>
        <w:jc w:val="both"/>
        <w:rPr>
          <w:rFonts w:ascii="Arial" w:hAnsi="Arial" w:eastAsia="Calibri" w:cs="Arial"/>
          <w:sz w:val="24"/>
          <w:szCs w:val="24"/>
        </w:rPr>
      </w:pPr>
      <w:r>
        <w:rPr>
          <w:rFonts w:ascii="Arial" w:hAnsi="Arial" w:eastAsia="Calibri" w:cs="Arial"/>
          <w:sz w:val="24"/>
          <w:szCs w:val="24"/>
        </w:rPr>
        <w:t xml:space="preserve">-U slučaju kada Naručilac ustanovi da roba koja je predmet ovog ugovora ili način na koje se isporučuje, odstupa od ponuđenog iz ponude Dobavljača. </w:t>
      </w:r>
    </w:p>
    <w:p>
      <w:pPr>
        <w:jc w:val="both"/>
        <w:rPr>
          <w:rFonts w:ascii="Arial" w:hAnsi="Arial" w:eastAsia="Calibri" w:cs="Arial"/>
          <w:bCs/>
          <w:sz w:val="24"/>
          <w:szCs w:val="24"/>
        </w:rPr>
      </w:pPr>
      <w:r>
        <w:rPr>
          <w:rFonts w:ascii="Arial" w:hAnsi="Arial" w:eastAsia="Calibri" w:cs="Arial"/>
          <w:bCs/>
          <w:sz w:val="24"/>
          <w:szCs w:val="24"/>
        </w:rPr>
        <w:t xml:space="preserve">Naručilac će u slučaju </w:t>
      </w:r>
      <w:r>
        <w:rPr>
          <w:rFonts w:ascii="Arial" w:hAnsi="Arial" w:eastAsia="Calibri" w:cs="Arial"/>
          <w:bCs/>
          <w:sz w:val="24"/>
          <w:szCs w:val="24"/>
          <w:lang w:val="sl-SI"/>
        </w:rPr>
        <w:t>uočavanja propusta u obavljanju posla</w:t>
      </w:r>
      <w:r>
        <w:rPr>
          <w:rFonts w:ascii="Arial" w:hAnsi="Arial" w:eastAsia="Calibri" w:cs="Arial"/>
          <w:bCs/>
          <w:sz w:val="24"/>
          <w:szCs w:val="24"/>
        </w:rPr>
        <w:t xml:space="preserve"> pisanim putem da pozove Dobavljača i da putem Zapisnika zajednički konstatuju uzrok</w:t>
      </w:r>
      <w:r>
        <w:rPr>
          <w:rFonts w:ascii="Arial" w:hAnsi="Arial" w:eastAsia="Calibri" w:cs="Arial"/>
          <w:bCs/>
          <w:sz w:val="24"/>
          <w:szCs w:val="24"/>
          <w:lang w:val="sl-SI"/>
        </w:rPr>
        <w:t xml:space="preserve"> i obim uočenih propusta</w:t>
      </w:r>
      <w:r>
        <w:rPr>
          <w:rFonts w:ascii="Arial" w:hAnsi="Arial" w:eastAsia="Calibri" w:cs="Arial"/>
          <w:bCs/>
          <w:sz w:val="24"/>
          <w:szCs w:val="24"/>
        </w:rPr>
        <w:t>. Ukoliko se Dobavljač ne odazove pozivu Naručioca u roku od 48h, Naručilac ima pravo da raskine ugovor i aktivira garanciju za dobro izvršenje ugovora.</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sz w:val="24"/>
          <w:szCs w:val="24"/>
        </w:rPr>
      </w:pPr>
    </w:p>
    <w:p>
      <w:pPr>
        <w:numPr>
          <w:ilvl w:val="0"/>
          <w:numId w:val="8"/>
        </w:numPr>
        <w:jc w:val="both"/>
        <w:rPr>
          <w:rFonts w:hint="default" w:ascii="Arial" w:hAnsi="Arial" w:cs="Arial"/>
          <w:color w:val="000000"/>
          <w:sz w:val="24"/>
          <w:szCs w:val="24"/>
          <w:lang w:val="sr-Latn-ME"/>
        </w:rPr>
      </w:pPr>
      <w:r>
        <w:rPr>
          <w:rFonts w:hint="default" w:ascii="Arial" w:hAnsi="Arial" w:cs="Arial"/>
          <w:color w:val="000000"/>
          <w:sz w:val="24"/>
          <w:szCs w:val="24"/>
          <w:lang w:val="sr-Latn-ME"/>
        </w:rPr>
        <w:t>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pPr>
        <w:jc w:val="both"/>
        <w:rPr>
          <w:rFonts w:ascii="Arial" w:hAnsi="Arial" w:cs="Arial"/>
          <w:color w:val="000000"/>
          <w:sz w:val="24"/>
          <w:szCs w:val="24"/>
        </w:rPr>
      </w:pPr>
    </w:p>
    <w:p>
      <w:pPr>
        <w:autoSpaceDE w:val="0"/>
        <w:autoSpaceDN w:val="0"/>
        <w:adjustRightInd w:val="0"/>
        <w:jc w:val="both"/>
        <w:rPr>
          <w:rFonts w:ascii="Arial" w:hAnsi="Arial" w:cs="Arial" w:eastAsiaTheme="minorHAnsi"/>
          <w:sz w:val="24"/>
          <w:szCs w:val="24"/>
        </w:rPr>
      </w:pPr>
      <w:r>
        <w:rPr>
          <w:rFonts w:hint="default" w:ascii="Arial" w:hAnsi="Arial" w:cs="Arial" w:eastAsiaTheme="minorHAnsi"/>
          <w:sz w:val="24"/>
          <w:szCs w:val="24"/>
          <w:lang w:val="sr-Latn-ME"/>
        </w:rPr>
        <w:t>2</w:t>
      </w:r>
      <w:r>
        <w:rPr>
          <w:rFonts w:ascii="Arial" w:hAnsi="Arial" w:cs="Arial" w:eastAsiaTheme="minorHAnsi"/>
          <w:sz w:val="24"/>
          <w:szCs w:val="24"/>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pPr>
        <w:autoSpaceDE w:val="0"/>
        <w:autoSpaceDN w:val="0"/>
        <w:adjustRightInd w:val="0"/>
        <w:jc w:val="both"/>
        <w:rPr>
          <w:rFonts w:ascii="Arial" w:hAnsi="Arial" w:cs="Arial" w:eastAsiaTheme="minorHAnsi"/>
          <w:sz w:val="24"/>
          <w:szCs w:val="24"/>
        </w:rPr>
      </w:pPr>
    </w:p>
    <w:p>
      <w:pPr>
        <w:numPr>
          <w:ilvl w:val="0"/>
          <w:numId w:val="0"/>
        </w:numPr>
        <w:autoSpaceDE w:val="0"/>
        <w:autoSpaceDN w:val="0"/>
        <w:adjustRightInd w:val="0"/>
        <w:ind w:leftChars="0"/>
        <w:jc w:val="both"/>
        <w:rPr>
          <w:rFonts w:ascii="Arial" w:hAnsi="Arial" w:cs="Arial" w:eastAsiaTheme="minorHAnsi"/>
          <w:sz w:val="24"/>
          <w:szCs w:val="24"/>
        </w:rPr>
      </w:pPr>
      <w:r>
        <w:rPr>
          <w:rFonts w:hint="default" w:ascii="Arial" w:hAnsi="Arial" w:cs="Arial" w:eastAsiaTheme="minorHAnsi"/>
          <w:sz w:val="24"/>
          <w:szCs w:val="24"/>
          <w:lang w:val="sr-Latn-ME"/>
        </w:rPr>
        <w:t>3)</w:t>
      </w:r>
      <w:r>
        <w:rPr>
          <w:rFonts w:ascii="Arial" w:hAnsi="Arial" w:cs="Arial" w:eastAsiaTheme="minorHAnsi"/>
          <w:sz w:val="24"/>
          <w:szCs w:val="24"/>
        </w:rPr>
        <w:t>kada je potreba za izmjenom ugovora nastala zbog okolnosti koje naručilac u vrijeme zaključivanja ugovora nije mogao da predvidi, a izmjenom se ne mijenja priroda ugovora a povećanje vrijednosti ugovora nije veće od 20% vrijednosti prvobitnog ugovora.</w:t>
      </w:r>
    </w:p>
    <w:p>
      <w:pPr>
        <w:rPr>
          <w:rFonts w:hint="default" w:ascii="Arial" w:hAnsi="Arial" w:cs="Arial"/>
          <w:sz w:val="24"/>
          <w:szCs w:val="24"/>
          <w:lang w:val="sr-Latn-ME"/>
        </w:rPr>
      </w:pPr>
      <w:r>
        <w:rPr>
          <w:rFonts w:hint="default" w:ascii="Arial" w:hAnsi="Arial" w:cs="Arial"/>
          <w:sz w:val="24"/>
          <w:szCs w:val="24"/>
        </w:rPr>
        <w:t>3</w:t>
      </w:r>
      <w:r>
        <w:rPr>
          <w:rFonts w:hint="default" w:ascii="Arial" w:hAnsi="Arial" w:cs="Arial"/>
          <w:sz w:val="24"/>
          <w:szCs w:val="24"/>
          <w:lang w:val="sr-Latn-ME"/>
        </w:rPr>
        <w:t xml:space="preserve"> a</w:t>
      </w:r>
      <w:r>
        <w:rPr>
          <w:rFonts w:hint="default" w:ascii="Arial" w:hAnsi="Arial" w:cs="Arial"/>
          <w:sz w:val="24"/>
          <w:szCs w:val="24"/>
        </w:rPr>
        <w:t xml:space="preserve">) kada je potreba za izmjenom ugovora nastala zbog okolnosti koje naručilac u vrijeme zaključivanja ugovora nije mogao da predvidi, a izmjenom se ne mijenja priroda ugovora </w:t>
      </w:r>
      <w:r>
        <w:rPr>
          <w:rFonts w:hint="default" w:ascii="Arial" w:hAnsi="Arial" w:cs="Arial"/>
          <w:sz w:val="24"/>
          <w:szCs w:val="24"/>
          <w:lang w:val="sr-Latn-ME"/>
        </w:rPr>
        <w:t>već se vrši samo smanjenje ugovorene vrijednosti.</w:t>
      </w:r>
    </w:p>
    <w:p>
      <w:pPr>
        <w:rPr>
          <w:rFonts w:hint="default" w:ascii="Arial" w:hAnsi="Arial" w:cs="Arial"/>
          <w:sz w:val="24"/>
          <w:szCs w:val="24"/>
          <w:lang w:val="sr-Latn-ME"/>
        </w:rPr>
      </w:pPr>
      <w:r>
        <w:rPr>
          <w:rFonts w:hint="default" w:ascii="Arial" w:hAnsi="Arial" w:cs="Arial"/>
          <w:sz w:val="24"/>
          <w:szCs w:val="24"/>
          <w:lang w:val="sr-Latn-ME"/>
        </w:rPr>
        <w:t>3 b) kada se vrši zamjena podugovarača u skladu sa članom 128 st.10,11, i 12 Zakona.</w:t>
      </w:r>
    </w:p>
    <w:p>
      <w:pPr>
        <w:rPr>
          <w:rFonts w:hint="default" w:ascii="Arial" w:hAnsi="Arial" w:cs="Arial"/>
          <w:sz w:val="24"/>
          <w:szCs w:val="24"/>
        </w:rPr>
      </w:pPr>
      <w:r>
        <w:rPr>
          <w:rFonts w:hint="default" w:ascii="Arial" w:hAnsi="Arial" w:cs="Arial"/>
          <w:sz w:val="24"/>
          <w:szCs w:val="24"/>
        </w:rPr>
        <w:t>4) ako privrednog subjekta nakon restrukturiranja, uključujući preuzimanje, spajanje, kupovinu ili stečaj,</w:t>
      </w:r>
      <w:r>
        <w:rPr>
          <w:rFonts w:hint="default" w:ascii="Arial" w:hAnsi="Arial" w:cs="Arial"/>
          <w:sz w:val="24"/>
          <w:szCs w:val="24"/>
          <w:lang w:val="sr-Latn-ME"/>
        </w:rPr>
        <w:t xml:space="preserve"> </w:t>
      </w:r>
      <w:r>
        <w:rPr>
          <w:rFonts w:hint="default" w:ascii="Arial" w:hAnsi="Arial" w:cs="Arial"/>
          <w:sz w:val="24"/>
          <w:szCs w:val="24"/>
        </w:rPr>
        <w:t>zamjenjuje u potpunosti ili djelimično novi pravni sljedbenik, odnosno privredni subjekat, koji ispunjava</w:t>
      </w:r>
      <w:r>
        <w:rPr>
          <w:rFonts w:hint="default" w:ascii="Arial" w:hAnsi="Arial" w:cs="Arial"/>
          <w:sz w:val="24"/>
          <w:szCs w:val="24"/>
        </w:rPr>
        <w:br w:type="textWrapping"/>
      </w:r>
      <w:r>
        <w:rPr>
          <w:rFonts w:hint="default" w:ascii="Arial" w:hAnsi="Arial" w:cs="Arial"/>
          <w:sz w:val="24"/>
          <w:szCs w:val="24"/>
        </w:rPr>
        <w:t>prvobitno određene uslove zaključenog ugovora o javnoj nabavci, a izmjene su predviđene tenderskom</w:t>
      </w:r>
      <w:r>
        <w:rPr>
          <w:rFonts w:hint="default" w:ascii="Arial" w:hAnsi="Arial" w:cs="Arial"/>
          <w:sz w:val="24"/>
          <w:szCs w:val="24"/>
        </w:rPr>
        <w:br w:type="textWrapping"/>
      </w:r>
      <w:r>
        <w:rPr>
          <w:rFonts w:hint="default" w:ascii="Arial" w:hAnsi="Arial" w:cs="Arial"/>
          <w:sz w:val="24"/>
          <w:szCs w:val="24"/>
        </w:rPr>
        <w:t>dokumentacijom, pod uslovom da se ne vrše druge bitne izmjene ugovora iz člana 150 stav 2 ovog zakona</w:t>
      </w:r>
    </w:p>
    <w:p>
      <w:pPr>
        <w:jc w:val="both"/>
        <w:rPr>
          <w:rFonts w:ascii="Arial" w:hAnsi="Arial" w:cs="Arial"/>
          <w:b/>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 w:val="24"/>
          <w:szCs w:val="24"/>
        </w:rPr>
      </w:pPr>
      <w:bookmarkStart w:id="13" w:name="_Toc62730566"/>
      <w:r>
        <w:rPr>
          <w:rFonts w:ascii="Arial" w:hAnsi="Arial" w:cs="Arial"/>
          <w:b/>
          <w:sz w:val="24"/>
          <w:szCs w:val="24"/>
        </w:rPr>
        <w:t>ZAHTJEV ZA POJAŠNJENJE ILI IZMJENU I DOPUNU TENDERSKE DOKUMENTACIJE</w:t>
      </w:r>
      <w:bookmarkEnd w:id="13"/>
    </w:p>
    <w:p>
      <w:pPr>
        <w:jc w:val="both"/>
        <w:rPr>
          <w:rFonts w:ascii="Arial" w:hAnsi="Arial" w:cs="Arial"/>
          <w:sz w:val="24"/>
          <w:szCs w:val="24"/>
        </w:rPr>
      </w:pPr>
    </w:p>
    <w:p>
      <w:pPr>
        <w:autoSpaceDE w:val="0"/>
        <w:autoSpaceDN w:val="0"/>
        <w:adjustRightInd w:val="0"/>
        <w:jc w:val="both"/>
        <w:rPr>
          <w:rFonts w:ascii="Arial" w:hAnsi="Arial" w:cs="Arial"/>
          <w:sz w:val="24"/>
          <w:szCs w:val="24"/>
        </w:rPr>
      </w:pPr>
      <w:r>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Privredni subjekat ima pravo da pisanim zahtjevom traži od naručioca pojašnjenje tenderske dokumentacije najkasnije deset dana prije isteka roka određenog za dostavljanje ponuda.</w:t>
      </w:r>
    </w:p>
    <w:p>
      <w:pPr>
        <w:jc w:val="both"/>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Zahtjev se podnosi isključivo putem ESJN-a.</w:t>
      </w: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 w:val="24"/>
          <w:szCs w:val="24"/>
          <w:highlight w:val="none"/>
        </w:rPr>
      </w:pPr>
      <w:bookmarkStart w:id="14" w:name="_Toc416180136"/>
      <w:bookmarkStart w:id="15" w:name="_Toc508349235"/>
      <w:bookmarkStart w:id="16" w:name="_Toc62730567"/>
      <w:r>
        <w:rPr>
          <w:rFonts w:ascii="Arial" w:hAnsi="Arial" w:cs="Arial"/>
          <w:b/>
          <w:sz w:val="24"/>
          <w:szCs w:val="24"/>
          <w:highlight w:val="none"/>
        </w:rPr>
        <w:t>IZJAVA NARUČIOCA O NEPOSTOJANJU SUKOBA INTERESA</w:t>
      </w:r>
      <w:bookmarkEnd w:id="14"/>
      <w:bookmarkEnd w:id="15"/>
      <w:bookmarkEnd w:id="16"/>
    </w:p>
    <w:p>
      <w:pPr>
        <w:tabs>
          <w:tab w:val="left" w:pos="1701"/>
          <w:tab w:val="left" w:pos="4820"/>
        </w:tabs>
        <w:jc w:val="both"/>
        <w:rPr>
          <w:rFonts w:ascii="Arial" w:hAnsi="Arial" w:cs="Arial"/>
          <w:color w:val="000000"/>
          <w:sz w:val="24"/>
          <w:szCs w:val="24"/>
          <w:highlight w:val="none"/>
          <w:u w:val="single"/>
        </w:rPr>
      </w:pPr>
    </w:p>
    <w:p>
      <w:pPr>
        <w:tabs>
          <w:tab w:val="left" w:pos="1701"/>
          <w:tab w:val="left" w:pos="4820"/>
        </w:tabs>
        <w:jc w:val="both"/>
        <w:rPr>
          <w:rFonts w:ascii="Arial" w:hAnsi="Arial" w:cs="Arial"/>
          <w:color w:val="000000"/>
          <w:sz w:val="24"/>
          <w:szCs w:val="24"/>
          <w:highlight w:val="none"/>
          <w:u w:val="none"/>
          <w:lang w:val="sr-Latn-ME"/>
        </w:rPr>
      </w:pPr>
      <w:r>
        <w:rPr>
          <w:rFonts w:ascii="Arial" w:hAnsi="Arial" w:cs="Arial"/>
          <w:color w:val="000000"/>
          <w:sz w:val="24"/>
          <w:szCs w:val="24"/>
          <w:highlight w:val="none"/>
          <w:u w:val="none"/>
          <w:lang w:val="sr-Latn-ME"/>
        </w:rPr>
        <w:t>Putevi doo Podgorica</w:t>
      </w:r>
    </w:p>
    <w:p>
      <w:pPr>
        <w:jc w:val="both"/>
        <w:rPr>
          <w:rFonts w:hint="default" w:ascii="Arial" w:hAnsi="Arial" w:cs="Arial"/>
          <w:color w:val="000000"/>
          <w:sz w:val="24"/>
          <w:szCs w:val="24"/>
          <w:highlight w:val="none"/>
          <w:lang w:val="en-US"/>
        </w:rPr>
      </w:pPr>
      <w:r>
        <w:rPr>
          <w:rFonts w:ascii="Arial" w:hAnsi="Arial" w:cs="Arial"/>
          <w:color w:val="000000"/>
          <w:sz w:val="24"/>
          <w:szCs w:val="24"/>
          <w:highlight w:val="none"/>
        </w:rPr>
        <w:t>Broj:</w:t>
      </w:r>
      <w:r>
        <w:rPr>
          <w:rFonts w:hint="default" w:ascii="Arial" w:hAnsi="Arial" w:cs="Arial"/>
          <w:color w:val="000000"/>
          <w:sz w:val="24"/>
          <w:szCs w:val="24"/>
          <w:highlight w:val="none"/>
          <w:lang w:val="en-US"/>
        </w:rPr>
        <w:t xml:space="preserve"> 9332</w:t>
      </w:r>
      <w:bookmarkStart w:id="18" w:name="_GoBack"/>
      <w:bookmarkEnd w:id="18"/>
    </w:p>
    <w:p>
      <w:pPr>
        <w:jc w:val="both"/>
        <w:rPr>
          <w:rFonts w:ascii="Arial" w:hAnsi="Arial" w:cs="Arial"/>
          <w:color w:val="000000"/>
          <w:sz w:val="24"/>
          <w:szCs w:val="24"/>
          <w:highlight w:val="none"/>
          <w:lang w:val="sr-Latn-ME"/>
        </w:rPr>
      </w:pPr>
      <w:r>
        <w:rPr>
          <w:rFonts w:ascii="Arial" w:hAnsi="Arial" w:cs="Arial"/>
          <w:color w:val="000000"/>
          <w:sz w:val="24"/>
          <w:szCs w:val="24"/>
          <w:highlight w:val="none"/>
        </w:rPr>
        <w:t>Mjesto i datum:</w:t>
      </w:r>
      <w:r>
        <w:rPr>
          <w:rFonts w:ascii="Arial" w:hAnsi="Arial" w:cs="Arial"/>
          <w:color w:val="000000"/>
          <w:sz w:val="24"/>
          <w:szCs w:val="24"/>
          <w:highlight w:val="none"/>
          <w:lang w:val="sr-Latn-ME"/>
        </w:rPr>
        <w:t xml:space="preserve"> Podgorica,</w:t>
      </w:r>
      <w:r>
        <w:rPr>
          <w:rFonts w:hint="default" w:ascii="Arial" w:hAnsi="Arial" w:cs="Arial"/>
          <w:color w:val="000000"/>
          <w:sz w:val="24"/>
          <w:szCs w:val="24"/>
          <w:highlight w:val="none"/>
          <w:lang w:val="en-US"/>
        </w:rPr>
        <w:t xml:space="preserve"> 03.10</w:t>
      </w:r>
      <w:r>
        <w:rPr>
          <w:rFonts w:hint="default" w:ascii="Arial" w:hAnsi="Arial" w:cs="Arial"/>
          <w:color w:val="000000"/>
          <w:sz w:val="24"/>
          <w:szCs w:val="24"/>
          <w:highlight w:val="none"/>
          <w:lang w:val="sr-Latn-ME"/>
        </w:rPr>
        <w:t>.2023</w:t>
      </w:r>
      <w:r>
        <w:rPr>
          <w:rFonts w:ascii="Arial" w:hAnsi="Arial" w:cs="Arial"/>
          <w:color w:val="000000"/>
          <w:sz w:val="24"/>
          <w:szCs w:val="24"/>
          <w:highlight w:val="none"/>
          <w:lang w:val="sr-Latn-ME"/>
        </w:rPr>
        <w:t>.godine</w:t>
      </w:r>
    </w:p>
    <w:p>
      <w:pPr>
        <w:jc w:val="both"/>
        <w:rPr>
          <w:rFonts w:ascii="Arial" w:hAnsi="Arial" w:cs="Arial"/>
          <w:b/>
          <w:bCs/>
          <w:color w:val="000000"/>
          <w:sz w:val="24"/>
          <w:szCs w:val="24"/>
          <w:highlight w:val="none"/>
        </w:rPr>
      </w:pPr>
    </w:p>
    <w:p>
      <w:pPr>
        <w:tabs>
          <w:tab w:val="left" w:pos="3290"/>
        </w:tabs>
        <w:ind w:firstLine="708"/>
        <w:jc w:val="both"/>
        <w:rPr>
          <w:rFonts w:ascii="Arial" w:hAnsi="Arial" w:cs="Arial"/>
          <w:color w:val="000000"/>
          <w:sz w:val="24"/>
          <w:szCs w:val="24"/>
          <w:highlight w:val="none"/>
          <w:lang w:val="en-US"/>
        </w:rPr>
      </w:pPr>
      <w:r>
        <w:rPr>
          <w:rFonts w:ascii="Arial" w:hAnsi="Arial" w:cs="Arial"/>
          <w:color w:val="000000"/>
          <w:sz w:val="24"/>
          <w:szCs w:val="24"/>
          <w:highlight w:val="none"/>
        </w:rPr>
        <w:t>U skladu sa članom 43 stav 1 Zakona o javnim nabavkama („Službeni list CG”, br.74/19</w:t>
      </w:r>
      <w:r>
        <w:rPr>
          <w:rFonts w:hint="default" w:ascii="Arial" w:hAnsi="Arial" w:cs="Arial"/>
          <w:color w:val="000000"/>
          <w:sz w:val="24"/>
          <w:szCs w:val="24"/>
          <w:highlight w:val="none"/>
          <w:lang w:val="sr-Latn-ME"/>
        </w:rPr>
        <w:t xml:space="preserve"> i 3/23</w:t>
      </w:r>
      <w:r>
        <w:rPr>
          <w:rFonts w:ascii="Arial" w:hAnsi="Arial" w:cs="Arial"/>
          <w:color w:val="000000"/>
          <w:sz w:val="24"/>
          <w:szCs w:val="24"/>
          <w:highlight w:val="none"/>
        </w:rPr>
        <w:t xml:space="preserve">), </w:t>
      </w:r>
    </w:p>
    <w:p>
      <w:pPr>
        <w:tabs>
          <w:tab w:val="left" w:pos="3290"/>
        </w:tabs>
        <w:jc w:val="center"/>
        <w:rPr>
          <w:rFonts w:ascii="Arial" w:hAnsi="Arial" w:cs="Arial"/>
          <w:b/>
          <w:bCs/>
          <w:color w:val="000000"/>
          <w:sz w:val="24"/>
          <w:szCs w:val="24"/>
          <w:highlight w:val="none"/>
        </w:rPr>
      </w:pPr>
      <w:r>
        <w:rPr>
          <w:rFonts w:ascii="Arial" w:hAnsi="Arial" w:cs="Arial"/>
          <w:b/>
          <w:bCs/>
          <w:color w:val="000000"/>
          <w:sz w:val="24"/>
          <w:szCs w:val="24"/>
          <w:highlight w:val="none"/>
        </w:rPr>
        <w:t>Izjavljujem</w:t>
      </w:r>
    </w:p>
    <w:p>
      <w:pPr>
        <w:tabs>
          <w:tab w:val="left" w:pos="3290"/>
        </w:tabs>
        <w:jc w:val="both"/>
        <w:rPr>
          <w:rFonts w:ascii="Arial" w:hAnsi="Arial" w:cs="Arial"/>
          <w:color w:val="000000"/>
          <w:sz w:val="24"/>
          <w:szCs w:val="24"/>
          <w:highlight w:val="none"/>
        </w:rPr>
      </w:pPr>
    </w:p>
    <w:p>
      <w:pPr>
        <w:jc w:val="both"/>
        <w:rPr>
          <w:rFonts w:hint="default" w:ascii="Arial" w:hAnsi="Arial" w:cs="Arial"/>
          <w:color w:val="000000"/>
          <w:sz w:val="24"/>
          <w:szCs w:val="24"/>
          <w:highlight w:val="none"/>
        </w:rPr>
      </w:pPr>
      <w:r>
        <w:rPr>
          <w:rFonts w:hint="default" w:ascii="Arial" w:hAnsi="Arial" w:cs="Arial"/>
          <w:color w:val="000000"/>
          <w:sz w:val="24"/>
          <w:szCs w:val="24"/>
          <w:highlight w:val="none"/>
        </w:rPr>
        <w:t>da u postupku javne nabavke redni broj</w:t>
      </w:r>
      <w:r>
        <w:rPr>
          <w:rFonts w:hint="default" w:ascii="Arial" w:hAnsi="Arial" w:cs="Arial"/>
          <w:color w:val="000000"/>
          <w:sz w:val="24"/>
          <w:szCs w:val="24"/>
          <w:highlight w:val="none"/>
          <w:lang w:val="en-US"/>
        </w:rPr>
        <w:t xml:space="preserve"> </w:t>
      </w:r>
      <w:r>
        <w:rPr>
          <w:rFonts w:hint="default" w:ascii="Arial" w:hAnsi="Arial" w:cs="Arial"/>
          <w:color w:val="000000"/>
          <w:sz w:val="24"/>
          <w:szCs w:val="24"/>
          <w:highlight w:val="none"/>
          <w:lang w:val="sr-Latn-ME"/>
        </w:rPr>
        <w:t>67</w:t>
      </w:r>
      <w:r>
        <w:rPr>
          <w:rFonts w:hint="default" w:ascii="Arial" w:hAnsi="Arial" w:cs="Arial"/>
          <w:color w:val="000000"/>
          <w:sz w:val="24"/>
          <w:szCs w:val="24"/>
          <w:highlight w:val="none"/>
        </w:rPr>
        <w:t xml:space="preserve"> iz Plana javn</w:t>
      </w:r>
      <w:r>
        <w:rPr>
          <w:rFonts w:hint="default" w:ascii="Arial" w:hAnsi="Arial" w:cs="Arial"/>
          <w:color w:val="000000"/>
          <w:sz w:val="24"/>
          <w:szCs w:val="24"/>
          <w:highlight w:val="none"/>
          <w:lang w:val="sr-Latn-ME"/>
        </w:rPr>
        <w:t>ih</w:t>
      </w:r>
      <w:r>
        <w:rPr>
          <w:rFonts w:hint="default" w:ascii="Arial" w:hAnsi="Arial" w:cs="Arial"/>
          <w:color w:val="000000"/>
          <w:sz w:val="24"/>
          <w:szCs w:val="24"/>
          <w:highlight w:val="none"/>
        </w:rPr>
        <w:t xml:space="preserve"> nabavk</w:t>
      </w:r>
      <w:r>
        <w:rPr>
          <w:rFonts w:hint="default" w:ascii="Arial" w:hAnsi="Arial" w:cs="Arial"/>
          <w:color w:val="000000"/>
          <w:sz w:val="24"/>
          <w:szCs w:val="24"/>
          <w:highlight w:val="none"/>
          <w:lang w:val="sr-Latn-ME"/>
        </w:rPr>
        <w:t>i</w:t>
      </w:r>
      <w:r>
        <w:rPr>
          <w:rFonts w:hint="default" w:ascii="Arial" w:hAnsi="Arial" w:cs="Arial"/>
          <w:color w:val="000000"/>
          <w:sz w:val="24"/>
          <w:szCs w:val="24"/>
          <w:highlight w:val="none"/>
        </w:rPr>
        <w:t xml:space="preserve"> </w:t>
      </w:r>
      <w:r>
        <w:rPr>
          <w:rFonts w:hint="default" w:ascii="Arial" w:hAnsi="Arial" w:cs="Arial"/>
          <w:sz w:val="24"/>
          <w:szCs w:val="24"/>
        </w:rPr>
        <w:t>br.</w:t>
      </w:r>
      <w:r>
        <w:rPr>
          <w:rFonts w:hint="default" w:ascii="Arial" w:hAnsi="Arial" w:cs="Arial"/>
          <w:sz w:val="24"/>
          <w:szCs w:val="24"/>
          <w:lang w:val="sr-Latn-ME"/>
        </w:rPr>
        <w:t xml:space="preserve"> 87/1,</w:t>
      </w:r>
      <w:r>
        <w:rPr>
          <w:rFonts w:hint="default" w:ascii="Arial" w:hAnsi="Arial" w:cs="Arial"/>
          <w:sz w:val="24"/>
          <w:szCs w:val="24"/>
          <w:lang w:val="pl-PL"/>
        </w:rPr>
        <w:t xml:space="preserve"> objavljenog na portalu </w:t>
      </w:r>
      <w:r>
        <w:rPr>
          <w:rFonts w:hint="default" w:ascii="Arial" w:hAnsi="Arial" w:cs="Arial"/>
          <w:sz w:val="24"/>
          <w:szCs w:val="24"/>
          <w:lang w:val="sr-Latn-ME"/>
        </w:rPr>
        <w:t>Direktorata za politiku javnih nabavki,</w:t>
      </w:r>
      <w:r>
        <w:rPr>
          <w:rFonts w:hint="default" w:ascii="Arial" w:hAnsi="Arial" w:cs="Arial"/>
          <w:sz w:val="24"/>
          <w:szCs w:val="24"/>
          <w:lang w:val="pl-PL"/>
        </w:rPr>
        <w:t xml:space="preserve"> dana </w:t>
      </w:r>
      <w:r>
        <w:rPr>
          <w:rFonts w:hint="default" w:ascii="Arial" w:hAnsi="Arial" w:cs="Arial"/>
          <w:sz w:val="24"/>
          <w:szCs w:val="24"/>
          <w:lang w:val="sr-Latn-ME"/>
        </w:rPr>
        <w:t>22</w:t>
      </w:r>
      <w:r>
        <w:rPr>
          <w:rFonts w:hint="default" w:ascii="Arial" w:hAnsi="Arial" w:cs="Arial"/>
          <w:sz w:val="24"/>
          <w:szCs w:val="24"/>
          <w:lang w:val="pl-PL"/>
        </w:rPr>
        <w:t>.</w:t>
      </w:r>
      <w:r>
        <w:rPr>
          <w:rFonts w:hint="default" w:ascii="Arial" w:hAnsi="Arial" w:cs="Arial"/>
          <w:sz w:val="24"/>
          <w:szCs w:val="24"/>
        </w:rPr>
        <w:t xml:space="preserve"> </w:t>
      </w:r>
      <w:r>
        <w:rPr>
          <w:rFonts w:hint="default" w:ascii="Arial" w:hAnsi="Arial" w:cs="Arial"/>
          <w:sz w:val="24"/>
          <w:szCs w:val="24"/>
          <w:lang w:val="sr-Latn-ME"/>
        </w:rPr>
        <w:t xml:space="preserve">februara </w:t>
      </w:r>
      <w:r>
        <w:rPr>
          <w:rFonts w:hint="default" w:ascii="Arial" w:hAnsi="Arial" w:cs="Arial"/>
          <w:sz w:val="24"/>
          <w:szCs w:val="24"/>
          <w:lang w:val="pl-PL"/>
        </w:rPr>
        <w:t>20</w:t>
      </w:r>
      <w:r>
        <w:rPr>
          <w:rFonts w:hint="default" w:ascii="Arial" w:hAnsi="Arial" w:cs="Arial"/>
          <w:sz w:val="24"/>
          <w:szCs w:val="24"/>
          <w:lang w:val="sr-Latn-ME"/>
        </w:rPr>
        <w:t>23</w:t>
      </w:r>
      <w:r>
        <w:rPr>
          <w:rFonts w:hint="default" w:ascii="Arial" w:hAnsi="Arial" w:cs="Arial"/>
          <w:sz w:val="24"/>
          <w:szCs w:val="24"/>
          <w:lang w:val="pl-PL"/>
        </w:rPr>
        <w:t>.godine</w:t>
      </w:r>
      <w:r>
        <w:rPr>
          <w:rFonts w:hint="default" w:ascii="Arial" w:hAnsi="Arial" w:cs="Arial"/>
          <w:sz w:val="24"/>
          <w:szCs w:val="24"/>
          <w:lang w:val="sl-SI"/>
        </w:rPr>
        <w:t>,</w:t>
      </w:r>
      <w:r>
        <w:rPr>
          <w:rFonts w:hint="default" w:ascii="Arial" w:hAnsi="Arial" w:cs="Arial"/>
          <w:sz w:val="24"/>
          <w:szCs w:val="24"/>
          <w:lang w:val="sr-Latn-ME"/>
        </w:rPr>
        <w:t xml:space="preserve"> </w:t>
      </w:r>
      <w:r>
        <w:rPr>
          <w:rFonts w:hint="default" w:ascii="Arial" w:hAnsi="Arial" w:cs="Arial"/>
          <w:sz w:val="24"/>
          <w:szCs w:val="24"/>
          <w:lang w:val="en-US"/>
        </w:rPr>
        <w:t xml:space="preserve">pod brojem </w:t>
      </w:r>
      <w:r>
        <w:rPr>
          <w:rFonts w:hint="default" w:ascii="Arial" w:hAnsi="Arial" w:cs="Arial"/>
          <w:sz w:val="24"/>
          <w:szCs w:val="24"/>
          <w:lang w:val="sr-Latn-ME"/>
        </w:rPr>
        <w:t>5517</w:t>
      </w:r>
      <w:r>
        <w:rPr>
          <w:rFonts w:hint="default" w:ascii="Arial" w:hAnsi="Arial" w:cs="Arial"/>
          <w:sz w:val="24"/>
          <w:szCs w:val="24"/>
          <w:lang w:val="en-US"/>
        </w:rPr>
        <w:t>,</w:t>
      </w:r>
      <w:r>
        <w:rPr>
          <w:rFonts w:hint="default" w:ascii="Arial" w:hAnsi="Arial" w:cs="Arial"/>
          <w:color w:val="000000"/>
          <w:sz w:val="24"/>
          <w:szCs w:val="24"/>
          <w:highlight w:val="none"/>
        </w:rPr>
        <w:t xml:space="preserve"> za nabavku </w:t>
      </w:r>
      <w:r>
        <w:rPr>
          <w:rFonts w:hint="default" w:ascii="Arial" w:hAnsi="Arial" w:cs="Arial"/>
          <w:color w:val="000000"/>
          <w:sz w:val="24"/>
          <w:szCs w:val="24"/>
          <w:highlight w:val="none"/>
          <w:lang w:val="sr-Latn-ME"/>
        </w:rPr>
        <w:t>raznih radova na površinskom sloju</w:t>
      </w:r>
      <w:r>
        <w:rPr>
          <w:rFonts w:hint="default" w:ascii="Arial" w:hAnsi="Arial" w:eastAsia="sans-serif" w:cs="Arial"/>
          <w:i w:val="0"/>
          <w:iCs w:val="0"/>
          <w:caps w:val="0"/>
          <w:spacing w:val="0"/>
          <w:sz w:val="24"/>
          <w:szCs w:val="24"/>
          <w:shd w:val="clear" w:fill="FFFFFF"/>
          <w:lang w:val="sr-Latn-ME"/>
        </w:rPr>
        <w:t xml:space="preserve">, </w:t>
      </w:r>
      <w:r>
        <w:rPr>
          <w:rFonts w:hint="default" w:ascii="Arial" w:hAnsi="Arial" w:cs="Arial"/>
          <w:color w:val="000000"/>
          <w:sz w:val="24"/>
          <w:szCs w:val="24"/>
          <w:highlight w:val="none"/>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ascii="Arial" w:hAnsi="Arial" w:cs="Arial"/>
          <w:color w:val="000000"/>
          <w:sz w:val="24"/>
          <w:szCs w:val="24"/>
          <w:highlight w:val="none"/>
        </w:rPr>
      </w:pPr>
    </w:p>
    <w:p>
      <w:pPr>
        <w:spacing w:after="0" w:line="240" w:lineRule="auto"/>
        <w:jc w:val="center"/>
        <w:rPr>
          <w:rFonts w:hint="default" w:ascii="Arial" w:hAnsi="Arial" w:eastAsia="Times New Roman" w:cs="Arial"/>
          <w:b/>
          <w:color w:val="000000"/>
          <w:sz w:val="22"/>
          <w:szCs w:val="22"/>
        </w:rPr>
      </w:pPr>
      <w:r>
        <w:rPr>
          <w:rFonts w:ascii="Times New Roman" w:hAnsi="Times New Roman" w:eastAsia="Times New Roman" w:cs="Times New Roman"/>
          <w:color w:val="000000"/>
          <w:sz w:val="24"/>
          <w:szCs w:val="24"/>
        </w:rPr>
        <w:t xml:space="preserve">  </w:t>
      </w:r>
      <w:r>
        <w:rPr>
          <w:rFonts w:cs="Times New Roman"/>
          <w:color w:val="000000"/>
          <w:sz w:val="24"/>
          <w:szCs w:val="24"/>
          <w:lang w:val="en-US"/>
        </w:rPr>
        <w:t xml:space="preserve">                                                                                                    </w:t>
      </w:r>
      <w:r>
        <w:rPr>
          <w:rFonts w:hint="default" w:cs="Times New Roman"/>
          <w:color w:val="000000"/>
          <w:sz w:val="22"/>
          <w:szCs w:val="22"/>
          <w:lang w:val="sr-Latn-ME"/>
        </w:rPr>
        <w:t xml:space="preserve">   </w:t>
      </w:r>
      <w:r>
        <w:rPr>
          <w:rFonts w:hint="default" w:ascii="Arial" w:hAnsi="Arial" w:eastAsia="Times New Roman" w:cs="Arial"/>
          <w:color w:val="000000"/>
          <w:sz w:val="22"/>
          <w:szCs w:val="22"/>
        </w:rPr>
        <w:t xml:space="preserve"> </w:t>
      </w:r>
      <w:r>
        <w:rPr>
          <w:rFonts w:hint="default" w:ascii="Arial" w:hAnsi="Arial" w:eastAsia="Times New Roman" w:cs="Arial"/>
          <w:b/>
          <w:color w:val="000000"/>
          <w:sz w:val="22"/>
          <w:szCs w:val="22"/>
        </w:rPr>
        <w:t xml:space="preserve">Ovlašćeno lice naručioca </w:t>
      </w:r>
    </w:p>
    <w:p>
      <w:pPr>
        <w:spacing w:after="0" w:line="240" w:lineRule="auto"/>
        <w:jc w:val="center"/>
        <w:rPr>
          <w:rFonts w:hint="default" w:ascii="Arial" w:hAnsi="Arial" w:eastAsia="Calibri" w:cs="Arial"/>
          <w:b/>
          <w:color w:val="000000"/>
          <w:sz w:val="22"/>
          <w:szCs w:val="22"/>
          <w:lang w:val="sr-Latn-ME"/>
        </w:rPr>
      </w:pPr>
      <w:r>
        <w:rPr>
          <w:rFonts w:hint="default" w:ascii="Arial" w:hAnsi="Arial" w:eastAsia="Calibri" w:cs="Arial"/>
          <w:b/>
          <w:color w:val="000000"/>
          <w:sz w:val="22"/>
          <w:szCs w:val="22"/>
        </w:rPr>
        <w:t xml:space="preserve">                                                                                                    </w:t>
      </w:r>
      <w:r>
        <w:rPr>
          <w:rFonts w:hint="default" w:ascii="Arial" w:hAnsi="Arial" w:eastAsia="Calibri" w:cs="Arial"/>
          <w:b/>
          <w:color w:val="000000"/>
          <w:sz w:val="22"/>
          <w:szCs w:val="22"/>
          <w:lang w:val="sr-Latn-ME"/>
        </w:rPr>
        <w:t xml:space="preserve">   VD</w:t>
      </w:r>
      <w:r>
        <w:rPr>
          <w:rFonts w:hint="default" w:ascii="Arial" w:hAnsi="Arial" w:eastAsia="Calibri" w:cs="Arial"/>
          <w:b/>
          <w:color w:val="000000"/>
          <w:sz w:val="22"/>
          <w:szCs w:val="22"/>
        </w:rPr>
        <w:t xml:space="preserve"> Izvršn</w:t>
      </w:r>
      <w:r>
        <w:rPr>
          <w:rFonts w:hint="default" w:ascii="Arial" w:hAnsi="Arial" w:eastAsia="Calibri" w:cs="Arial"/>
          <w:b/>
          <w:color w:val="000000"/>
          <w:sz w:val="22"/>
          <w:szCs w:val="22"/>
          <w:lang w:val="sr-Latn-ME"/>
        </w:rPr>
        <w:t>og</w:t>
      </w:r>
      <w:r>
        <w:rPr>
          <w:rFonts w:hint="default" w:ascii="Arial" w:hAnsi="Arial" w:eastAsia="Calibri" w:cs="Arial"/>
          <w:b/>
          <w:color w:val="000000"/>
          <w:sz w:val="22"/>
          <w:szCs w:val="22"/>
        </w:rPr>
        <w:t xml:space="preserve"> direktor</w:t>
      </w:r>
      <w:r>
        <w:rPr>
          <w:rFonts w:hint="default" w:ascii="Arial" w:hAnsi="Arial" w:eastAsia="Calibri" w:cs="Arial"/>
          <w:b/>
          <w:color w:val="000000"/>
          <w:sz w:val="22"/>
          <w:szCs w:val="22"/>
          <w:lang w:val="sr-Latn-ME"/>
        </w:rPr>
        <w:t>a</w:t>
      </w:r>
    </w:p>
    <w:p>
      <w:pPr>
        <w:spacing w:after="0" w:line="240" w:lineRule="auto"/>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w:t>
      </w:r>
      <w:r>
        <w:rPr>
          <w:rFonts w:hint="default" w:ascii="Arial" w:hAnsi="Arial" w:eastAsia="Calibri" w:cs="Arial"/>
          <w:color w:val="000000"/>
          <w:sz w:val="22"/>
          <w:szCs w:val="22"/>
          <w:lang w:val="sr-Latn-ME"/>
        </w:rPr>
        <w:t>oš Zečević</w:t>
      </w:r>
      <w:r>
        <w:rPr>
          <w:rFonts w:hint="default" w:ascii="Arial" w:hAnsi="Arial" w:eastAsia="Calibri" w:cs="Arial"/>
          <w:color w:val="000000"/>
          <w:sz w:val="22"/>
          <w:szCs w:val="22"/>
        </w:rPr>
        <w:t>, dipl.</w:t>
      </w:r>
      <w:r>
        <w:rPr>
          <w:rFonts w:hint="default" w:ascii="Arial" w:hAnsi="Arial" w:eastAsia="Calibri" w:cs="Arial"/>
          <w:color w:val="000000"/>
          <w:sz w:val="22"/>
          <w:szCs w:val="22"/>
          <w:lang w:val="sr-Latn-ME"/>
        </w:rPr>
        <w:t>pravnik</w:t>
      </w:r>
      <w:r>
        <w:rPr>
          <w:rFonts w:hint="default" w:ascii="Arial" w:hAnsi="Arial" w:eastAsia="Calibri" w:cs="Arial"/>
          <w:color w:val="000000"/>
          <w:sz w:val="22"/>
          <w:szCs w:val="22"/>
        </w:rPr>
        <w:t>.</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tabs>
          <w:tab w:val="left" w:pos="3290"/>
        </w:tabs>
        <w:spacing w:after="0" w:line="240" w:lineRule="auto"/>
        <w:ind w:left="5664" w:firstLine="708"/>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 xml:space="preserve">   s.r.</w:t>
      </w:r>
    </w:p>
    <w:p>
      <w:pPr>
        <w:spacing w:after="0" w:line="240" w:lineRule="auto"/>
        <w:ind w:firstLine="1134"/>
        <w:jc w:val="right"/>
        <w:rPr>
          <w:rFonts w:hint="default" w:ascii="Arial" w:hAnsi="Arial" w:eastAsia="Calibri" w:cs="Arial"/>
          <w:b/>
          <w:sz w:val="22"/>
          <w:szCs w:val="22"/>
        </w:rPr>
      </w:pPr>
      <w:r>
        <w:rPr>
          <w:rFonts w:hint="default" w:ascii="Arial" w:hAnsi="Arial" w:eastAsia="Times New Roman" w:cs="Arial"/>
          <w:b/>
          <w:color w:val="000000"/>
          <w:sz w:val="22"/>
          <w:szCs w:val="22"/>
        </w:rPr>
        <w:t>Službenik za javne nabavke</w:t>
      </w:r>
      <w:r>
        <w:rPr>
          <w:rFonts w:hint="default" w:ascii="Arial" w:hAnsi="Arial" w:eastAsia="Calibri" w:cs="Arial"/>
          <w:b/>
          <w:sz w:val="22"/>
          <w:szCs w:val="22"/>
        </w:rPr>
        <w:t xml:space="preserve"> </w:t>
      </w:r>
    </w:p>
    <w:p>
      <w:pPr>
        <w:wordWrap w:val="0"/>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color w:val="000000"/>
          <w:sz w:val="22"/>
          <w:szCs w:val="22"/>
        </w:rPr>
      </w:pPr>
      <w:r>
        <w:rPr>
          <w:rFonts w:hint="default" w:ascii="Arial" w:hAnsi="Arial" w:eastAsia="Times New Roman" w:cs="Arial"/>
          <w:b/>
          <w:color w:val="000000"/>
          <w:sz w:val="22"/>
          <w:szCs w:val="22"/>
        </w:rPr>
        <w:t xml:space="preserve">Lice koje je učestvovalo u planiranju javne nabavke </w:t>
      </w:r>
    </w:p>
    <w:p>
      <w:pPr>
        <w:tabs>
          <w:tab w:val="left" w:pos="3290"/>
        </w:tabs>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color w:val="000000"/>
          <w:sz w:val="22"/>
          <w:szCs w:val="22"/>
          <w:lang w:val="sr-Latn-ME"/>
        </w:rPr>
      </w:pPr>
      <w:r>
        <w:rPr>
          <w:rFonts w:hint="default" w:ascii="Arial" w:hAnsi="Arial" w:cs="Arial"/>
          <w:color w:val="000000"/>
          <w:sz w:val="22"/>
          <w:szCs w:val="22"/>
          <w:lang w:val="sr-Latn-ME"/>
        </w:rPr>
        <w:t xml:space="preserve">         </w:t>
      </w: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center"/>
        <w:rPr>
          <w:rFonts w:hint="default" w:ascii="Arial" w:hAnsi="Arial" w:eastAsia="Times New Roman" w:cs="Arial"/>
          <w:iCs/>
          <w:color w:val="000000"/>
          <w:sz w:val="22"/>
          <w:szCs w:val="22"/>
          <w:lang w:val="sr-Latn-ME"/>
        </w:rPr>
      </w:pPr>
      <w:r>
        <w:rPr>
          <w:rFonts w:hint="default" w:ascii="Arial" w:hAnsi="Arial" w:eastAsia="Calibri" w:cs="Arial"/>
          <w:sz w:val="22"/>
          <w:szCs w:val="22"/>
          <w:lang w:val="sr-Latn-ME"/>
        </w:rPr>
        <w:t xml:space="preserve">                                                                                                                        </w:t>
      </w:r>
      <w:r>
        <w:rPr>
          <w:rFonts w:hint="default" w:ascii="Arial" w:hAnsi="Arial" w:eastAsia="Calibri" w:cs="Arial"/>
          <w:sz w:val="22"/>
          <w:szCs w:val="22"/>
        </w:rPr>
        <w:t>mr.Miloš Vučelić</w:t>
      </w:r>
      <w:r>
        <w:rPr>
          <w:rFonts w:hint="default" w:ascii="Arial" w:hAnsi="Arial" w:eastAsia="Times New Roman" w:cs="Arial"/>
          <w:iCs/>
          <w:color w:val="000000"/>
          <w:sz w:val="22"/>
          <w:szCs w:val="22"/>
          <w:lang w:val="sr-Latn-ME"/>
        </w:rPr>
        <w:t xml:space="preserve"> </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iCs/>
          <w:color w:val="000000"/>
          <w:sz w:val="22"/>
          <w:szCs w:val="22"/>
          <w:lang w:val="sr-Latn-ME"/>
        </w:rPr>
      </w:pP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Ratko Andrijašević, dipl.inž.građ</w:t>
      </w: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spacing w:after="0" w:line="240" w:lineRule="auto"/>
        <w:jc w:val="both"/>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w:t>
      </w:r>
      <w:r>
        <w:rPr>
          <w:rFonts w:hint="default" w:ascii="Arial" w:hAnsi="Arial" w:cs="Arial"/>
          <w:i/>
          <w:iCs/>
          <w:color w:val="000000"/>
          <w:sz w:val="22"/>
          <w:szCs w:val="22"/>
          <w:lang w:val="sr-Latn-ME"/>
        </w:rPr>
        <w:t xml:space="preserve">                                     </w:t>
      </w:r>
      <w:r>
        <w:rPr>
          <w:rFonts w:hint="default" w:ascii="Arial" w:hAnsi="Arial" w:eastAsia="Times New Roman" w:cs="Arial"/>
          <w:i/>
          <w:iCs/>
          <w:color w:val="000000"/>
          <w:sz w:val="22"/>
          <w:szCs w:val="22"/>
        </w:rPr>
        <w:t>s.r.</w:t>
      </w:r>
      <w:r>
        <w:rPr>
          <w:rFonts w:hint="default" w:ascii="Arial" w:hAnsi="Arial" w:cs="Arial"/>
          <w:b/>
          <w:bCs/>
          <w:color w:val="000000"/>
          <w:sz w:val="22"/>
          <w:szCs w:val="22"/>
          <w:highlight w:val="none"/>
          <w:lang w:val="sr-Latn-ME"/>
        </w:rPr>
        <w:t xml:space="preserve">      </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Bojan Popović, spec.sci.građ.</w:t>
      </w: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center"/>
        <w:rPr>
          <w:rFonts w:hint="default" w:ascii="Arial" w:hAnsi="Arial" w:eastAsia="Times New Roman" w:cs="Arial"/>
          <w:color w:val="000000"/>
          <w:sz w:val="24"/>
          <w:szCs w:val="24"/>
        </w:rPr>
      </w:pPr>
    </w:p>
    <w:p>
      <w:pPr>
        <w:jc w:val="both"/>
        <w:rPr>
          <w:rFonts w:ascii="Arial" w:hAnsi="Arial" w:cs="Arial"/>
          <w:b/>
          <w:bCs/>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sz w:val="24"/>
          <w:szCs w:val="24"/>
        </w:rPr>
      </w:pPr>
      <w:bookmarkStart w:id="17" w:name="_Toc62730568"/>
      <w:r>
        <w:rPr>
          <w:rFonts w:ascii="Arial" w:hAnsi="Arial" w:cs="Arial"/>
          <w:b/>
          <w:sz w:val="24"/>
          <w:szCs w:val="24"/>
        </w:rPr>
        <w:t>UPUTSTVO O PRAVNOM SREDSTVU</w:t>
      </w:r>
      <w:bookmarkEnd w:id="17"/>
    </w:p>
    <w:p>
      <w:pPr>
        <w:tabs>
          <w:tab w:val="left" w:pos="5760"/>
        </w:tabs>
        <w:jc w:val="center"/>
        <w:rPr>
          <w:rFonts w:ascii="Arial" w:hAnsi="Arial" w:cs="Arial"/>
          <w:color w:val="000000"/>
          <w:sz w:val="24"/>
          <w:szCs w:val="24"/>
        </w:rPr>
      </w:pPr>
    </w:p>
    <w:p>
      <w:pPr>
        <w:tabs>
          <w:tab w:val="left" w:pos="5760"/>
        </w:tabs>
        <w:jc w:val="center"/>
        <w:rPr>
          <w:rFonts w:hint="default" w:ascii="Arial" w:hAnsi="Arial" w:cs="Arial"/>
          <w:color w:val="000000"/>
          <w:sz w:val="24"/>
          <w:szCs w:val="24"/>
        </w:rPr>
      </w:pPr>
    </w:p>
    <w:p>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pPr>
        <w:pStyle w:val="9"/>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tabs>
        <w:jc w:val="both"/>
        <w:rPr>
          <w:rFonts w:ascii="Arial" w:hAnsi="Arial" w:cs="Arial"/>
          <w:color w:val="000000"/>
          <w:lang w:val="sr-Latn-ME"/>
        </w:rPr>
      </w:pPr>
    </w:p>
    <w:p>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lang w:val="sr-Latn-ME"/>
        </w:rPr>
      </w:pPr>
    </w:p>
    <w:p>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pPr>
        <w:rPr>
          <w:sz w:val="24"/>
          <w:szCs w:val="24"/>
        </w:rPr>
      </w:pP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before="0" w:after="0" w:line="240" w:lineRule="auto"/>
      </w:pPr>
      <w:r>
        <w:separator/>
      </w:r>
    </w:p>
  </w:footnote>
  <w:footnote w:type="continuationSeparator" w:id="23">
    <w:p>
      <w:pPr>
        <w:spacing w:before="0" w:after="0" w:line="240" w:lineRule="auto"/>
      </w:pPr>
      <w:r>
        <w:continuationSeparator/>
      </w:r>
    </w:p>
  </w:footnote>
  <w:footnote w:id="0">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7">
    <w:p>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9">
    <w:p>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4532F077"/>
    <w:multiLevelType w:val="singleLevel"/>
    <w:tmpl w:val="4532F077"/>
    <w:lvl w:ilvl="0" w:tentative="0">
      <w:start w:val="1"/>
      <w:numFmt w:val="decimal"/>
      <w:suff w:val="space"/>
      <w:lvlText w:val="%1)"/>
      <w:lvlJc w:val="left"/>
    </w:lvl>
  </w:abstractNum>
  <w:abstractNum w:abstractNumId="5">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6">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3"/>
  </w:num>
  <w:num w:numId="4">
    <w:abstractNumId w:val="5"/>
  </w:num>
  <w:num w:numId="5">
    <w:abstractNumId w:val="6"/>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2"/>
    <w:footnote w:id="23"/>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076791"/>
    <w:rsid w:val="00265BDA"/>
    <w:rsid w:val="00691C76"/>
    <w:rsid w:val="006C7C6E"/>
    <w:rsid w:val="00AC1C0B"/>
    <w:rsid w:val="00AC1ECC"/>
    <w:rsid w:val="00BB2F09"/>
    <w:rsid w:val="00BC12A6"/>
    <w:rsid w:val="00CB7DD4"/>
    <w:rsid w:val="00DE1AC2"/>
    <w:rsid w:val="00FA7AE8"/>
    <w:rsid w:val="024E0B62"/>
    <w:rsid w:val="024E15E9"/>
    <w:rsid w:val="0321290E"/>
    <w:rsid w:val="0382180F"/>
    <w:rsid w:val="043E0803"/>
    <w:rsid w:val="047D6AC0"/>
    <w:rsid w:val="04E735A9"/>
    <w:rsid w:val="05AF2B10"/>
    <w:rsid w:val="060A7B11"/>
    <w:rsid w:val="08021077"/>
    <w:rsid w:val="0882267F"/>
    <w:rsid w:val="08D15A25"/>
    <w:rsid w:val="08EB6C4F"/>
    <w:rsid w:val="093D1475"/>
    <w:rsid w:val="09776735"/>
    <w:rsid w:val="09C84CD6"/>
    <w:rsid w:val="09F75AC8"/>
    <w:rsid w:val="0B2A50B3"/>
    <w:rsid w:val="0B5A60E7"/>
    <w:rsid w:val="0B8B248F"/>
    <w:rsid w:val="0CDF54F2"/>
    <w:rsid w:val="0EB33D07"/>
    <w:rsid w:val="10046D02"/>
    <w:rsid w:val="10125144"/>
    <w:rsid w:val="104C382C"/>
    <w:rsid w:val="10AD7E95"/>
    <w:rsid w:val="11324C53"/>
    <w:rsid w:val="1155422D"/>
    <w:rsid w:val="117D30DF"/>
    <w:rsid w:val="1199230C"/>
    <w:rsid w:val="11C83C75"/>
    <w:rsid w:val="11F56D91"/>
    <w:rsid w:val="12BB6963"/>
    <w:rsid w:val="143B675F"/>
    <w:rsid w:val="14A764D8"/>
    <w:rsid w:val="15E92B64"/>
    <w:rsid w:val="15EA028F"/>
    <w:rsid w:val="165D2A4D"/>
    <w:rsid w:val="167A20EE"/>
    <w:rsid w:val="17D3768B"/>
    <w:rsid w:val="186E045C"/>
    <w:rsid w:val="18873593"/>
    <w:rsid w:val="19DA393A"/>
    <w:rsid w:val="1AEE6E95"/>
    <w:rsid w:val="1BDD2D6F"/>
    <w:rsid w:val="1C425B40"/>
    <w:rsid w:val="1D806A5F"/>
    <w:rsid w:val="1D9E5773"/>
    <w:rsid w:val="1DBE39B4"/>
    <w:rsid w:val="1F5570C1"/>
    <w:rsid w:val="1F952153"/>
    <w:rsid w:val="1FD257A9"/>
    <w:rsid w:val="216453A6"/>
    <w:rsid w:val="217952E8"/>
    <w:rsid w:val="21D02A2F"/>
    <w:rsid w:val="22FE5CD5"/>
    <w:rsid w:val="236B222C"/>
    <w:rsid w:val="23FF0219"/>
    <w:rsid w:val="246D799A"/>
    <w:rsid w:val="24C83E91"/>
    <w:rsid w:val="24DE1C3D"/>
    <w:rsid w:val="25797704"/>
    <w:rsid w:val="28535E1A"/>
    <w:rsid w:val="28F6721F"/>
    <w:rsid w:val="2945261F"/>
    <w:rsid w:val="29D54FEB"/>
    <w:rsid w:val="2A9C779F"/>
    <w:rsid w:val="2B547157"/>
    <w:rsid w:val="2BE07D12"/>
    <w:rsid w:val="2E312AA7"/>
    <w:rsid w:val="2F4548EE"/>
    <w:rsid w:val="2F52325C"/>
    <w:rsid w:val="2FE5111B"/>
    <w:rsid w:val="30723D09"/>
    <w:rsid w:val="30986E0D"/>
    <w:rsid w:val="317A26B1"/>
    <w:rsid w:val="328F2A28"/>
    <w:rsid w:val="32FD564D"/>
    <w:rsid w:val="339662D2"/>
    <w:rsid w:val="33CA38CE"/>
    <w:rsid w:val="34201BF8"/>
    <w:rsid w:val="342F2658"/>
    <w:rsid w:val="34470052"/>
    <w:rsid w:val="34972557"/>
    <w:rsid w:val="34C55315"/>
    <w:rsid w:val="35D5640E"/>
    <w:rsid w:val="36170C6D"/>
    <w:rsid w:val="37386C54"/>
    <w:rsid w:val="37FB700F"/>
    <w:rsid w:val="38135F8D"/>
    <w:rsid w:val="3AB24F6F"/>
    <w:rsid w:val="3B867253"/>
    <w:rsid w:val="3BB02335"/>
    <w:rsid w:val="3BD66BEC"/>
    <w:rsid w:val="3CE96503"/>
    <w:rsid w:val="3D694E77"/>
    <w:rsid w:val="3DBA4175"/>
    <w:rsid w:val="3E112366"/>
    <w:rsid w:val="3F0E5B00"/>
    <w:rsid w:val="3F5D6B63"/>
    <w:rsid w:val="411C1395"/>
    <w:rsid w:val="417530D5"/>
    <w:rsid w:val="41EA2122"/>
    <w:rsid w:val="42BA7C89"/>
    <w:rsid w:val="433429C6"/>
    <w:rsid w:val="44867251"/>
    <w:rsid w:val="44C5421B"/>
    <w:rsid w:val="45F95D9F"/>
    <w:rsid w:val="46063928"/>
    <w:rsid w:val="46B41FA9"/>
    <w:rsid w:val="470D1349"/>
    <w:rsid w:val="47CC600D"/>
    <w:rsid w:val="481E3D52"/>
    <w:rsid w:val="4894387D"/>
    <w:rsid w:val="4971599D"/>
    <w:rsid w:val="49C66D3D"/>
    <w:rsid w:val="4B1367CC"/>
    <w:rsid w:val="4B310E80"/>
    <w:rsid w:val="4B5C0247"/>
    <w:rsid w:val="4B7F5814"/>
    <w:rsid w:val="4D8955CC"/>
    <w:rsid w:val="4E155DB9"/>
    <w:rsid w:val="4E89289B"/>
    <w:rsid w:val="4F0F185A"/>
    <w:rsid w:val="4F647B52"/>
    <w:rsid w:val="514504D0"/>
    <w:rsid w:val="51584D29"/>
    <w:rsid w:val="51AC22D6"/>
    <w:rsid w:val="51B30DD7"/>
    <w:rsid w:val="520A2C02"/>
    <w:rsid w:val="5235587D"/>
    <w:rsid w:val="53566988"/>
    <w:rsid w:val="53EB05F0"/>
    <w:rsid w:val="53EC1D2A"/>
    <w:rsid w:val="53F513BE"/>
    <w:rsid w:val="544A53F9"/>
    <w:rsid w:val="546B49DC"/>
    <w:rsid w:val="54C00DE0"/>
    <w:rsid w:val="54FA58A1"/>
    <w:rsid w:val="553B6EBD"/>
    <w:rsid w:val="55D5176B"/>
    <w:rsid w:val="57833AC4"/>
    <w:rsid w:val="57B76D0C"/>
    <w:rsid w:val="587170FA"/>
    <w:rsid w:val="587E502A"/>
    <w:rsid w:val="592179C3"/>
    <w:rsid w:val="5A16474F"/>
    <w:rsid w:val="5ACD1BA3"/>
    <w:rsid w:val="5AE422BF"/>
    <w:rsid w:val="5CC02939"/>
    <w:rsid w:val="5CD728E8"/>
    <w:rsid w:val="5D526D60"/>
    <w:rsid w:val="5D6B4D01"/>
    <w:rsid w:val="5D9108DF"/>
    <w:rsid w:val="5F176B0F"/>
    <w:rsid w:val="5FD42B18"/>
    <w:rsid w:val="60034C1C"/>
    <w:rsid w:val="60285EA0"/>
    <w:rsid w:val="60A64A45"/>
    <w:rsid w:val="60AD171C"/>
    <w:rsid w:val="60C40FFD"/>
    <w:rsid w:val="619C17F2"/>
    <w:rsid w:val="61B168FB"/>
    <w:rsid w:val="6225582B"/>
    <w:rsid w:val="63123FEF"/>
    <w:rsid w:val="633223A9"/>
    <w:rsid w:val="6408331E"/>
    <w:rsid w:val="646847EE"/>
    <w:rsid w:val="64693ABD"/>
    <w:rsid w:val="6492722D"/>
    <w:rsid w:val="64E50CD5"/>
    <w:rsid w:val="669C24AC"/>
    <w:rsid w:val="66C11F13"/>
    <w:rsid w:val="673D04F4"/>
    <w:rsid w:val="6772447A"/>
    <w:rsid w:val="68F63F17"/>
    <w:rsid w:val="69024B24"/>
    <w:rsid w:val="693958FD"/>
    <w:rsid w:val="697F1B3E"/>
    <w:rsid w:val="69877FC5"/>
    <w:rsid w:val="6B0561EE"/>
    <w:rsid w:val="6BAA4A2F"/>
    <w:rsid w:val="6C702343"/>
    <w:rsid w:val="6E832D09"/>
    <w:rsid w:val="6F136DCF"/>
    <w:rsid w:val="6F2A0EF1"/>
    <w:rsid w:val="6F7E6BF3"/>
    <w:rsid w:val="6FD30720"/>
    <w:rsid w:val="702E4A5E"/>
    <w:rsid w:val="70BF4F8C"/>
    <w:rsid w:val="71307204"/>
    <w:rsid w:val="713D385D"/>
    <w:rsid w:val="714571F5"/>
    <w:rsid w:val="716C7B3D"/>
    <w:rsid w:val="728C1131"/>
    <w:rsid w:val="734939BC"/>
    <w:rsid w:val="7358514C"/>
    <w:rsid w:val="74230CD8"/>
    <w:rsid w:val="74757D73"/>
    <w:rsid w:val="749F638C"/>
    <w:rsid w:val="74BD01BD"/>
    <w:rsid w:val="75235A27"/>
    <w:rsid w:val="758F7694"/>
    <w:rsid w:val="75966404"/>
    <w:rsid w:val="76103C3E"/>
    <w:rsid w:val="76161308"/>
    <w:rsid w:val="763C778B"/>
    <w:rsid w:val="764D1B55"/>
    <w:rsid w:val="76BC3782"/>
    <w:rsid w:val="77501411"/>
    <w:rsid w:val="77DE0B76"/>
    <w:rsid w:val="7856261E"/>
    <w:rsid w:val="7AED1AF4"/>
    <w:rsid w:val="7B034450"/>
    <w:rsid w:val="7B6A44CF"/>
    <w:rsid w:val="7C107455"/>
    <w:rsid w:val="7CAA10D2"/>
    <w:rsid w:val="7CB44141"/>
    <w:rsid w:val="7DB77853"/>
    <w:rsid w:val="7E177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styleId="7">
    <w:name w:val="Normal (Web)"/>
    <w:basedOn w:val="1"/>
    <w:semiHidden/>
    <w:unhideWhenUsed/>
    <w:qFormat/>
    <w:uiPriority w:val="99"/>
    <w:rPr>
      <w:sz w:val="24"/>
      <w:szCs w:val="24"/>
    </w:rPr>
  </w:style>
  <w:style w:type="character" w:customStyle="1" w:styleId="8">
    <w:name w:val="Footnote Text Char"/>
    <w:basedOn w:val="2"/>
    <w:link w:val="5"/>
    <w:qFormat/>
    <w:uiPriority w:val="99"/>
    <w:rPr>
      <w:rFonts w:ascii="Calibri" w:hAnsi="Calibri" w:eastAsia="Calibri" w:cs="Times New Roman"/>
      <w:sz w:val="20"/>
      <w:szCs w:val="20"/>
    </w:rPr>
  </w:style>
  <w:style w:type="paragraph" w:customStyle="1" w:styleId="9">
    <w:name w:val="T30X"/>
    <w:basedOn w:val="1"/>
    <w:qFormat/>
    <w:uiPriority w:val="99"/>
    <w:pPr>
      <w:autoSpaceDE w:val="0"/>
      <w:autoSpaceDN w:val="0"/>
      <w:adjustRightInd w:val="0"/>
      <w:spacing w:before="60" w:after="60"/>
      <w:ind w:firstLine="283"/>
      <w:jc w:val="both"/>
    </w:pPr>
    <w:rPr>
      <w:color w:val="00000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1870</Words>
  <Characters>10663</Characters>
  <Lines>88</Lines>
  <Paragraphs>25</Paragraphs>
  <TotalTime>4</TotalTime>
  <ScaleCrop>false</ScaleCrop>
  <LinksUpToDate>false</LinksUpToDate>
  <CharactersWithSpaces>12508</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Milos</cp:lastModifiedBy>
  <cp:lastPrinted>2023-10-03T13:31:08Z</cp:lastPrinted>
  <dcterms:modified xsi:type="dcterms:W3CDTF">2023-10-03T13:31:23Z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C1C8D766B79D47E3B25BCAB640C22DEB_13</vt:lpwstr>
  </property>
</Properties>
</file>