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b/>
          <w:color w:val="000000"/>
          <w:lang w:val="sr-Latn-ME"/>
        </w:rPr>
      </w:pPr>
      <w:bookmarkStart w:id="21" w:name="_GoBack"/>
      <w:bookmarkEnd w:id="21"/>
      <w:r>
        <w:rPr>
          <w:b/>
          <w:color w:val="000000"/>
          <w:lang w:val="sr-Latn-ME"/>
        </w:rPr>
        <w:t xml:space="preserve">OBRAZAC 1  </w:t>
      </w:r>
    </w:p>
    <w:p>
      <w:pPr>
        <w:rPr>
          <w:color w:val="000000"/>
          <w:lang w:val="sr-Latn-ME"/>
        </w:rPr>
      </w:pPr>
    </w:p>
    <w:p>
      <w:pPr>
        <w:tabs>
          <w:tab w:val="left" w:pos="1701"/>
          <w:tab w:val="left" w:pos="4820"/>
        </w:tabs>
        <w:jc w:val="both"/>
        <w:rPr>
          <w:color w:val="000000"/>
          <w:lang w:val="sr-Latn-ME"/>
        </w:rPr>
      </w:pPr>
      <w:bookmarkStart w:id="0" w:name="_Hlk91174710"/>
      <w:r>
        <w:rPr>
          <w:color w:val="000000"/>
          <w:u w:val="single"/>
          <w:lang w:val="sr-Latn-ME"/>
        </w:rPr>
        <w:t>JPU Zagorka Ivanović Cetinje</w:t>
      </w:r>
    </w:p>
    <w:bookmarkEnd w:id="0"/>
    <w:p>
      <w:pPr>
        <w:jc w:val="both"/>
        <w:rPr>
          <w:lang w:val="sr-Latn-ME"/>
        </w:rPr>
      </w:pPr>
      <w:r>
        <w:rPr>
          <w:lang w:val="sr-Latn-ME"/>
        </w:rPr>
        <w:t>Broj iz evidencije postupaka javnih nabavki: 1</w:t>
      </w:r>
    </w:p>
    <w:p>
      <w:pPr>
        <w:jc w:val="both"/>
        <w:rPr>
          <w:color w:val="000000"/>
          <w:lang w:val="sr-Latn-ME"/>
        </w:rPr>
      </w:pPr>
      <w:r>
        <w:rPr>
          <w:color w:val="000000"/>
          <w:lang w:val="sr-Latn-ME"/>
        </w:rPr>
        <w:t xml:space="preserve">Redni broj iz Plana javnih nabavki: </w:t>
      </w:r>
      <w:r>
        <w:rPr>
          <w:color w:val="000000"/>
        </w:rPr>
        <w:t>2</w:t>
      </w:r>
      <w:r>
        <w:rPr>
          <w:color w:val="000000"/>
          <w:lang w:val="sr-Latn-ME"/>
        </w:rPr>
        <w:t xml:space="preserve">, 3, </w:t>
      </w:r>
      <w:r>
        <w:rPr>
          <w:color w:val="000000"/>
        </w:rPr>
        <w:t>4</w:t>
      </w:r>
      <w:r>
        <w:rPr>
          <w:color w:val="000000"/>
          <w:lang w:val="sr-Latn-ME"/>
        </w:rPr>
        <w:t>,</w:t>
      </w:r>
      <w:r>
        <w:rPr>
          <w:color w:val="000000"/>
        </w:rPr>
        <w:t xml:space="preserve"> 6 i</w:t>
      </w:r>
      <w:r>
        <w:rPr>
          <w:color w:val="000000"/>
          <w:lang w:val="sr-Latn-ME"/>
        </w:rPr>
        <w:t xml:space="preserve"> 7 </w:t>
      </w:r>
    </w:p>
    <w:p>
      <w:pPr>
        <w:jc w:val="both"/>
        <w:rPr>
          <w:b/>
          <w:bCs/>
          <w:color w:val="000000"/>
          <w:lang w:val="sr-Latn-ME"/>
        </w:rPr>
      </w:pPr>
      <w:r>
        <w:rPr>
          <w:color w:val="000000"/>
          <w:lang w:val="sr-Latn-ME"/>
        </w:rPr>
        <w:t>Mjesto i datum: Cetinje, 0</w:t>
      </w:r>
      <w:r>
        <w:rPr>
          <w:color w:val="000000"/>
        </w:rPr>
        <w:t>5</w:t>
      </w:r>
      <w:r>
        <w:rPr>
          <w:color w:val="000000"/>
          <w:lang w:val="sr-Latn-ME"/>
        </w:rPr>
        <w:t>.0</w:t>
      </w:r>
      <w:r>
        <w:rPr>
          <w:color w:val="000000"/>
        </w:rPr>
        <w:t>6</w:t>
      </w:r>
      <w:r>
        <w:rPr>
          <w:color w:val="000000"/>
          <w:lang w:val="sr-Latn-ME"/>
        </w:rPr>
        <w:t>.2023. godine</w:t>
      </w:r>
    </w:p>
    <w:p>
      <w:pPr>
        <w:rPr>
          <w:lang w:val="sr-Latn-ME"/>
        </w:rPr>
      </w:pPr>
    </w:p>
    <w:p>
      <w:pPr>
        <w:rPr>
          <w:lang w:val="sr-Latn-ME"/>
        </w:rPr>
      </w:pPr>
    </w:p>
    <w:p>
      <w:pPr>
        <w:rPr>
          <w:lang w:val="sr-Latn-ME"/>
        </w:rPr>
      </w:pPr>
    </w:p>
    <w:p>
      <w:pPr>
        <w:tabs>
          <w:tab w:val="left" w:pos="1701"/>
          <w:tab w:val="left" w:pos="4820"/>
        </w:tabs>
        <w:jc w:val="both"/>
        <w:rPr>
          <w:color w:val="000000"/>
          <w:lang w:val="sr-Latn-ME"/>
        </w:rPr>
      </w:pPr>
      <w:r>
        <w:rPr>
          <w:lang w:val="sr-Latn-ME"/>
        </w:rPr>
        <w:t>Na osnovu člana 93 stav 1 Zakona o javnim nabavkama („Službeni list CG“, br. 074/19</w:t>
      </w:r>
      <w:r>
        <w:t xml:space="preserve"> </w:t>
      </w:r>
      <w:r>
        <w:rPr>
          <w:lang w:val="sr-Latn-ME"/>
        </w:rPr>
        <w:t xml:space="preserve">i 3/23) </w:t>
      </w:r>
      <w:r>
        <w:rPr>
          <w:color w:val="000000"/>
          <w:u w:val="single"/>
          <w:lang w:val="sr-Latn-ME"/>
        </w:rPr>
        <w:t xml:space="preserve"> JPU Zagorka Ivanović Cetinje</w:t>
      </w:r>
      <w:r>
        <w:rPr>
          <w:color w:val="000000"/>
          <w:lang w:val="sr-Latn-ME"/>
        </w:rPr>
        <w:t xml:space="preserve"> </w:t>
      </w:r>
      <w:r>
        <w:rPr>
          <w:lang w:val="sr-Latn-ME"/>
        </w:rPr>
        <w:t>objavljuje</w:t>
      </w:r>
      <w:r>
        <w:rPr>
          <w:b/>
          <w:bCs/>
          <w:color w:val="000000"/>
          <w:lang w:val="sr-Latn-ME"/>
        </w:rPr>
        <w:t xml:space="preserve">        </w:t>
      </w:r>
    </w:p>
    <w:p>
      <w:pPr>
        <w:tabs>
          <w:tab w:val="left" w:pos="1276"/>
          <w:tab w:val="left" w:pos="3261"/>
        </w:tabs>
        <w:jc w:val="both"/>
        <w:rPr>
          <w:b/>
          <w:bCs/>
          <w:color w:val="000000"/>
          <w:lang w:val="sr-Latn-ME"/>
        </w:rPr>
      </w:pPr>
    </w:p>
    <w:p>
      <w:pPr>
        <w:tabs>
          <w:tab w:val="left" w:pos="1276"/>
          <w:tab w:val="left" w:pos="3261"/>
        </w:tabs>
        <w:jc w:val="both"/>
        <w:rPr>
          <w:b/>
          <w:bCs/>
          <w:color w:val="000000"/>
          <w:lang w:val="sr-Latn-ME"/>
        </w:rPr>
      </w:pPr>
    </w:p>
    <w:p>
      <w:pPr>
        <w:tabs>
          <w:tab w:val="left" w:pos="1276"/>
          <w:tab w:val="left" w:pos="3261"/>
        </w:tabs>
        <w:jc w:val="both"/>
        <w:rPr>
          <w:b/>
          <w:bCs/>
          <w:color w:val="000000"/>
          <w:lang w:val="sr-Latn-ME"/>
        </w:rPr>
      </w:pPr>
    </w:p>
    <w:p>
      <w:pPr>
        <w:tabs>
          <w:tab w:val="left" w:pos="1276"/>
          <w:tab w:val="left" w:pos="3261"/>
        </w:tabs>
        <w:jc w:val="both"/>
        <w:rPr>
          <w:b/>
          <w:bCs/>
          <w:color w:val="000000"/>
          <w:lang w:val="sr-Latn-ME"/>
        </w:rPr>
      </w:pPr>
    </w:p>
    <w:p>
      <w:pPr>
        <w:tabs>
          <w:tab w:val="left" w:pos="1276"/>
          <w:tab w:val="left" w:pos="3261"/>
        </w:tabs>
        <w:jc w:val="both"/>
        <w:rPr>
          <w:b/>
          <w:bCs/>
          <w:color w:val="000000"/>
          <w:lang w:val="sr-Latn-ME"/>
        </w:rPr>
      </w:pPr>
    </w:p>
    <w:p>
      <w:pPr>
        <w:tabs>
          <w:tab w:val="left" w:pos="1276"/>
          <w:tab w:val="left" w:pos="3261"/>
        </w:tabs>
        <w:jc w:val="both"/>
        <w:rPr>
          <w:lang w:val="sr-Latn-ME"/>
        </w:rPr>
      </w:pPr>
      <w:r>
        <w:rPr>
          <w:b/>
          <w:bCs/>
          <w:color w:val="000000"/>
          <w:lang w:val="sr-Latn-ME"/>
        </w:rPr>
        <w:t xml:space="preserve">                                          </w:t>
      </w:r>
      <w:r>
        <w:rPr>
          <w:b/>
          <w:bCs/>
          <w:color w:val="000000"/>
          <w:lang w:val="sr-Latn-ME"/>
        </w:rPr>
        <w:tab/>
      </w:r>
      <w:r>
        <w:rPr>
          <w:bCs/>
          <w:color w:val="000000"/>
          <w:lang w:val="sr-Latn-ME"/>
        </w:rPr>
        <w:t xml:space="preserve">                                                      </w:t>
      </w:r>
    </w:p>
    <w:p>
      <w:pPr>
        <w:keepNext/>
        <w:jc w:val="center"/>
        <w:outlineLvl w:val="0"/>
        <w:rPr>
          <w:b/>
          <w:bCs/>
          <w:color w:val="000000"/>
          <w:lang w:val="sr-Latn-ME"/>
        </w:rPr>
      </w:pPr>
    </w:p>
    <w:p>
      <w:pPr>
        <w:jc w:val="center"/>
        <w:rPr>
          <w:b/>
          <w:bCs/>
          <w:color w:val="000000"/>
          <w:lang w:val="sr-Latn-ME"/>
        </w:rPr>
      </w:pPr>
      <w:r>
        <w:rPr>
          <w:b/>
          <w:bCs/>
          <w:color w:val="000000"/>
          <w:lang w:val="sr-Latn-ME"/>
        </w:rPr>
        <w:t>TENDERSKU DOKUMENTACIJU</w:t>
      </w:r>
    </w:p>
    <w:p>
      <w:pPr>
        <w:jc w:val="center"/>
        <w:rPr>
          <w:b/>
          <w:bCs/>
          <w:color w:val="000000"/>
          <w:lang w:val="sr-Latn-ME"/>
        </w:rPr>
      </w:pPr>
      <w:r>
        <w:rPr>
          <w:b/>
          <w:bCs/>
          <w:color w:val="000000"/>
          <w:lang w:val="sr-Latn-ME"/>
        </w:rPr>
        <w:t>ZA OTVORENI POSTUPAK JAVNE NABAVKE</w:t>
      </w:r>
    </w:p>
    <w:p>
      <w:pPr>
        <w:jc w:val="center"/>
        <w:rPr>
          <w:b/>
          <w:bCs/>
          <w:color w:val="000000"/>
          <w:lang w:val="sr-Latn-ME"/>
        </w:rPr>
      </w:pPr>
    </w:p>
    <w:p>
      <w:pPr>
        <w:jc w:val="center"/>
        <w:rPr>
          <w:color w:val="000000"/>
          <w:lang w:val="sr-Latn-ME"/>
        </w:rPr>
      </w:pPr>
      <w:r>
        <w:rPr>
          <w:color w:val="000000"/>
          <w:lang w:val="sr-Latn-ME"/>
        </w:rPr>
        <w:t>prehrambenih proizvoda za ishranu djece</w:t>
      </w:r>
    </w:p>
    <w:p>
      <w:pPr>
        <w:rPr>
          <w:lang w:val="sr-Latn-ME"/>
        </w:rPr>
      </w:pPr>
    </w:p>
    <w:p>
      <w:pPr>
        <w:jc w:val="both"/>
        <w:rPr>
          <w:color w:val="000000"/>
          <w:lang w:val="sr-Latn-ME"/>
        </w:rPr>
      </w:pPr>
      <w:r>
        <w:rPr>
          <w:color w:val="000000"/>
          <w:lang w:val="sr-Latn-ME"/>
        </w:rPr>
        <w:t>Predmet nabavke se nabavlja:</w:t>
      </w:r>
    </w:p>
    <w:p>
      <w:pPr>
        <w:jc w:val="both"/>
        <w:rPr>
          <w:color w:val="000000"/>
          <w:lang w:val="sr-Latn-ME"/>
        </w:rPr>
      </w:pPr>
    </w:p>
    <w:p>
      <w:pPr>
        <w:jc w:val="both"/>
        <w:rPr>
          <w:color w:val="000000"/>
          <w:lang w:val="sr-Latn-ME"/>
        </w:rPr>
      </w:pPr>
      <w:r>
        <w:rPr>
          <w:color w:val="000000"/>
          <w:lang w:val="sr-Latn-ME"/>
        </w:rPr>
        <w:sym w:font="Wingdings" w:char="F0A8"/>
      </w:r>
      <w:r>
        <w:rPr>
          <w:color w:val="000000"/>
          <w:lang w:val="sr-Latn-ME"/>
        </w:rPr>
        <w:t xml:space="preserve"> po partijama</w:t>
      </w: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rPr>
          <w:color w:val="000000"/>
          <w:lang w:val="sr-Latn-ME"/>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b/>
          <w:color w:val="000000"/>
          <w:lang w:val="sr-Latn-ME"/>
        </w:rPr>
      </w:pPr>
      <w:bookmarkStart w:id="1" w:name="_Toc62730553"/>
      <w:r>
        <w:rPr>
          <w:b/>
          <w:color w:val="000000"/>
          <w:lang w:val="sr-Latn-ME"/>
        </w:rPr>
        <w:t>POZIV ZA NADMETANJE</w:t>
      </w:r>
      <w:r>
        <w:rPr>
          <w:color w:val="000000"/>
          <w:vertAlign w:val="superscript"/>
        </w:rPr>
        <w:footnoteReference w:id="0"/>
      </w:r>
      <w:bookmarkEnd w:id="1"/>
      <w:r>
        <w:rPr>
          <w:b/>
          <w:color w:val="000000"/>
          <w:lang w:val="sr-Latn-ME"/>
        </w:rPr>
        <w:t xml:space="preserve"> </w:t>
      </w:r>
    </w:p>
    <w:p>
      <w:pPr>
        <w:rPr>
          <w:b/>
          <w:bCs/>
          <w:color w:val="000000"/>
          <w:lang w:val="sr-Latn-ME"/>
        </w:rPr>
      </w:pPr>
      <w:r>
        <w:rPr>
          <w:b/>
          <w:bCs/>
          <w:color w:val="000000"/>
          <w:lang w:val="sr-Latn-ME"/>
        </w:rPr>
        <w:tab/>
      </w:r>
    </w:p>
    <w:p>
      <w:pPr>
        <w:ind w:left="360"/>
        <w:jc w:val="center"/>
        <w:rPr>
          <w:b/>
          <w:bCs/>
          <w:color w:val="000000"/>
          <w:lang w:val="sr-Latn-ME"/>
        </w:rPr>
      </w:pPr>
    </w:p>
    <w:p>
      <w:pPr>
        <w:numPr>
          <w:ilvl w:val="0"/>
          <w:numId w:val="2"/>
        </w:numPr>
        <w:spacing w:after="160" w:line="256" w:lineRule="auto"/>
        <w:contextualSpacing/>
        <w:rPr>
          <w:rFonts w:eastAsia="Calibri"/>
          <w:color w:val="000000"/>
          <w:lang w:val="sr-Latn-ME"/>
        </w:rPr>
      </w:pPr>
      <w:r>
        <w:rPr>
          <w:rFonts w:eastAsia="Calibri"/>
          <w:color w:val="000000"/>
          <w:lang w:val="sr-Latn-ME"/>
        </w:rPr>
        <w:t>Podaci o naručiocu;</w:t>
      </w:r>
    </w:p>
    <w:p>
      <w:pPr>
        <w:numPr>
          <w:ilvl w:val="0"/>
          <w:numId w:val="2"/>
        </w:numPr>
        <w:spacing w:after="160" w:line="256" w:lineRule="auto"/>
        <w:contextualSpacing/>
        <w:rPr>
          <w:rFonts w:eastAsia="Calibri"/>
          <w:color w:val="000000"/>
          <w:lang w:val="sr-Latn-ME"/>
        </w:rPr>
      </w:pPr>
      <w:r>
        <w:rPr>
          <w:rFonts w:eastAsia="Calibri"/>
          <w:color w:val="000000"/>
          <w:lang w:val="sr-Latn-ME"/>
        </w:rPr>
        <w:t xml:space="preserve">Podaci o postupku i predmetu javne nabavke: </w:t>
      </w:r>
    </w:p>
    <w:p>
      <w:pPr>
        <w:numPr>
          <w:ilvl w:val="1"/>
          <w:numId w:val="2"/>
        </w:numPr>
        <w:spacing w:after="160" w:line="256" w:lineRule="auto"/>
        <w:contextualSpacing/>
        <w:rPr>
          <w:rFonts w:eastAsia="Calibri"/>
          <w:color w:val="000000"/>
          <w:lang w:val="sr-Latn-ME"/>
        </w:rPr>
      </w:pPr>
      <w:r>
        <w:rPr>
          <w:rFonts w:eastAsia="Calibri"/>
          <w:color w:val="000000"/>
          <w:lang w:val="sr-Latn-ME"/>
        </w:rPr>
        <w:t>Vrsta postupka,</w:t>
      </w:r>
    </w:p>
    <w:p>
      <w:pPr>
        <w:numPr>
          <w:ilvl w:val="1"/>
          <w:numId w:val="2"/>
        </w:numPr>
        <w:spacing w:after="160" w:line="256" w:lineRule="auto"/>
        <w:contextualSpacing/>
        <w:rPr>
          <w:rFonts w:eastAsia="Calibri"/>
          <w:color w:val="000000"/>
          <w:lang w:val="sr-Latn-ME"/>
        </w:rPr>
      </w:pPr>
      <w:r>
        <w:rPr>
          <w:rFonts w:eastAsia="Calibri"/>
          <w:color w:val="000000"/>
          <w:lang w:val="sr-Latn-ME"/>
        </w:rPr>
        <w:t>Predmet javne nabavke (vrsta predmeta, naziv i opis predmeta),</w:t>
      </w:r>
    </w:p>
    <w:p>
      <w:pPr>
        <w:numPr>
          <w:ilvl w:val="1"/>
          <w:numId w:val="2"/>
        </w:numPr>
        <w:spacing w:after="160" w:line="256" w:lineRule="auto"/>
        <w:contextualSpacing/>
        <w:rPr>
          <w:rFonts w:eastAsia="Calibri"/>
          <w:color w:val="000000"/>
          <w:lang w:val="sr-Latn-ME"/>
        </w:rPr>
      </w:pPr>
      <w:r>
        <w:rPr>
          <w:rFonts w:eastAsia="Calibri"/>
          <w:color w:val="000000"/>
          <w:lang w:val="sr-Latn-ME"/>
        </w:rPr>
        <w:t>Procijenjena vrijednost predmeta nabavke</w:t>
      </w:r>
      <w:r>
        <w:rPr>
          <w:rFonts w:eastAsia="Calibri"/>
          <w:color w:val="000000"/>
          <w:vertAlign w:val="superscript"/>
          <w:lang w:val="sr-Latn-ME"/>
        </w:rPr>
        <w:footnoteReference w:id="1"/>
      </w:r>
      <w:r>
        <w:rPr>
          <w:rFonts w:eastAsia="Calibri"/>
          <w:color w:val="000000"/>
          <w:lang w:val="sr-Latn-ME"/>
        </w:rPr>
        <w:t>,</w:t>
      </w:r>
    </w:p>
    <w:p>
      <w:pPr>
        <w:numPr>
          <w:ilvl w:val="1"/>
          <w:numId w:val="2"/>
        </w:numPr>
        <w:spacing w:after="160" w:line="256" w:lineRule="auto"/>
        <w:contextualSpacing/>
        <w:rPr>
          <w:rFonts w:eastAsia="Calibri"/>
          <w:color w:val="000000"/>
          <w:lang w:val="sr-Latn-ME"/>
        </w:rPr>
      </w:pPr>
      <w:r>
        <w:rPr>
          <w:rFonts w:eastAsia="Calibri"/>
          <w:color w:val="000000"/>
          <w:lang w:val="sr-Latn-ME"/>
        </w:rPr>
        <w:t xml:space="preserve">Način nabavke: </w:t>
      </w:r>
    </w:p>
    <w:p>
      <w:pPr>
        <w:numPr>
          <w:ilvl w:val="0"/>
          <w:numId w:val="3"/>
        </w:numPr>
        <w:spacing w:after="160" w:line="256" w:lineRule="auto"/>
        <w:contextualSpacing/>
        <w:rPr>
          <w:rFonts w:eastAsia="Calibri"/>
          <w:color w:val="000000"/>
          <w:lang w:val="sr-Latn-ME"/>
        </w:rPr>
      </w:pPr>
      <w:r>
        <w:rPr>
          <w:rFonts w:eastAsia="Calibri"/>
          <w:color w:val="000000"/>
          <w:lang w:val="sr-Latn-ME"/>
        </w:rPr>
        <w:t>Cjelina, po partijama,</w:t>
      </w:r>
    </w:p>
    <w:p>
      <w:pPr>
        <w:numPr>
          <w:ilvl w:val="0"/>
          <w:numId w:val="3"/>
        </w:numPr>
        <w:spacing w:after="160" w:line="256" w:lineRule="auto"/>
        <w:contextualSpacing/>
        <w:rPr>
          <w:rFonts w:eastAsia="Calibri"/>
          <w:color w:val="000000"/>
          <w:lang w:val="sr-Latn-ME"/>
        </w:rPr>
      </w:pPr>
      <w:r>
        <w:rPr>
          <w:rFonts w:eastAsia="Calibri"/>
          <w:color w:val="000000"/>
          <w:lang w:val="sr-Latn-ME"/>
        </w:rPr>
        <w:t>Zajednička nabavka,</w:t>
      </w:r>
    </w:p>
    <w:p>
      <w:pPr>
        <w:numPr>
          <w:ilvl w:val="0"/>
          <w:numId w:val="3"/>
        </w:numPr>
        <w:spacing w:after="160" w:line="256" w:lineRule="auto"/>
        <w:contextualSpacing/>
        <w:rPr>
          <w:rFonts w:eastAsia="Calibri"/>
          <w:color w:val="000000"/>
          <w:lang w:val="sr-Latn-ME"/>
        </w:rPr>
      </w:pPr>
      <w:r>
        <w:rPr>
          <w:rFonts w:eastAsia="Calibri"/>
          <w:color w:val="000000"/>
          <w:lang w:val="sr-Latn-ME"/>
        </w:rPr>
        <w:t>Centralizovana nabavka,</w:t>
      </w:r>
    </w:p>
    <w:p>
      <w:pPr>
        <w:numPr>
          <w:ilvl w:val="1"/>
          <w:numId w:val="2"/>
        </w:numPr>
        <w:spacing w:after="160" w:line="256" w:lineRule="auto"/>
        <w:contextualSpacing/>
        <w:rPr>
          <w:rFonts w:eastAsia="Calibri"/>
          <w:color w:val="000000"/>
          <w:lang w:val="sr-Latn-ME"/>
        </w:rPr>
      </w:pPr>
      <w:r>
        <w:rPr>
          <w:rFonts w:eastAsia="Calibri"/>
          <w:color w:val="000000"/>
          <w:lang w:val="sr-Latn-ME"/>
        </w:rPr>
        <w:t>Posebni oblik nabavke:</w:t>
      </w:r>
    </w:p>
    <w:p>
      <w:pPr>
        <w:numPr>
          <w:ilvl w:val="0"/>
          <w:numId w:val="4"/>
        </w:numPr>
        <w:spacing w:after="160" w:line="256" w:lineRule="auto"/>
        <w:contextualSpacing/>
        <w:rPr>
          <w:rFonts w:eastAsia="Calibri"/>
          <w:color w:val="000000"/>
          <w:lang w:val="sr-Latn-ME"/>
        </w:rPr>
      </w:pPr>
      <w:r>
        <w:rPr>
          <w:rFonts w:eastAsia="Calibri"/>
          <w:color w:val="000000"/>
          <w:lang w:val="sr-Latn-ME"/>
        </w:rPr>
        <w:t>Okvirni sporazum,</w:t>
      </w:r>
    </w:p>
    <w:p>
      <w:pPr>
        <w:numPr>
          <w:ilvl w:val="0"/>
          <w:numId w:val="4"/>
        </w:numPr>
        <w:spacing w:after="160" w:line="256" w:lineRule="auto"/>
        <w:contextualSpacing/>
        <w:rPr>
          <w:rFonts w:eastAsia="Calibri"/>
          <w:color w:val="000000"/>
          <w:lang w:val="sr-Latn-ME"/>
        </w:rPr>
      </w:pPr>
      <w:r>
        <w:rPr>
          <w:rFonts w:eastAsia="Calibri"/>
          <w:color w:val="000000"/>
          <w:lang w:val="sr-Latn-ME"/>
        </w:rPr>
        <w:t>Dinamički sistem nabavki,</w:t>
      </w:r>
    </w:p>
    <w:p>
      <w:pPr>
        <w:numPr>
          <w:ilvl w:val="0"/>
          <w:numId w:val="4"/>
        </w:numPr>
        <w:spacing w:after="160" w:line="256" w:lineRule="auto"/>
        <w:contextualSpacing/>
        <w:rPr>
          <w:rFonts w:eastAsia="Calibri"/>
          <w:color w:val="000000"/>
          <w:lang w:val="sr-Latn-ME"/>
        </w:rPr>
      </w:pPr>
      <w:r>
        <w:rPr>
          <w:rFonts w:eastAsia="Calibri"/>
          <w:color w:val="000000"/>
          <w:lang w:val="sr-Latn-ME"/>
        </w:rPr>
        <w:t>Elektronska aukcija,</w:t>
      </w:r>
    </w:p>
    <w:p>
      <w:pPr>
        <w:numPr>
          <w:ilvl w:val="0"/>
          <w:numId w:val="4"/>
        </w:numPr>
        <w:spacing w:after="160" w:line="256" w:lineRule="auto"/>
        <w:contextualSpacing/>
        <w:rPr>
          <w:rFonts w:eastAsia="Calibri"/>
          <w:color w:val="000000"/>
          <w:lang w:val="sr-Latn-ME"/>
        </w:rPr>
      </w:pPr>
      <w:r>
        <w:rPr>
          <w:rFonts w:eastAsia="Calibri"/>
          <w:color w:val="000000"/>
          <w:lang w:val="sr-Latn-ME"/>
        </w:rPr>
        <w:t>Elektronski katalog,</w:t>
      </w:r>
    </w:p>
    <w:p>
      <w:pPr>
        <w:numPr>
          <w:ilvl w:val="1"/>
          <w:numId w:val="2"/>
        </w:numPr>
        <w:spacing w:after="160" w:line="256" w:lineRule="auto"/>
        <w:contextualSpacing/>
        <w:rPr>
          <w:rFonts w:eastAsia="Calibri"/>
          <w:color w:val="000000"/>
          <w:lang w:val="sr-Latn-ME"/>
        </w:rPr>
      </w:pPr>
      <w:r>
        <w:rPr>
          <w:rFonts w:eastAsia="Calibri"/>
          <w:color w:val="000000"/>
          <w:lang w:val="sr-Latn-ME"/>
        </w:rPr>
        <w:t>Uslovi za učešće u postupku javne nabavke i posebni osnovi za isključenje,</w:t>
      </w:r>
    </w:p>
    <w:p>
      <w:pPr>
        <w:numPr>
          <w:ilvl w:val="1"/>
          <w:numId w:val="2"/>
        </w:numPr>
        <w:spacing w:after="160" w:line="256" w:lineRule="auto"/>
        <w:contextualSpacing/>
        <w:rPr>
          <w:rFonts w:eastAsia="Calibri"/>
          <w:color w:val="000000"/>
          <w:lang w:val="sr-Latn-ME"/>
        </w:rPr>
      </w:pPr>
      <w:r>
        <w:rPr>
          <w:rFonts w:eastAsia="Calibri"/>
          <w:color w:val="000000"/>
          <w:lang w:val="sr-Latn-ME"/>
        </w:rPr>
        <w:t>Kriterijum za izbor najpovoljnije ponude,</w:t>
      </w:r>
    </w:p>
    <w:p>
      <w:pPr>
        <w:numPr>
          <w:ilvl w:val="1"/>
          <w:numId w:val="2"/>
        </w:numPr>
        <w:spacing w:after="160" w:line="256" w:lineRule="auto"/>
        <w:contextualSpacing/>
        <w:rPr>
          <w:rFonts w:eastAsia="Calibri"/>
          <w:color w:val="000000"/>
          <w:lang w:val="sr-Latn-ME"/>
        </w:rPr>
      </w:pPr>
      <w:r>
        <w:rPr>
          <w:rFonts w:eastAsia="Calibri"/>
          <w:color w:val="000000"/>
          <w:lang w:val="sr-Latn-ME"/>
        </w:rPr>
        <w:t>Način, mjesto i vrijeme podnošenja ponuda i otvaranja ponuda,</w:t>
      </w:r>
    </w:p>
    <w:p>
      <w:pPr>
        <w:numPr>
          <w:ilvl w:val="1"/>
          <w:numId w:val="2"/>
        </w:numPr>
        <w:spacing w:after="160" w:line="256" w:lineRule="auto"/>
        <w:contextualSpacing/>
        <w:rPr>
          <w:rFonts w:eastAsia="Calibri"/>
          <w:color w:val="000000"/>
          <w:lang w:val="sr-Latn-ME"/>
        </w:rPr>
      </w:pPr>
      <w:r>
        <w:rPr>
          <w:rFonts w:eastAsia="Calibri"/>
          <w:color w:val="000000"/>
          <w:lang w:val="sr-Latn-ME"/>
        </w:rPr>
        <w:t>Rok za donošenje odluke o izboru,</w:t>
      </w:r>
    </w:p>
    <w:p>
      <w:pPr>
        <w:numPr>
          <w:ilvl w:val="1"/>
          <w:numId w:val="2"/>
        </w:numPr>
        <w:spacing w:after="160" w:line="256" w:lineRule="auto"/>
        <w:contextualSpacing/>
        <w:rPr>
          <w:rFonts w:eastAsia="Calibri"/>
          <w:color w:val="000000"/>
          <w:lang w:val="sr-Latn-ME"/>
        </w:rPr>
      </w:pPr>
      <w:r>
        <w:rPr>
          <w:rFonts w:eastAsia="Calibri"/>
          <w:color w:val="000000"/>
          <w:lang w:val="sr-Latn-ME"/>
        </w:rPr>
        <w:t>Rok važenja ponude,</w:t>
      </w:r>
    </w:p>
    <w:p>
      <w:pPr>
        <w:numPr>
          <w:ilvl w:val="1"/>
          <w:numId w:val="2"/>
        </w:numPr>
        <w:spacing w:after="160" w:line="256" w:lineRule="auto"/>
        <w:contextualSpacing/>
        <w:rPr>
          <w:rFonts w:eastAsia="Calibri"/>
          <w:color w:val="000000"/>
          <w:lang w:val="sr-Latn-ME"/>
        </w:rPr>
      </w:pPr>
      <w:r>
        <w:rPr>
          <w:rFonts w:eastAsia="Calibri"/>
          <w:color w:val="000000"/>
          <w:lang w:val="sr-Latn-ME"/>
        </w:rPr>
        <w:t>Garancija ponude</w:t>
      </w:r>
    </w:p>
    <w:p>
      <w:pPr>
        <w:rPr>
          <w:rFonts w:eastAsia="Calibri"/>
          <w:color w:val="000000"/>
          <w:lang w:val="sr-Latn-ME"/>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b/>
          <w:color w:val="000000"/>
          <w:lang w:val="sr-Latn-ME"/>
        </w:rPr>
      </w:pPr>
      <w:bookmarkStart w:id="2" w:name="_Toc62730554"/>
      <w:r>
        <w:rPr>
          <w:b/>
          <w:color w:val="000000"/>
          <w:lang w:val="sr-Latn-ME"/>
        </w:rPr>
        <w:t>TEHNIČKA SPECIFIKACIJA PREDMETA JAVNE NABAVKE</w:t>
      </w:r>
      <w:r>
        <w:rPr>
          <w:color w:val="000000"/>
          <w:vertAlign w:val="superscript"/>
        </w:rPr>
        <w:footnoteReference w:id="2"/>
      </w:r>
      <w:bookmarkEnd w:id="2"/>
    </w:p>
    <w:p>
      <w:pPr>
        <w:rPr>
          <w:rFonts w:eastAsia="Calibri"/>
          <w:color w:val="000000"/>
          <w:lang w:val="sr-Latn-ME"/>
        </w:rPr>
      </w:pPr>
    </w:p>
    <w:p>
      <w:pPr>
        <w:numPr>
          <w:ilvl w:val="0"/>
          <w:numId w:val="5"/>
        </w:numPr>
        <w:spacing w:after="160" w:line="256" w:lineRule="auto"/>
        <w:contextualSpacing/>
        <w:jc w:val="both"/>
        <w:rPr>
          <w:rFonts w:eastAsia="Calibri"/>
          <w:color w:val="000000"/>
          <w:lang w:val="sr-Latn-ME"/>
        </w:rPr>
      </w:pPr>
      <w:r>
        <w:rPr>
          <w:rFonts w:eastAsia="Calibri"/>
          <w:color w:val="000000"/>
          <w:lang w:val="sr-Latn-ME"/>
        </w:rPr>
        <w:t>Naziv i opis predmeta nabavke u cjelini, po partijama i stavkama sa bitnim karakteristikama</w:t>
      </w:r>
    </w:p>
    <w:p>
      <w:pPr>
        <w:numPr>
          <w:ilvl w:val="0"/>
          <w:numId w:val="5"/>
        </w:numPr>
        <w:spacing w:after="160" w:line="256" w:lineRule="auto"/>
        <w:contextualSpacing/>
        <w:jc w:val="both"/>
        <w:rPr>
          <w:rFonts w:eastAsia="Calibri"/>
          <w:color w:val="000000"/>
          <w:lang w:val="sr-Latn-ME"/>
        </w:rPr>
      </w:pPr>
      <w:r>
        <w:rPr>
          <w:rFonts w:eastAsia="Calibri"/>
          <w:color w:val="000000"/>
          <w:lang w:val="sr-Latn-ME"/>
        </w:rPr>
        <w:t>Zahtjevi u pogledu načina izvršavanja predmeta nabavke koji su od značaja za sačinjavanje ponude i izvršenje ugovora</w:t>
      </w:r>
    </w:p>
    <w:p>
      <w:pPr>
        <w:rPr>
          <w:rFonts w:eastAsia="Calibri"/>
          <w:color w:val="000000"/>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b/>
          <w:color w:val="000000"/>
          <w:lang w:val="sr-Latn-ME"/>
        </w:rPr>
      </w:pPr>
      <w:bookmarkStart w:id="3" w:name="_Toc62730555"/>
      <w:r>
        <w:rPr>
          <w:b/>
          <w:color w:val="000000"/>
          <w:lang w:val="sr-Latn-ME"/>
        </w:rPr>
        <w:t>DODATNE INFORMACIJE O PREDMETU I POSTUPKU NABAVKE</w:t>
      </w:r>
      <w:r>
        <w:rPr>
          <w:color w:val="000000"/>
          <w:vertAlign w:val="superscript"/>
        </w:rPr>
        <w:footnoteReference w:id="3"/>
      </w:r>
      <w:bookmarkEnd w:id="3"/>
    </w:p>
    <w:p>
      <w:pPr>
        <w:jc w:val="both"/>
        <w:rPr>
          <w:b/>
          <w:bCs/>
          <w:color w:val="000000"/>
          <w:lang w:val="sr-Latn-ME"/>
        </w:rPr>
      </w:pPr>
    </w:p>
    <w:p>
      <w:pPr>
        <w:pBdr>
          <w:top w:val="single" w:color="auto" w:sz="4" w:space="1"/>
          <w:left w:val="single" w:color="auto" w:sz="4" w:space="4"/>
          <w:bottom w:val="single" w:color="auto" w:sz="4" w:space="1"/>
          <w:right w:val="single" w:color="auto" w:sz="4" w:space="4"/>
        </w:pBdr>
        <w:shd w:val="clear" w:color="auto" w:fill="D9D9D9"/>
        <w:spacing w:after="160" w:line="256" w:lineRule="auto"/>
        <w:rPr>
          <w:rFonts w:eastAsia="Calibri"/>
          <w:b/>
          <w:bCs/>
          <w:color w:val="000000"/>
          <w:lang w:val="sr-Latn-ME"/>
        </w:rPr>
      </w:pPr>
      <w:r>
        <w:rPr>
          <w:rFonts w:eastAsia="Calibri"/>
          <w:b/>
          <w:bCs/>
          <w:color w:val="000000"/>
          <w:lang w:val="sr-Latn-ME"/>
        </w:rPr>
        <w:t>Procijenjena vrijednost predmenta nabavke:</w:t>
      </w:r>
      <w:r>
        <w:rPr>
          <w:rFonts w:eastAsia="Calibri"/>
          <w:b/>
          <w:bCs/>
          <w:color w:val="000000"/>
          <w:vertAlign w:val="superscript"/>
          <w:lang w:val="sr-Latn-ME"/>
        </w:rPr>
        <w:footnoteReference w:id="4"/>
      </w:r>
    </w:p>
    <w:p>
      <w:pPr>
        <w:spacing w:after="160" w:line="256" w:lineRule="auto"/>
        <w:jc w:val="both"/>
        <w:rPr>
          <w:rFonts w:eastAsia="Calibri"/>
          <w:color w:val="000000"/>
          <w:lang w:val="sr-Latn-ME"/>
        </w:rPr>
      </w:pPr>
    </w:p>
    <w:p>
      <w:pPr>
        <w:spacing w:after="160" w:line="256" w:lineRule="auto"/>
        <w:jc w:val="both"/>
        <w:rPr>
          <w:rFonts w:eastAsia="Calibri"/>
          <w:b/>
          <w:bCs/>
          <w:color w:val="000000"/>
          <w:lang w:val="sr-Latn-ME"/>
        </w:rPr>
      </w:pPr>
      <w:r>
        <w:rPr>
          <w:rFonts w:eastAsia="Calibri"/>
          <w:color w:val="000000"/>
          <w:lang w:val="sr-Latn-ME"/>
        </w:rPr>
        <w:sym w:font="Wingdings" w:char="F0A8"/>
      </w:r>
      <w:r>
        <w:rPr>
          <w:rFonts w:eastAsia="Calibri"/>
          <w:color w:val="000000"/>
          <w:lang w:val="sr-Latn-ME"/>
        </w:rPr>
        <w:t xml:space="preserve"> </w:t>
      </w:r>
      <w:r>
        <w:rPr>
          <w:rFonts w:eastAsia="Calibri"/>
          <w:b/>
          <w:bCs/>
          <w:color w:val="000000"/>
          <w:lang w:val="sr-Latn-ME"/>
        </w:rPr>
        <w:t>Procijenjena vrijednost predmeta nabavke bez zaključivanja okvirnog sporazuma</w:t>
      </w:r>
      <w:r>
        <w:rPr>
          <w:rFonts w:eastAsia="Calibri"/>
          <w:color w:val="000000"/>
          <w:lang w:val="sr-Latn-ME"/>
        </w:rPr>
        <w:t>:</w:t>
      </w:r>
    </w:p>
    <w:p>
      <w:pPr>
        <w:spacing w:after="160" w:line="256" w:lineRule="auto"/>
        <w:jc w:val="both"/>
        <w:rPr>
          <w:rFonts w:eastAsia="Calibri"/>
          <w:color w:val="000000"/>
          <w:lang w:val="sr-Latn-ME"/>
        </w:rPr>
      </w:pPr>
      <w:r>
        <w:rPr>
          <w:rFonts w:eastAsia="Calibri"/>
          <w:color w:val="000000"/>
          <w:lang w:val="sr-Latn-ME"/>
        </w:rPr>
        <w:sym w:font="Wingdings" w:char="F0A8"/>
      </w:r>
      <w:r>
        <w:rPr>
          <w:rFonts w:eastAsia="Calibri"/>
          <w:color w:val="000000"/>
          <w:lang w:val="sr-Latn-ME"/>
        </w:rPr>
        <w:t xml:space="preserve"> po partijama je:</w:t>
      </w:r>
    </w:p>
    <w:p>
      <w:pPr>
        <w:spacing w:after="160" w:line="256" w:lineRule="auto"/>
        <w:jc w:val="both"/>
        <w:rPr>
          <w:rFonts w:eastAsia="Calibri"/>
          <w:color w:val="000000"/>
          <w:lang w:val="sl-SI"/>
        </w:rPr>
      </w:pPr>
      <w:r>
        <w:rPr>
          <w:rFonts w:eastAsia="Calibri"/>
          <w:color w:val="000000"/>
        </w:rPr>
        <w:t>Partija 1</w:t>
      </w:r>
      <w:r>
        <w:rPr>
          <w:rFonts w:eastAsia="Calibri"/>
          <w:color w:val="000000"/>
          <w:lang w:val="sl-SI"/>
        </w:rPr>
        <w:t xml:space="preserve">: Brašno procijene vrijednosti </w:t>
      </w:r>
      <w:r>
        <w:rPr>
          <w:rFonts w:eastAsia="SimSun"/>
        </w:rPr>
        <w:t>1.570,25</w:t>
      </w:r>
      <w:r>
        <w:rPr>
          <w:rFonts w:eastAsia="SimSun"/>
          <w:lang w:val="sl-SI"/>
        </w:rPr>
        <w:t xml:space="preserve"> €</w:t>
      </w:r>
    </w:p>
    <w:p>
      <w:pPr>
        <w:spacing w:after="160" w:line="256" w:lineRule="auto"/>
        <w:jc w:val="both"/>
        <w:rPr>
          <w:rFonts w:eastAsia="Calibri"/>
          <w:color w:val="000000"/>
          <w:lang w:val="sr-Latn-ME"/>
        </w:rPr>
      </w:pPr>
      <w:bookmarkStart w:id="4" w:name="_Hlk91176342"/>
      <w:r>
        <w:rPr>
          <w:rFonts w:eastAsia="Calibri"/>
          <w:color w:val="000000"/>
          <w:lang w:val="sr-Latn-ME"/>
        </w:rPr>
        <w:t xml:space="preserve">Partija </w:t>
      </w:r>
      <w:r>
        <w:rPr>
          <w:rFonts w:eastAsia="Calibri"/>
          <w:color w:val="000000"/>
        </w:rPr>
        <w:t>2</w:t>
      </w:r>
      <w:r>
        <w:rPr>
          <w:rFonts w:eastAsia="Calibri"/>
          <w:color w:val="000000"/>
          <w:lang w:val="sr-Latn-ME"/>
        </w:rPr>
        <w:t xml:space="preserve">: Mlijeko i mliječni proizvodi procijenjene vrijednosti </w:t>
      </w:r>
      <w:r>
        <w:rPr>
          <w:rFonts w:eastAsia="SimSun"/>
        </w:rPr>
        <w:t xml:space="preserve">7.107,44 </w:t>
      </w:r>
      <w:r>
        <w:rPr>
          <w:rFonts w:eastAsia="Calibri"/>
          <w:color w:val="000000"/>
          <w:lang w:val="sr-Latn-ME"/>
        </w:rPr>
        <w:t xml:space="preserve"> €</w:t>
      </w:r>
    </w:p>
    <w:bookmarkEnd w:id="4"/>
    <w:p>
      <w:pPr>
        <w:spacing w:after="160" w:line="256" w:lineRule="auto"/>
        <w:jc w:val="both"/>
        <w:rPr>
          <w:rFonts w:eastAsia="Calibri"/>
          <w:color w:val="000000"/>
          <w:lang w:val="sr-Latn-ME"/>
        </w:rPr>
      </w:pPr>
      <w:r>
        <w:rPr>
          <w:rFonts w:eastAsia="Calibri"/>
          <w:color w:val="000000"/>
          <w:lang w:val="sr-Latn-ME"/>
        </w:rPr>
        <w:t xml:space="preserve">Partija 3: </w:t>
      </w:r>
      <w:r>
        <w:rPr>
          <w:rFonts w:eastAsia="Calibri"/>
          <w:color w:val="000000"/>
          <w:lang w:val="sl-SI"/>
        </w:rPr>
        <w:t>Jaja</w:t>
      </w:r>
      <w:r>
        <w:rPr>
          <w:rFonts w:eastAsia="Calibri"/>
          <w:color w:val="000000"/>
          <w:lang w:val="sr-Latn-ME"/>
        </w:rPr>
        <w:t xml:space="preserve"> procijenjene vrijednosti </w:t>
      </w:r>
      <w:r>
        <w:rPr>
          <w:rFonts w:eastAsia="SimSun"/>
        </w:rPr>
        <w:t>661,16</w:t>
      </w:r>
      <w:r>
        <w:rPr>
          <w:rFonts w:eastAsia="Calibri"/>
          <w:color w:val="000000"/>
          <w:lang w:val="sr-Latn-ME"/>
        </w:rPr>
        <w:t xml:space="preserve"> €</w:t>
      </w:r>
    </w:p>
    <w:p>
      <w:pPr>
        <w:spacing w:after="160" w:line="256" w:lineRule="auto"/>
        <w:jc w:val="both"/>
        <w:rPr>
          <w:rFonts w:eastAsia="Calibri"/>
          <w:color w:val="000000"/>
          <w:lang w:val="sr-Latn-ME"/>
        </w:rPr>
      </w:pPr>
      <w:r>
        <w:rPr>
          <w:rFonts w:eastAsia="Calibri"/>
          <w:color w:val="000000"/>
          <w:lang w:val="sr-Latn-ME"/>
        </w:rPr>
        <w:t xml:space="preserve">Partija 4: Voće i povrće procijenjene vrijednosti </w:t>
      </w:r>
      <w:r>
        <w:rPr>
          <w:rFonts w:eastAsia="SimSun"/>
        </w:rPr>
        <w:t>10.165,29</w:t>
      </w:r>
      <w:r>
        <w:rPr>
          <w:rFonts w:eastAsia="Calibri"/>
          <w:color w:val="000000"/>
          <w:lang w:val="sr-Latn-ME"/>
        </w:rPr>
        <w:t xml:space="preserve"> €</w:t>
      </w:r>
    </w:p>
    <w:p>
      <w:pPr>
        <w:spacing w:after="160" w:line="256" w:lineRule="auto"/>
        <w:jc w:val="both"/>
        <w:rPr>
          <w:rFonts w:eastAsia="Calibri"/>
          <w:i/>
          <w:iCs/>
          <w:color w:val="000000"/>
          <w:lang w:val="sr-Latn-ME"/>
        </w:rPr>
      </w:pPr>
      <w:r>
        <w:rPr>
          <w:rFonts w:eastAsia="Calibri"/>
          <w:color w:val="000000"/>
          <w:lang w:val="sr-Latn-ME"/>
        </w:rPr>
        <w:t xml:space="preserve">Partija 5: Ostali prehrambeni proizvodi procijenjene vrijednosti </w:t>
      </w:r>
      <w:r>
        <w:rPr>
          <w:rFonts w:eastAsia="SimSun"/>
        </w:rPr>
        <w:t xml:space="preserve">10.991,74 </w:t>
      </w:r>
      <w:r>
        <w:rPr>
          <w:rFonts w:eastAsia="Calibri"/>
          <w:color w:val="000000"/>
          <w:lang w:val="sr-Latn-ME"/>
        </w:rPr>
        <w:t xml:space="preserve"> €</w:t>
      </w:r>
    </w:p>
    <w:p>
      <w:pPr>
        <w:spacing w:after="160" w:line="256" w:lineRule="auto"/>
        <w:jc w:val="both"/>
        <w:rPr>
          <w:rFonts w:eastAsia="Calibri"/>
          <w:color w:val="000000"/>
          <w:lang w:val="sr-Latn-ME"/>
        </w:rPr>
      </w:pPr>
      <w:r>
        <w:rPr>
          <w:rFonts w:eastAsia="Calibri"/>
          <w:color w:val="000000"/>
          <w:lang w:val="sr-Latn-ME"/>
        </w:rPr>
        <w:t xml:space="preserve">                                      UKUPNO:                    </w:t>
      </w:r>
      <w:r>
        <w:rPr>
          <w:rFonts w:eastAsia="Calibri"/>
          <w:color w:val="000000"/>
          <w:lang w:val="sl-SI"/>
        </w:rPr>
        <w:t>30.495</w:t>
      </w:r>
      <w:r>
        <w:rPr>
          <w:rFonts w:eastAsia="Calibri"/>
          <w:color w:val="000000"/>
          <w:lang w:val="sr-Latn-ME"/>
        </w:rPr>
        <w:t>,</w:t>
      </w:r>
      <w:r>
        <w:rPr>
          <w:rFonts w:eastAsia="Calibri"/>
          <w:color w:val="000000"/>
          <w:lang w:val="sl-SI"/>
        </w:rPr>
        <w:t>88</w:t>
      </w:r>
      <w:r>
        <w:rPr>
          <w:rFonts w:eastAsia="Calibri"/>
          <w:color w:val="000000"/>
          <w:lang w:val="sr-Latn-ME"/>
        </w:rPr>
        <w:t xml:space="preserve"> €.</w:t>
      </w:r>
    </w:p>
    <w:p>
      <w:pPr>
        <w:pBdr>
          <w:top w:val="single" w:color="auto" w:sz="4" w:space="1"/>
          <w:left w:val="single" w:color="auto" w:sz="4" w:space="4"/>
          <w:bottom w:val="single" w:color="auto" w:sz="4" w:space="1"/>
          <w:right w:val="single" w:color="auto" w:sz="4" w:space="4"/>
        </w:pBdr>
        <w:shd w:val="clear" w:color="auto" w:fill="D9D9D9"/>
        <w:rPr>
          <w:b/>
          <w:color w:val="000000"/>
          <w:lang w:val="sr-Latn-ME"/>
        </w:rPr>
      </w:pPr>
      <w:r>
        <w:rPr>
          <w:b/>
          <w:color w:val="000000"/>
          <w:lang w:val="sr-Latn-ME"/>
        </w:rPr>
        <w:t>ZAKLJUČIVANJE OKVIRNOG SPORAZUMA</w:t>
      </w:r>
      <w:r>
        <w:rPr>
          <w:b/>
          <w:color w:val="000000"/>
          <w:vertAlign w:val="superscript"/>
          <w:lang w:val="sr-Latn-ME"/>
        </w:rPr>
        <w:footnoteReference w:id="5"/>
      </w:r>
    </w:p>
    <w:p>
      <w:pPr>
        <w:jc w:val="both"/>
        <w:rPr>
          <w:color w:val="000000"/>
          <w:lang w:val="sr-Latn-ME"/>
        </w:rPr>
      </w:pPr>
    </w:p>
    <w:p>
      <w:pPr>
        <w:pBdr>
          <w:top w:val="single" w:color="auto" w:sz="4" w:space="1"/>
          <w:left w:val="single" w:color="auto" w:sz="4" w:space="4"/>
          <w:bottom w:val="single" w:color="auto" w:sz="4" w:space="1"/>
          <w:right w:val="single" w:color="auto" w:sz="4" w:space="4"/>
        </w:pBdr>
        <w:shd w:val="clear" w:color="auto" w:fill="F2F2F2"/>
        <w:jc w:val="both"/>
        <w:rPr>
          <w:color w:val="000000"/>
          <w:lang w:val="sr-Latn-ME"/>
        </w:rPr>
      </w:pPr>
      <w:r>
        <w:rPr>
          <w:color w:val="000000"/>
          <w:lang w:val="sr-Latn-ME"/>
        </w:rPr>
        <w:t>Zaključiće se okvirni sporazum:</w:t>
      </w:r>
    </w:p>
    <w:p>
      <w:pPr>
        <w:jc w:val="both"/>
        <w:rPr>
          <w:color w:val="000000"/>
          <w:lang w:val="sr-Latn-ME"/>
        </w:rPr>
      </w:pPr>
    </w:p>
    <w:p>
      <w:pPr>
        <w:jc w:val="both"/>
        <w:rPr>
          <w:color w:val="000000"/>
          <w:lang w:val="sr-Latn-ME"/>
        </w:rPr>
      </w:pPr>
      <w:r>
        <w:rPr>
          <w:color w:val="000000"/>
          <w:lang w:val="sr-Latn-ME"/>
        </w:rPr>
        <w:sym w:font="Wingdings" w:char="F0A8"/>
      </w:r>
      <w:r>
        <w:rPr>
          <w:color w:val="000000"/>
          <w:lang w:val="sr-Latn-ME"/>
        </w:rPr>
        <w:t xml:space="preserve"> ne</w:t>
      </w:r>
    </w:p>
    <w:p>
      <w:pPr>
        <w:jc w:val="both"/>
        <w:rPr>
          <w:color w:val="000000"/>
          <w:lang w:val="sr-Latn-ME"/>
        </w:rPr>
      </w:pPr>
    </w:p>
    <w:p>
      <w:pPr>
        <w:pBdr>
          <w:top w:val="single" w:color="auto" w:sz="4" w:space="1"/>
          <w:left w:val="single" w:color="auto" w:sz="4" w:space="4"/>
          <w:bottom w:val="single" w:color="auto" w:sz="4" w:space="1"/>
          <w:right w:val="single" w:color="auto" w:sz="4" w:space="4"/>
        </w:pBdr>
        <w:shd w:val="clear" w:color="auto" w:fill="BFBFBF"/>
        <w:jc w:val="both"/>
        <w:rPr>
          <w:color w:val="000000"/>
          <w:lang w:val="sr-Latn-ME"/>
        </w:rPr>
      </w:pPr>
      <w:r>
        <w:rPr>
          <w:b/>
          <w:color w:val="000000"/>
          <w:lang w:val="sr-Latn-ME"/>
        </w:rPr>
        <w:t>PODACI O NARUČIOCIMA KOJI ZAKLJUČUJU ZAJEDNIČKU NABAVKU</w:t>
      </w:r>
    </w:p>
    <w:p>
      <w:pPr>
        <w:jc w:val="both"/>
        <w:rPr>
          <w:color w:val="000000"/>
          <w:lang w:val="sr-Latn-ME"/>
        </w:rPr>
      </w:pPr>
    </w:p>
    <w:p>
      <w:pPr>
        <w:jc w:val="both"/>
        <w:rPr>
          <w:color w:val="000000"/>
          <w:lang w:val="sr-Latn-ME"/>
        </w:rPr>
      </w:pPr>
      <w:r>
        <w:rPr>
          <w:color w:val="000000"/>
          <w:lang w:val="sr-Latn-ME"/>
        </w:rPr>
        <w:t xml:space="preserve">Zajednička nabavka se sprovodi za </w:t>
      </w:r>
      <w:bookmarkStart w:id="5" w:name="_Hlk91176675"/>
      <w:r>
        <w:rPr>
          <w:b/>
          <w:bCs/>
          <w:color w:val="000000"/>
          <w:lang w:val="sr-Latn-ME"/>
        </w:rPr>
        <w:t>NIJE PRIMJENJIVO</w:t>
      </w:r>
      <w:bookmarkEnd w:id="5"/>
    </w:p>
    <w:p>
      <w:pPr>
        <w:jc w:val="both"/>
        <w:rPr>
          <w:color w:val="000000"/>
          <w:lang w:val="sr-Latn-ME"/>
        </w:rPr>
      </w:pPr>
    </w:p>
    <w:p>
      <w:pPr>
        <w:pBdr>
          <w:top w:val="single" w:color="auto" w:sz="4" w:space="1"/>
          <w:left w:val="single" w:color="auto" w:sz="4" w:space="0"/>
          <w:bottom w:val="single" w:color="auto" w:sz="4" w:space="1"/>
          <w:right w:val="single" w:color="auto" w:sz="4" w:space="4"/>
        </w:pBdr>
        <w:shd w:val="clear" w:color="auto" w:fill="BFBFBF"/>
        <w:jc w:val="both"/>
        <w:rPr>
          <w:color w:val="000000"/>
          <w:lang w:val="sr-Latn-ME"/>
        </w:rPr>
      </w:pPr>
      <w:r>
        <w:rPr>
          <w:b/>
          <w:color w:val="000000"/>
          <w:lang w:val="sr-Latn-ME"/>
        </w:rPr>
        <w:t>PODACI O NARUČIOCIMA KOJI SU UKLJUČENI U CENTRALIZOVANU NABAVKU</w:t>
      </w:r>
    </w:p>
    <w:p>
      <w:pPr>
        <w:jc w:val="both"/>
        <w:rPr>
          <w:lang w:val="sr-Latn-ME"/>
        </w:rPr>
      </w:pPr>
    </w:p>
    <w:p>
      <w:pPr>
        <w:jc w:val="both"/>
        <w:rPr>
          <w:b/>
          <w:bCs/>
          <w:color w:val="000000"/>
          <w:lang w:val="sr-Latn-ME"/>
        </w:rPr>
      </w:pPr>
      <w:r>
        <w:rPr>
          <w:lang w:val="sr-Latn-ME"/>
        </w:rPr>
        <w:t>Centralizovana nabavka se sprovodi za</w:t>
      </w:r>
      <w:r>
        <w:rPr>
          <w:b/>
          <w:bCs/>
          <w:color w:val="000000"/>
          <w:lang w:val="sr-Latn-ME"/>
        </w:rPr>
        <w:t xml:space="preserve"> NIJE PRIMJENJIVO</w:t>
      </w:r>
    </w:p>
    <w:p>
      <w:pPr>
        <w:jc w:val="both"/>
        <w:rPr>
          <w:lang w:val="sr-Latn-ME"/>
        </w:rPr>
      </w:pPr>
    </w:p>
    <w:p>
      <w:pPr>
        <w:pBdr>
          <w:top w:val="single" w:color="auto" w:sz="4" w:space="1"/>
          <w:left w:val="single" w:color="auto" w:sz="4" w:space="4"/>
          <w:bottom w:val="single" w:color="auto" w:sz="4" w:space="1"/>
          <w:right w:val="single" w:color="auto" w:sz="4" w:space="4"/>
        </w:pBdr>
        <w:shd w:val="clear" w:color="auto" w:fill="D9D9D9"/>
        <w:rPr>
          <w:b/>
          <w:lang w:val="sr-Latn-ME"/>
        </w:rPr>
      </w:pPr>
      <w:r>
        <w:rPr>
          <w:b/>
          <w:lang w:val="sr-Latn-ME"/>
        </w:rPr>
        <w:t>NAČIN SPROVOĐENJA ELEKTRONSKE AUKCIJE</w:t>
      </w:r>
    </w:p>
    <w:p>
      <w:pPr>
        <w:jc w:val="both"/>
        <w:rPr>
          <w:lang w:val="sr-Latn-ME"/>
        </w:rPr>
      </w:pPr>
    </w:p>
    <w:p>
      <w:pPr>
        <w:jc w:val="both"/>
        <w:rPr>
          <w:color w:val="222A35"/>
          <w:lang w:val="sr-Latn-ME"/>
        </w:rPr>
      </w:pPr>
      <w:r>
        <w:rPr>
          <w:color w:val="222A35"/>
          <w:lang w:val="sr-Latn-ME"/>
        </w:rPr>
        <w:t xml:space="preserve">Elektronska aukcija će se sprovesti nakon ocjene ponuda, kao elektronski proces koji se ponavlja, radi postizanja nove </w:t>
      </w:r>
      <w:r>
        <w:rPr>
          <w:b/>
          <w:bCs/>
          <w:color w:val="000000"/>
          <w:lang w:val="sr-Latn-ME"/>
        </w:rPr>
        <w:t>NIJE PRIMJENJIVO</w:t>
      </w:r>
    </w:p>
    <w:p>
      <w:pPr>
        <w:jc w:val="both"/>
        <w:rPr>
          <w:lang w:val="sr-Latn-ME"/>
        </w:rPr>
      </w:pPr>
    </w:p>
    <w:p>
      <w:pPr>
        <w:pBdr>
          <w:top w:val="single" w:color="auto" w:sz="4" w:space="1"/>
          <w:left w:val="single" w:color="auto" w:sz="4" w:space="4"/>
          <w:bottom w:val="single" w:color="auto" w:sz="4" w:space="1"/>
          <w:right w:val="single" w:color="auto" w:sz="4" w:space="4"/>
        </w:pBdr>
        <w:shd w:val="clear" w:color="auto" w:fill="D9D9D9"/>
        <w:rPr>
          <w:b/>
          <w:lang w:val="sr-Latn-ME"/>
        </w:rPr>
      </w:pPr>
      <w:r>
        <w:rPr>
          <w:b/>
          <w:lang w:val="sr-Latn-ME"/>
        </w:rPr>
        <w:t>ELEKTRONSKI KATALOG</w:t>
      </w:r>
      <w:r>
        <w:rPr>
          <w:b/>
          <w:color w:val="FF0000"/>
          <w:lang w:val="sr-Latn-ME"/>
        </w:rPr>
        <w:t xml:space="preserve"> </w:t>
      </w:r>
    </w:p>
    <w:p>
      <w:pPr>
        <w:jc w:val="both"/>
        <w:rPr>
          <w:color w:val="FF0000"/>
          <w:lang w:val="sr-Latn-ME"/>
        </w:rPr>
      </w:pPr>
    </w:p>
    <w:p>
      <w:pPr>
        <w:jc w:val="both"/>
        <w:rPr>
          <w:color w:val="222A35"/>
          <w:lang w:val="sr-Latn-ME"/>
        </w:rPr>
      </w:pPr>
      <w:r>
        <w:rPr>
          <w:color w:val="222A35"/>
          <w:lang w:val="sr-Latn-ME"/>
        </w:rPr>
        <w:t xml:space="preserve">Elektronski katalog sastavlja ponuđač u skladu s tehničkim specifikacijama i u formi </w:t>
      </w:r>
      <w:r>
        <w:rPr>
          <w:b/>
          <w:bCs/>
          <w:color w:val="000000"/>
          <w:lang w:val="sr-Latn-ME"/>
        </w:rPr>
        <w:t>NIJE PRIMJENJIVO</w:t>
      </w:r>
    </w:p>
    <w:p>
      <w:pPr>
        <w:jc w:val="both"/>
        <w:rPr>
          <w:color w:val="000000"/>
          <w:lang w:val="sr-Latn-ME"/>
        </w:rPr>
      </w:pPr>
    </w:p>
    <w:p>
      <w:pPr>
        <w:pBdr>
          <w:top w:val="single" w:color="auto" w:sz="4" w:space="1"/>
          <w:left w:val="single" w:color="auto" w:sz="4" w:space="4"/>
          <w:bottom w:val="single" w:color="auto" w:sz="4" w:space="1"/>
          <w:right w:val="single" w:color="auto" w:sz="4" w:space="4"/>
        </w:pBdr>
        <w:shd w:val="clear" w:color="auto" w:fill="D9D9D9"/>
        <w:rPr>
          <w:b/>
          <w:lang w:val="sr-Latn-ME"/>
        </w:rPr>
      </w:pPr>
      <w:r>
        <w:rPr>
          <w:b/>
          <w:lang w:val="sr-Latn-ME"/>
        </w:rPr>
        <w:t>PONUDA SA VARIJANTAMA</w:t>
      </w:r>
    </w:p>
    <w:p>
      <w:pPr>
        <w:jc w:val="both"/>
        <w:rPr>
          <w:b/>
          <w:bCs/>
          <w:color w:val="000000"/>
          <w:lang w:val="sr-Latn-ME"/>
        </w:rPr>
      </w:pPr>
    </w:p>
    <w:p>
      <w:pPr>
        <w:jc w:val="both"/>
        <w:rPr>
          <w:lang w:val="sr-Latn-ME"/>
        </w:rPr>
      </w:pPr>
      <w:r>
        <w:rPr>
          <w:lang w:val="sr-Latn-ME"/>
        </w:rPr>
        <w:t>Mogućnost podnošenja ponude sa varijantama</w:t>
      </w:r>
    </w:p>
    <w:p>
      <w:pPr>
        <w:jc w:val="both"/>
        <w:rPr>
          <w:lang w:val="sr-Latn-ME"/>
        </w:rPr>
      </w:pPr>
    </w:p>
    <w:p>
      <w:pPr>
        <w:jc w:val="both"/>
        <w:rPr>
          <w:color w:val="000000"/>
          <w:lang w:val="sr-Latn-ME"/>
        </w:rPr>
      </w:pPr>
      <w:r>
        <w:rPr>
          <w:color w:val="000000"/>
          <w:lang w:val="sr-Latn-ME"/>
        </w:rPr>
        <w:sym w:font="Wingdings" w:char="F0A8"/>
      </w:r>
      <w:r>
        <w:rPr>
          <w:color w:val="000000"/>
          <w:lang w:val="sr-Latn-ME"/>
        </w:rPr>
        <w:t xml:space="preserve"> </w:t>
      </w:r>
      <w:r>
        <w:rPr>
          <w:lang w:val="sr-Latn-ME"/>
        </w:rPr>
        <w:t>Varijante ponude nijesu dozvoljene i neće biti razmatrane.</w:t>
      </w:r>
    </w:p>
    <w:p>
      <w:pPr>
        <w:jc w:val="both"/>
        <w:rPr>
          <w:b/>
          <w:bCs/>
          <w:color w:val="FF0000"/>
          <w:lang w:val="sr-Latn-ME"/>
        </w:rPr>
      </w:pPr>
    </w:p>
    <w:p>
      <w:pPr>
        <w:pBdr>
          <w:top w:val="single" w:color="auto" w:sz="4" w:space="1"/>
          <w:left w:val="single" w:color="auto" w:sz="4" w:space="4"/>
          <w:bottom w:val="single" w:color="auto" w:sz="4" w:space="1"/>
          <w:right w:val="single" w:color="auto" w:sz="4" w:space="4"/>
        </w:pBdr>
        <w:shd w:val="clear" w:color="auto" w:fill="D9D9D9"/>
        <w:jc w:val="both"/>
        <w:rPr>
          <w:b/>
          <w:bCs/>
          <w:color w:val="FF0000"/>
          <w:lang w:val="sr-Latn-ME"/>
        </w:rPr>
      </w:pPr>
      <w:r>
        <w:rPr>
          <w:b/>
          <w:lang w:val="sr-Latn-ME"/>
        </w:rPr>
        <w:t>REZERVISANA NABAVKA</w:t>
      </w:r>
    </w:p>
    <w:p>
      <w:pPr>
        <w:jc w:val="both"/>
        <w:rPr>
          <w:b/>
          <w:bCs/>
          <w:color w:val="FF0000"/>
          <w:lang w:val="sr-Latn-ME"/>
        </w:rPr>
      </w:pPr>
    </w:p>
    <w:p>
      <w:pPr>
        <w:jc w:val="both"/>
        <w:rPr>
          <w:color w:val="000000"/>
          <w:lang w:val="sr-Latn-ME"/>
        </w:rPr>
      </w:pPr>
      <w:r>
        <w:rPr>
          <w:color w:val="000000"/>
          <w:lang w:val="sr-Latn-ME"/>
        </w:rPr>
        <w:sym w:font="Wingdings" w:char="F0A8"/>
      </w:r>
      <w:r>
        <w:rPr>
          <w:color w:val="000000"/>
          <w:lang w:val="sr-Latn-ME"/>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284"/>
        <w:jc w:val="both"/>
        <w:outlineLvl w:val="0"/>
        <w:rPr>
          <w:b/>
          <w:lang w:val="sr-Latn-ME"/>
        </w:rPr>
      </w:pPr>
      <w:bookmarkStart w:id="6" w:name="_Toc62730556"/>
      <w:r>
        <w:rPr>
          <w:b/>
          <w:lang w:val="sr-Latn-ME"/>
        </w:rPr>
        <w:t>NAČIN UTVRĐIVANJA EKVIVALENTNOSTI</w:t>
      </w:r>
      <w:bookmarkEnd w:id="6"/>
    </w:p>
    <w:p>
      <w:pPr>
        <w:jc w:val="both"/>
        <w:rPr>
          <w:bCs/>
          <w:color w:val="FF0000"/>
          <w:lang w:val="sr-Latn-ME"/>
        </w:rPr>
      </w:pPr>
    </w:p>
    <w:p>
      <w:pPr>
        <w:jc w:val="both"/>
        <w:rPr>
          <w:bCs/>
          <w:color w:val="FF0000"/>
          <w:lang w:val="sr-Latn-ME"/>
        </w:rPr>
      </w:pPr>
      <w:r>
        <w:rPr>
          <w:bCs/>
          <w:color w:val="000000"/>
          <w:lang w:val="sr-Latn-ME"/>
        </w:rPr>
        <w:t>Način utvrđivanja ekvivalentnosti:</w:t>
      </w:r>
      <w:r>
        <w:rPr>
          <w:b/>
          <w:bCs/>
          <w:color w:val="000000"/>
          <w:lang w:val="sr-Latn-ME"/>
        </w:rPr>
        <w:t xml:space="preserve"> NIJE PRIMJENJIVO</w:t>
      </w:r>
    </w:p>
    <w:p>
      <w:pPr>
        <w:keepNext/>
        <w:keepLines/>
        <w:numPr>
          <w:ilvl w:val="0"/>
          <w:numId w:val="6"/>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b/>
          <w:lang w:val="sr-Latn-ME"/>
        </w:rPr>
      </w:pPr>
      <w:bookmarkStart w:id="7" w:name="_Toc62730557"/>
      <w:bookmarkStart w:id="8" w:name="_Toc62730558"/>
      <w:r>
        <w:rPr>
          <w:b/>
          <w:lang w:val="sr-Latn-ME"/>
        </w:rPr>
        <w:t>OSNOVI ZA OBAVEZNO ISKLJUČENJE IZ POSTUPKA JAVNE NABAVKE</w:t>
      </w:r>
      <w:bookmarkEnd w:id="7"/>
    </w:p>
    <w:p>
      <w:pPr>
        <w:jc w:val="both"/>
        <w:rPr>
          <w:lang w:val="sr-Latn-ME"/>
        </w:rPr>
      </w:pPr>
    </w:p>
    <w:p>
      <w:pPr>
        <w:rPr>
          <w:lang w:val="sr-Latn-ME"/>
        </w:rPr>
      </w:pPr>
      <w:r>
        <w:rPr>
          <w:lang w:val="sr-Latn-ME"/>
        </w:rPr>
        <w:t xml:space="preserve">Privredni subjekat će se isključiti iz postupka javne nabavke, ako: </w:t>
      </w:r>
    </w:p>
    <w:p>
      <w:pPr>
        <w:numPr>
          <w:ilvl w:val="0"/>
          <w:numId w:val="7"/>
        </w:numPr>
        <w:rPr>
          <w:lang w:val="sr-Latn-ME"/>
        </w:rPr>
      </w:pPr>
      <w:r>
        <w:rPr>
          <w:lang w:val="sr-Latn-ME"/>
        </w:rPr>
        <w:t>je vršio neprimjeren uticaj u smislu člana 38 stav 2 tačka 1 ovog zakona;</w:t>
      </w:r>
    </w:p>
    <w:p>
      <w:pPr>
        <w:numPr>
          <w:ilvl w:val="0"/>
          <w:numId w:val="7"/>
        </w:numPr>
        <w:rPr>
          <w:lang w:val="sr-Latn-ME"/>
        </w:rPr>
      </w:pPr>
      <w:r>
        <w:rPr>
          <w:lang w:val="sr-Latn-ME"/>
        </w:rPr>
        <w:t>postoji sukob interesa iz člana 41 stav 1 tačka 2 ili člana 42 ovog zakona;</w:t>
      </w:r>
    </w:p>
    <w:p>
      <w:pPr>
        <w:numPr>
          <w:ilvl w:val="0"/>
          <w:numId w:val="7"/>
        </w:numPr>
        <w:rPr>
          <w:lang w:val="sr-Latn-ME"/>
        </w:rPr>
      </w:pPr>
      <w:r>
        <w:rPr>
          <w:lang w:val="sr-Latn-ME"/>
        </w:rPr>
        <w:t>ne ispunjava uslov iz člana 99 ovog zakona;</w:t>
      </w:r>
    </w:p>
    <w:p>
      <w:pPr>
        <w:numPr>
          <w:ilvl w:val="0"/>
          <w:numId w:val="7"/>
        </w:numPr>
        <w:rPr>
          <w:lang w:val="sr-Latn-ME"/>
        </w:rPr>
      </w:pPr>
      <w:r>
        <w:rPr>
          <w:lang w:val="sr-Latn-ME"/>
        </w:rPr>
        <w:t>ne ispunjava uslov iz čl. 102, 104 ili 106 ovog zakona predviđen tenderskom dokumentacijom;</w:t>
      </w:r>
    </w:p>
    <w:p>
      <w:pPr>
        <w:numPr>
          <w:ilvl w:val="0"/>
          <w:numId w:val="7"/>
        </w:numPr>
        <w:rPr>
          <w:lang w:val="sr-Latn-ME"/>
        </w:rPr>
      </w:pPr>
      <w:r>
        <w:rPr>
          <w:lang w:val="sr-Latn-ME"/>
        </w:rPr>
        <w:t>nije dostavio izjavu privrednog subjekta ili dostavljena izjava ne sadrži informacije i podatke tražene tenderskom dokumentacijom ili je nepravilno sačinjena;</w:t>
      </w:r>
    </w:p>
    <w:p>
      <w:pPr>
        <w:numPr>
          <w:ilvl w:val="0"/>
          <w:numId w:val="7"/>
        </w:numPr>
        <w:rPr>
          <w:lang w:val="sr-Latn-ME"/>
        </w:rPr>
      </w:pPr>
      <w:r>
        <w:rPr>
          <w:lang w:val="sr-Latn-ME"/>
        </w:rPr>
        <w:t>postoji razlog na osnovu kojeg se smatra da je odustao od prijave, odnosno ponude, a koji je propisan članom 120 stav 15 ovog zakona;</w:t>
      </w:r>
    </w:p>
    <w:p>
      <w:pPr>
        <w:numPr>
          <w:ilvl w:val="0"/>
          <w:numId w:val="7"/>
        </w:numPr>
        <w:rPr>
          <w:lang w:val="sr-Latn-ME"/>
        </w:rPr>
      </w:pPr>
      <w:r>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pPr>
        <w:numPr>
          <w:ilvl w:val="0"/>
          <w:numId w:val="7"/>
        </w:numPr>
        <w:rPr>
          <w:lang w:val="sr-Latn-ME"/>
        </w:rPr>
      </w:pPr>
      <w:r>
        <w:rPr>
          <w:lang w:val="sr-Latn-ME"/>
        </w:rPr>
        <w:t>postoji drugi razlog propisan ovim zakonom.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284"/>
        <w:outlineLvl w:val="0"/>
        <w:rPr>
          <w:b/>
          <w:lang w:val="sr-Latn-ME"/>
        </w:rPr>
      </w:pPr>
      <w:r>
        <w:rPr>
          <w:b/>
          <w:lang w:val="sr-Latn-ME"/>
        </w:rPr>
        <w:t>SREDSTVA FINANSIJSKOG OBEZBJEĐENJA UGOVORA O JAVNOJ NABAVCI</w:t>
      </w:r>
      <w:bookmarkEnd w:id="8"/>
    </w:p>
    <w:p>
      <w:pPr>
        <w:jc w:val="both"/>
        <w:rPr>
          <w:b/>
          <w:bCs/>
          <w:color w:val="000000"/>
          <w:lang w:val="sr-Latn-ME"/>
        </w:rPr>
      </w:pPr>
      <w:r>
        <w:rPr>
          <w:b/>
          <w:bCs/>
          <w:color w:val="000000"/>
          <w:lang w:val="sr-Latn-ME"/>
        </w:rPr>
        <w:t>ZA SVE PARTIJE:</w:t>
      </w:r>
    </w:p>
    <w:p>
      <w:pPr>
        <w:jc w:val="both"/>
        <w:rPr>
          <w:color w:val="000000"/>
          <w:lang w:val="sr-Latn-ME"/>
        </w:rPr>
      </w:pPr>
    </w:p>
    <w:p>
      <w:pPr>
        <w:jc w:val="both"/>
        <w:rPr>
          <w:color w:val="000000"/>
          <w:lang w:val="sr-Latn-ME"/>
        </w:rPr>
      </w:pPr>
      <w:r>
        <w:rPr>
          <w:color w:val="000000"/>
          <w:lang w:val="sr-Latn-ME"/>
        </w:rPr>
        <w:t>Ponuđač čija ponuda bude izabrana kao najpovoljnija je dužan da uz potpisan ugovor o javnoj nabavci dostavi naručiocu:</w:t>
      </w:r>
    </w:p>
    <w:p>
      <w:pPr>
        <w:jc w:val="both"/>
        <w:rPr>
          <w:lang w:val="sr-Latn-ME"/>
        </w:rPr>
      </w:pPr>
      <w:r>
        <w:rPr>
          <w:color w:val="000000"/>
          <w:lang w:val="sr-Latn-ME"/>
        </w:rPr>
        <w:sym w:font="Wingdings" w:char="F0A8"/>
      </w:r>
      <w:r>
        <w:rPr>
          <w:color w:val="000000"/>
          <w:lang w:val="sr-Latn-ME"/>
        </w:rPr>
        <w:t xml:space="preserve"> </w:t>
      </w:r>
      <w:r>
        <w:rPr>
          <w:lang w:val="sr-Latn-ME"/>
        </w:rPr>
        <w:t xml:space="preserve">garanciju za dobro izvršenje ugovora za slučaj povrede ugovorenih obaveza </w:t>
      </w:r>
      <w:r>
        <w:rPr>
          <w:color w:val="000000"/>
          <w:lang w:val="sr-Latn-ME"/>
        </w:rPr>
        <w:t>u iznosu od 10% od vrijednosti ugovora</w:t>
      </w:r>
      <w:r>
        <w:rPr>
          <w:vertAlign w:val="superscript"/>
          <w:lang w:val="sr-Latn-ME"/>
        </w:rPr>
        <w:t xml:space="preserve">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hanging="630"/>
        <w:outlineLvl w:val="0"/>
        <w:rPr>
          <w:b/>
          <w:color w:val="000000"/>
          <w:lang w:val="sr-Latn-ME"/>
        </w:rPr>
      </w:pPr>
      <w:bookmarkStart w:id="9" w:name="_Toc62730559"/>
      <w:r>
        <w:rPr>
          <w:b/>
          <w:lang w:val="sr-Latn-ME"/>
        </w:rPr>
        <w:t>METODOLOGIJA VREDNOVANJA PONUDA</w:t>
      </w:r>
      <w:bookmarkEnd w:id="9"/>
    </w:p>
    <w:p>
      <w:pPr>
        <w:rPr>
          <w:lang w:val="sr-Latn-ME"/>
        </w:rPr>
      </w:pPr>
    </w:p>
    <w:p>
      <w:pPr>
        <w:jc w:val="both"/>
        <w:rPr>
          <w:lang w:val="sr-Latn-ME"/>
        </w:rPr>
      </w:pPr>
      <w:r>
        <w:rPr>
          <w:lang w:val="sr-Latn-ME"/>
        </w:rPr>
        <w:t>Naručilac će u postupku javne nabavki izabrati ekonomski najpovoljniju ponudu, primjenom pristupa isplativosti, po osnovu kriterijuma</w:t>
      </w:r>
      <w:r>
        <w:rPr>
          <w:vertAlign w:val="superscript"/>
          <w:lang w:val="sr-Latn-ME"/>
        </w:rPr>
        <w:footnoteReference w:id="6"/>
      </w:r>
      <w:r>
        <w:rPr>
          <w:lang w:val="sr-Latn-ME"/>
        </w:rPr>
        <w:t xml:space="preserve">: </w:t>
      </w:r>
    </w:p>
    <w:p>
      <w:pPr>
        <w:rPr>
          <w:lang w:val="sr-Latn-ME"/>
        </w:rPr>
      </w:pPr>
    </w:p>
    <w:p>
      <w:pPr>
        <w:rPr>
          <w:lang w:val="sr-Latn-ME"/>
        </w:rPr>
      </w:pPr>
      <w:r>
        <w:rPr>
          <w:b/>
          <w:bCs/>
          <w:lang w:val="sr-Latn-ME"/>
        </w:rPr>
        <w:t>ZA SVE PARTIJE</w:t>
      </w:r>
      <w:r>
        <w:rPr>
          <w:lang w:val="sr-Latn-ME"/>
        </w:rPr>
        <w:t>:</w:t>
      </w:r>
    </w:p>
    <w:p>
      <w:pPr>
        <w:rPr>
          <w:lang w:val="sr-Latn-ME"/>
        </w:rPr>
      </w:pPr>
    </w:p>
    <w:p>
      <w:pPr>
        <w:rPr>
          <w:lang w:val="sr-Latn-ME"/>
        </w:rPr>
      </w:pPr>
      <w:r>
        <w:rPr>
          <w:color w:val="000000"/>
          <w:lang w:val="sr-Latn-ME"/>
        </w:rPr>
        <w:sym w:font="Wingdings" w:char="F0A8"/>
      </w:r>
      <w:r>
        <w:rPr>
          <w:color w:val="000000"/>
          <w:lang w:val="sr-Latn-ME"/>
        </w:rPr>
        <w:t xml:space="preserve"> </w:t>
      </w:r>
      <w:r>
        <w:rPr>
          <w:lang w:val="sr-Latn-ME"/>
        </w:rPr>
        <w:t xml:space="preserve">odnos cijene i kvaliteta </w:t>
      </w:r>
    </w:p>
    <w:p>
      <w:pPr>
        <w:rPr>
          <w:lang w:val="sr-Latn-ME"/>
        </w:rPr>
      </w:pPr>
    </w:p>
    <w:p>
      <w:pPr>
        <w:rPr>
          <w:lang w:val="sr-Latn-ME"/>
        </w:rPr>
      </w:pPr>
    </w:p>
    <w:p>
      <w:pPr>
        <w:pBdr>
          <w:top w:val="single" w:color="auto" w:sz="4" w:space="0"/>
          <w:left w:val="single" w:color="auto" w:sz="4" w:space="0"/>
          <w:bottom w:val="single" w:color="auto" w:sz="4" w:space="0"/>
          <w:right w:val="single" w:color="auto" w:sz="4" w:space="0"/>
        </w:pBdr>
        <w:jc w:val="both"/>
        <w:rPr>
          <w:i/>
          <w:color w:val="000000"/>
          <w:lang w:val="sr-Latn-ME"/>
        </w:rPr>
      </w:pPr>
      <w:r>
        <w:rPr>
          <w:i/>
          <w:color w:val="000000"/>
          <w:lang w:val="sr-Latn-ME"/>
        </w:rPr>
        <w:t>- Parametar cijena ..................90 bodova Broj bodova po osnovu vrednovanja cijene: Najniža ponuđena cijena = 90 bodova Broj bodova za ponuđenu cijenu konkretnog ponuđača = najniža ponuđena cijena / ponuđena cijena konkretnog ponuđača x 90</w:t>
      </w:r>
    </w:p>
    <w:p>
      <w:pPr>
        <w:pBdr>
          <w:top w:val="single" w:color="auto" w:sz="4" w:space="0"/>
          <w:left w:val="single" w:color="auto" w:sz="4" w:space="0"/>
          <w:bottom w:val="single" w:color="auto" w:sz="4" w:space="0"/>
          <w:right w:val="single" w:color="auto" w:sz="4" w:space="0"/>
        </w:pBdr>
        <w:jc w:val="both"/>
        <w:rPr>
          <w:color w:val="000000"/>
          <w:lang w:val="sr-Latn-ME"/>
        </w:rPr>
      </w:pPr>
      <w:r>
        <w:rPr>
          <w:color w:val="000000"/>
          <w:lang w:val="sr-Latn-ME"/>
        </w:rPr>
        <w:t>- Parametar kvalitet - rok isporuke…………….10 bodova Broj bodova po osnovu vrednovanja roka kao mjerila kvaliteta: Najkraći rok isporuke = 10 bodova Broj bodova za ponuđeni rok konkretnog ponuđača = najkraći ponuđeni rok / ponuđeni rok konkretnog ponuđača x 10 Napomena: Ponuđač je dužan da u ponudi precizira rok isporke izražen u satima koji će se koristiti za vrednovanje parametra kvalitet Rok isporuke: Ponuđeni rok za izvršenje pojedinačne isporuke ne može biti kraći od 24, a duži od 48 sati od dostavljanja zahtjeva Naručioca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b/>
          <w:lang w:val="sr-Latn-ME"/>
        </w:rPr>
      </w:pPr>
      <w:bookmarkStart w:id="10" w:name="_Toc62730560"/>
      <w:r>
        <w:rPr>
          <w:b/>
          <w:lang w:val="sr-Latn-ME"/>
        </w:rPr>
        <w:t>JEZIK PONUDE</w:t>
      </w:r>
      <w:bookmarkEnd w:id="10"/>
    </w:p>
    <w:p>
      <w:pPr>
        <w:jc w:val="both"/>
        <w:rPr>
          <w:b/>
          <w:bCs/>
          <w:color w:val="000000"/>
          <w:lang w:val="sr-Latn-ME"/>
        </w:rPr>
      </w:pPr>
    </w:p>
    <w:p>
      <w:pPr>
        <w:jc w:val="both"/>
        <w:rPr>
          <w:color w:val="000000"/>
          <w:lang w:val="sr-Latn-ME"/>
        </w:rPr>
      </w:pPr>
      <w:r>
        <w:rPr>
          <w:color w:val="000000"/>
          <w:lang w:val="sr-Latn-ME"/>
        </w:rPr>
        <w:t>Ponuda se sačinjava na:</w:t>
      </w:r>
    </w:p>
    <w:p>
      <w:pPr>
        <w:jc w:val="both"/>
        <w:rPr>
          <w:b/>
          <w:bCs/>
          <w:color w:val="000000"/>
          <w:lang w:val="sr-Latn-ME"/>
        </w:rPr>
      </w:pPr>
    </w:p>
    <w:p>
      <w:pPr>
        <w:jc w:val="both"/>
        <w:rPr>
          <w:color w:val="000000"/>
          <w:lang w:val="sr-Latn-ME"/>
        </w:rPr>
      </w:pPr>
      <w:r>
        <w:rPr>
          <w:color w:val="000000"/>
          <w:lang w:val="sr-Latn-ME"/>
        </w:rPr>
        <w:sym w:font="Wingdings" w:char="F0A8"/>
      </w:r>
      <w:r>
        <w:rPr>
          <w:color w:val="000000"/>
          <w:lang w:val="sr-Latn-ME"/>
        </w:rPr>
        <w:t xml:space="preserve"> crnogorski jezik i drugi jezik koji je u službenoj upotrebi u Crnoj Gori, u skladu sa Ustavom i zakonom</w:t>
      </w:r>
    </w:p>
    <w:p>
      <w:pPr>
        <w:jc w:val="both"/>
        <w:rPr>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b/>
          <w:lang w:val="sr-Latn-ME"/>
        </w:rPr>
      </w:pPr>
      <w:bookmarkStart w:id="11" w:name="_Toc62730561"/>
      <w:r>
        <w:rPr>
          <w:b/>
          <w:lang w:val="sr-Latn-ME"/>
        </w:rPr>
        <w:t>NAČIN, MJESTO I VRIJEME PODNOŠENJA PONUDA I OTVARANJA PONUDA</w:t>
      </w:r>
      <w:bookmarkEnd w:id="11"/>
    </w:p>
    <w:p>
      <w:pPr>
        <w:jc w:val="both"/>
        <w:rPr>
          <w:b/>
          <w:bCs/>
          <w:color w:val="000000"/>
          <w:lang w:val="sr-Latn-ME"/>
        </w:rPr>
      </w:pPr>
    </w:p>
    <w:p>
      <w:pPr>
        <w:jc w:val="both"/>
        <w:rPr>
          <w:lang w:val="sr-Latn-ME"/>
        </w:rPr>
      </w:pPr>
      <w:r>
        <w:rPr>
          <w:lang w:val="sr-Latn-ME"/>
        </w:rPr>
        <w:t>Ponude se podnose preko ESJN-a zaključno sa danom 2</w:t>
      </w:r>
      <w:r>
        <w:t>1</w:t>
      </w:r>
      <w:r>
        <w:rPr>
          <w:lang w:val="sr-Latn-ME"/>
        </w:rPr>
        <w:t>.0</w:t>
      </w:r>
      <w:r>
        <w:t>6</w:t>
      </w:r>
      <w:r>
        <w:rPr>
          <w:lang w:val="sr-Latn-ME"/>
        </w:rPr>
        <w:t>.2023. godine do 10.00 sati.</w:t>
      </w:r>
    </w:p>
    <w:p>
      <w:pPr>
        <w:jc w:val="both"/>
        <w:rPr>
          <w:b/>
          <w:bCs/>
          <w:i/>
          <w:iCs/>
          <w:lang w:val="sr-Latn-ME"/>
        </w:rPr>
      </w:pPr>
    </w:p>
    <w:p>
      <w:pPr>
        <w:jc w:val="both"/>
        <w:rPr>
          <w:lang w:val="sr-Latn-ME"/>
        </w:rPr>
      </w:pPr>
      <w:r>
        <w:rPr>
          <w:lang w:val="sr-Latn-ME"/>
        </w:rPr>
        <w:t>Otvaranje ponuda održaće se dana 2</w:t>
      </w:r>
      <w:r>
        <w:t>1</w:t>
      </w:r>
      <w:r>
        <w:rPr>
          <w:lang w:val="sr-Latn-ME"/>
        </w:rPr>
        <w:t xml:space="preserve">.04.2023. godine u 10.00 sati. </w:t>
      </w:r>
    </w:p>
    <w:p>
      <w:pPr>
        <w:jc w:val="both"/>
        <w:rPr>
          <w:lang w:val="sr-Latn-ME"/>
        </w:rPr>
      </w:pPr>
    </w:p>
    <w:p>
      <w:pPr>
        <w:spacing w:line="276" w:lineRule="auto"/>
        <w:jc w:val="both"/>
        <w:rPr>
          <w:color w:val="000000"/>
          <w:lang w:val="sr-Latn-ME"/>
        </w:rPr>
      </w:pPr>
      <w:r>
        <w:rPr>
          <w:color w:val="000000"/>
          <w:lang w:val="sr-Latn-ME"/>
        </w:rPr>
        <w:t>Garancija ponude podnosi se u elektronskom obliku putem ESJN.</w:t>
      </w:r>
    </w:p>
    <w:p>
      <w:pPr>
        <w:spacing w:line="276" w:lineRule="auto"/>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pPr>
        <w:spacing w:line="276" w:lineRule="auto"/>
        <w:jc w:val="both"/>
        <w:rPr>
          <w:color w:val="000000"/>
          <w:lang w:val="sr-Latn-ME"/>
        </w:rPr>
      </w:pPr>
    </w:p>
    <w:p>
      <w:pPr>
        <w:spacing w:line="276" w:lineRule="auto"/>
        <w:jc w:val="both"/>
        <w:rPr>
          <w:color w:val="000000"/>
          <w:lang w:val="sr-Latn-ME" w:bidi="ar"/>
        </w:rPr>
      </w:pPr>
      <w:r>
        <w:rPr>
          <w:color w:val="000000"/>
          <w:lang w:val="sr-Latn-ME" w:bidi="ar"/>
        </w:rPr>
        <w:sym w:font="Wingdings" w:char="00A8"/>
      </w:r>
      <w:r>
        <w:rPr>
          <w:color w:val="000000"/>
          <w:lang w:val="sr-Latn-ME" w:bidi="ar"/>
        </w:rPr>
        <w:t xml:space="preserve"> Dio ponude koje se ne dostavlja preko ESJN-a, a odnosi se na </w:t>
      </w:r>
      <w:r>
        <w:rPr>
          <w:color w:val="000000"/>
          <w:lang w:val="sr-Latn-ME"/>
        </w:rPr>
        <w:t>garanciju ponude</w:t>
      </w:r>
      <w:r>
        <w:rPr>
          <w:color w:val="000000"/>
          <w:lang w:val="sr-Latn-ME" w:bidi="ar"/>
        </w:rPr>
        <w:t xml:space="preserve"> dostavlja se: </w:t>
      </w:r>
    </w:p>
    <w:p>
      <w:pPr>
        <w:numPr>
          <w:ilvl w:val="0"/>
          <w:numId w:val="8"/>
        </w:numPr>
        <w:spacing w:before="96" w:after="160" w:line="256" w:lineRule="auto"/>
        <w:jc w:val="both"/>
        <w:rPr>
          <w:rFonts w:eastAsia="Calibri"/>
          <w:lang w:val="sr-Latn-ME"/>
        </w:rPr>
      </w:pPr>
      <w:r>
        <w:rPr>
          <w:rFonts w:eastAsia="Calibri"/>
          <w:lang w:val="sr-Latn-ME"/>
        </w:rPr>
        <w:t>neposrednom predajom na arhivi naručioca na adresi Jabučka bb.</w:t>
      </w:r>
    </w:p>
    <w:p>
      <w:pPr>
        <w:numPr>
          <w:ilvl w:val="0"/>
          <w:numId w:val="8"/>
        </w:numPr>
        <w:spacing w:before="96" w:after="160" w:line="256" w:lineRule="auto"/>
        <w:jc w:val="both"/>
        <w:rPr>
          <w:rFonts w:eastAsia="Calibri"/>
          <w:lang w:val="sr-Latn-ME"/>
        </w:rPr>
      </w:pPr>
      <w:r>
        <w:rPr>
          <w:rFonts w:eastAsia="Calibri"/>
          <w:lang w:val="sr-Latn-ME"/>
        </w:rPr>
        <w:t>preporučenom pošiljkom sa povratnicom na adresi Jabučka bb.</w:t>
      </w:r>
    </w:p>
    <w:p>
      <w:pPr>
        <w:jc w:val="both"/>
        <w:rPr>
          <w:lang w:val="sr-Latn-ME"/>
        </w:rPr>
      </w:pPr>
    </w:p>
    <w:p>
      <w:pPr>
        <w:jc w:val="both"/>
        <w:rPr>
          <w:lang w:val="sr-Latn-ME"/>
        </w:rPr>
      </w:pPr>
      <w:r>
        <w:rPr>
          <w:lang w:val="sr-Latn-ME"/>
        </w:rPr>
        <w:t>radnim danima od 07.00 do 15.00 sati, zaključno sa danom 2</w:t>
      </w:r>
      <w:r>
        <w:t>1</w:t>
      </w:r>
      <w:r>
        <w:rPr>
          <w:lang w:val="sr-Latn-ME"/>
        </w:rPr>
        <w:t>.0</w:t>
      </w:r>
      <w:r>
        <w:t>6</w:t>
      </w:r>
      <w:r>
        <w:rPr>
          <w:lang w:val="sr-Latn-ME"/>
        </w:rPr>
        <w:t>.2023. godine do 10.00 sati.</w:t>
      </w:r>
    </w:p>
    <w:p>
      <w:pPr>
        <w:spacing w:line="276" w:lineRule="auto"/>
        <w:jc w:val="both"/>
        <w:rPr>
          <w:color w:val="000000"/>
          <w:lang w:val="sr-Latn-ME"/>
        </w:rPr>
      </w:pPr>
      <w:r>
        <w:rPr>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pPr>
        <w:jc w:val="both"/>
        <w:rPr>
          <w:color w:val="000000"/>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b/>
          <w:lang w:val="sr-Latn-ME"/>
        </w:rPr>
      </w:pPr>
      <w:bookmarkStart w:id="12" w:name="_Toc62730562"/>
      <w:r>
        <w:rPr>
          <w:b/>
          <w:lang w:val="sr-Latn-ME"/>
        </w:rPr>
        <w:t>USLOVI ZA AKTIVIRANJE GARANCIJE PONUDE</w:t>
      </w:r>
      <w:r>
        <w:rPr>
          <w:vertAlign w:val="superscript"/>
        </w:rPr>
        <w:footnoteReference w:id="7"/>
      </w:r>
      <w:bookmarkEnd w:id="12"/>
    </w:p>
    <w:p>
      <w:pPr>
        <w:jc w:val="both"/>
        <w:rPr>
          <w:b/>
          <w:bCs/>
          <w:color w:val="000000"/>
          <w:lang w:val="sr-Latn-ME"/>
        </w:rPr>
      </w:pPr>
    </w:p>
    <w:p>
      <w:pPr>
        <w:jc w:val="both"/>
        <w:rPr>
          <w:b/>
          <w:bCs/>
          <w:color w:val="000000"/>
          <w:lang w:val="sr-Latn-ME"/>
        </w:rPr>
      </w:pPr>
    </w:p>
    <w:p>
      <w:pPr>
        <w:jc w:val="both"/>
        <w:rPr>
          <w:lang w:val="sr-Latn-ME"/>
        </w:rPr>
      </w:pPr>
      <w:r>
        <w:rPr>
          <w:lang w:val="sr-Latn-ME"/>
        </w:rPr>
        <w:t xml:space="preserve">Garancija ponude će se aktivirati ako ponuđač: </w:t>
      </w:r>
    </w:p>
    <w:p>
      <w:pPr>
        <w:pStyle w:val="9"/>
        <w:ind w:left="567" w:hanging="283"/>
        <w:rPr>
          <w:sz w:val="24"/>
          <w:szCs w:val="24"/>
          <w:lang w:val="sr-Latn-ME"/>
        </w:rPr>
      </w:pPr>
      <w:r>
        <w:rPr>
          <w:sz w:val="24"/>
          <w:szCs w:val="24"/>
          <w:lang w:val="sr-Latn-ME"/>
        </w:rPr>
        <w:t>1) odustane od ponude u roku važenja ponude i/ili</w:t>
      </w:r>
    </w:p>
    <w:p>
      <w:pPr>
        <w:pStyle w:val="9"/>
        <w:rPr>
          <w:sz w:val="24"/>
          <w:szCs w:val="24"/>
          <w:lang w:val="sr-Latn-ME"/>
        </w:rPr>
      </w:pPr>
      <w:r>
        <w:rPr>
          <w:sz w:val="24"/>
          <w:szCs w:val="24"/>
          <w:lang w:val="sr-Latn-ME"/>
        </w:rPr>
        <w:t xml:space="preserve"> 2) odbije da zaključi ugovor o javnoj nabavci.</w:t>
      </w:r>
    </w:p>
    <w:p>
      <w:pPr>
        <w:jc w:val="both"/>
        <w:rPr>
          <w:color w:val="000000"/>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b/>
          <w:lang w:val="sr-Latn-ME"/>
        </w:rPr>
      </w:pPr>
      <w:bookmarkStart w:id="13" w:name="_Toc62730563"/>
      <w:r>
        <w:rPr>
          <w:b/>
          <w:lang w:val="sr-Latn-ME"/>
        </w:rPr>
        <w:t>TAJNOST PODATAKA</w:t>
      </w:r>
      <w:bookmarkEnd w:id="13"/>
    </w:p>
    <w:p>
      <w:pPr>
        <w:jc w:val="both"/>
        <w:rPr>
          <w:color w:val="000000"/>
          <w:lang w:val="sr-Latn-ME"/>
        </w:rPr>
      </w:pPr>
      <w:r>
        <w:rPr>
          <w:color w:val="000000"/>
          <w:lang w:val="sr-Latn-ME"/>
        </w:rPr>
        <w:t xml:space="preserve"> </w:t>
      </w:r>
    </w:p>
    <w:p>
      <w:pPr>
        <w:jc w:val="both"/>
        <w:rPr>
          <w:color w:val="000000"/>
          <w:lang w:val="sr-Latn-ME"/>
        </w:rPr>
      </w:pPr>
      <w:r>
        <w:rPr>
          <w:color w:val="000000"/>
          <w:lang w:val="sr-Latn-ME"/>
        </w:rPr>
        <w:t>Tenderska dokumentacija sadrži tajne podatke</w:t>
      </w:r>
    </w:p>
    <w:p>
      <w:pPr>
        <w:jc w:val="both"/>
        <w:rPr>
          <w:color w:val="000000"/>
          <w:lang w:val="sr-Latn-ME"/>
        </w:rPr>
      </w:pPr>
    </w:p>
    <w:p>
      <w:pPr>
        <w:jc w:val="both"/>
        <w:rPr>
          <w:color w:val="000000"/>
          <w:lang w:val="sr-Latn-ME"/>
        </w:rPr>
      </w:pPr>
      <w:r>
        <w:rPr>
          <w:color w:val="000000"/>
          <w:lang w:val="sr-Latn-ME"/>
        </w:rPr>
        <w:sym w:font="Wingdings" w:char="F0A8"/>
      </w:r>
      <w:r>
        <w:rPr>
          <w:color w:val="000000"/>
          <w:lang w:val="sr-Latn-ME"/>
        </w:rPr>
        <w:t xml:space="preserve"> ne</w:t>
      </w:r>
    </w:p>
    <w:p>
      <w:pPr>
        <w:jc w:val="both"/>
        <w:rPr>
          <w:color w:val="000000"/>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outlineLvl w:val="0"/>
        <w:rPr>
          <w:b/>
          <w:lang w:val="sr-Latn-ME"/>
        </w:rPr>
      </w:pPr>
      <w:bookmarkStart w:id="14" w:name="_Toc62730564"/>
      <w:r>
        <w:rPr>
          <w:b/>
          <w:lang w:val="sr-Latn-ME"/>
        </w:rPr>
        <w:t>UPUTSTVO ZA SAČINJAVANJE PONUDE</w:t>
      </w:r>
      <w:bookmarkEnd w:id="14"/>
    </w:p>
    <w:p>
      <w:pPr>
        <w:rPr>
          <w:lang w:val="sr-Latn-ME"/>
        </w:rPr>
      </w:pPr>
    </w:p>
    <w:p>
      <w:pPr>
        <w:rPr>
          <w:lang w:val="sr-Latn-ME"/>
        </w:rPr>
      </w:pPr>
    </w:p>
    <w:p>
      <w:pPr>
        <w:jc w:val="both"/>
        <w:rPr>
          <w:lang w:val="sr-Latn-ME"/>
        </w:rPr>
      </w:pPr>
      <w:r>
        <w:rPr>
          <w:lang w:val="sr-Latn-ME"/>
        </w:rPr>
        <w:t xml:space="preserve">Ponude se sačinjava u ESJN u skladu sa tenderskom dokumentacijom i važećim Pravilnikom o sadržaju ponude i uputstvu za sačinjavanje i podnošenje ponude. </w:t>
      </w:r>
    </w:p>
    <w:p>
      <w:pPr>
        <w:jc w:val="both"/>
        <w:rPr>
          <w:lang w:val="sr-Latn-ME"/>
        </w:rPr>
      </w:pPr>
      <w:r>
        <w:rPr>
          <w:lang w:val="sr-Latn-ME"/>
        </w:rPr>
        <w:t>Ispunjenost uslova za učešće u postupku javne nabavke dokazuje se izjavom privrednog subjekta, koja se sačinjava na obrascu datom u Pravilniku o obrascu izjave privrednog subjekta.</w:t>
      </w:r>
    </w:p>
    <w:p>
      <w:pPr>
        <w:jc w:val="both"/>
        <w:rPr>
          <w:i/>
          <w:iCs/>
          <w:color w:val="000000"/>
          <w:lang w:val="sr-Latn-ME"/>
        </w:rPr>
      </w:pPr>
      <w:r>
        <w:rPr>
          <w:lang w:val="sr-Latn-ME"/>
        </w:rPr>
        <w:t xml:space="preserve">Ponuđač je dužan da tačno, potpuno, pravilno i nedvosmisleno popuni </w:t>
      </w:r>
      <w:r>
        <w:rPr>
          <w:rFonts w:eastAsia="Calibri"/>
          <w:lang w:val="sr-Latn-ME"/>
        </w:rPr>
        <w:t>Izjavu privrednog subjekta u skladu sa zahtjevima iz tenderske dokumentacije.</w:t>
      </w:r>
    </w:p>
    <w:p>
      <w:pPr>
        <w:jc w:val="both"/>
        <w:rPr>
          <w:b/>
          <w:bCs/>
          <w:color w:val="000000"/>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b/>
          <w:lang w:val="sr-Latn-ME"/>
        </w:rPr>
      </w:pPr>
      <w:bookmarkStart w:id="15" w:name="_Toc62730565"/>
      <w:r>
        <w:rPr>
          <w:b/>
          <w:lang w:val="sr-Latn-ME"/>
        </w:rPr>
        <w:t>NAČIN ZAKLJUČIVANJA I IZMJENE UGOVORA O JAVNOJ NABAVCI</w:t>
      </w:r>
      <w:bookmarkEnd w:id="15"/>
    </w:p>
    <w:p>
      <w:pPr>
        <w:jc w:val="both"/>
        <w:rPr>
          <w:b/>
          <w:bCs/>
          <w:iCs/>
          <w:lang w:val="sr-Latn-ME"/>
        </w:rPr>
      </w:pPr>
      <w:r>
        <w:rPr>
          <w:b/>
          <w:bCs/>
          <w:iCs/>
          <w:lang w:val="sr-Latn-ME"/>
        </w:rPr>
        <w:t>ZA SVE PARTIJE</w:t>
      </w:r>
    </w:p>
    <w:p>
      <w:pPr>
        <w:jc w:val="both"/>
        <w:rPr>
          <w:i/>
          <w:lang w:val="sr-Latn-ME"/>
        </w:rPr>
      </w:pPr>
    </w:p>
    <w:p>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pPr>
        <w:jc w:val="both"/>
        <w:rPr>
          <w:lang w:val="sr-Latn-ME"/>
        </w:rPr>
      </w:pPr>
    </w:p>
    <w:p>
      <w:pPr>
        <w:jc w:val="both"/>
        <w:rPr>
          <w:lang w:val="sr-Latn-ME"/>
        </w:rPr>
      </w:pPr>
      <w:r>
        <w:rPr>
          <w:lang w:val="sr-Latn-ME"/>
        </w:rPr>
        <w:t>Ugovor o javnoj nabavci mora da bude u skladu sa uslovima utvrđenim tenderskom dokumentacijom, izabranom ponudom i odlukom o izboru najpovoljnije ponude, osim u pogledu iskazivanja PDV-a.</w:t>
      </w:r>
    </w:p>
    <w:p>
      <w:pPr>
        <w:jc w:val="both"/>
        <w:rPr>
          <w:lang w:val="sr-Latn-ME"/>
        </w:rPr>
      </w:pPr>
    </w:p>
    <w:p>
      <w:pPr>
        <w:jc w:val="both"/>
        <w:rPr>
          <w:color w:val="000000"/>
          <w:lang w:val="sr-Latn-ME"/>
        </w:rPr>
      </w:pPr>
      <w:r>
        <w:rPr>
          <w:color w:val="000000"/>
          <w:lang w:val="sr-Latn-ME"/>
        </w:rPr>
        <w:t>Ugovor između naručioca i ponuđača čija je ponuda izabrana kao najpovoljnija, pored uslova koji su propisani ovom tenderskom dokumentacijom, će sadržati i sljedeće:</w:t>
      </w:r>
      <w:r>
        <w:rPr>
          <w:color w:val="000000"/>
          <w:vertAlign w:val="superscript"/>
          <w:lang w:val="sr-Latn-ME"/>
        </w:rPr>
        <w:footnoteReference w:id="8"/>
      </w:r>
    </w:p>
    <w:p>
      <w:pPr>
        <w:jc w:val="both"/>
        <w:rPr>
          <w:color w:val="000000"/>
          <w:lang w:val="sr-Latn-ME"/>
        </w:rPr>
      </w:pPr>
    </w:p>
    <w:p>
      <w:pPr>
        <w:pStyle w:val="8"/>
        <w:jc w:val="both"/>
        <w:rPr>
          <w:rFonts w:ascii="Times New Roman" w:hAnsi="Times New Roman" w:cs="Times New Roman"/>
          <w:sz w:val="24"/>
          <w:szCs w:val="24"/>
        </w:rPr>
      </w:pPr>
      <w:bookmarkStart w:id="16" w:name="_Toc62730566"/>
      <w:r>
        <w:rPr>
          <w:rFonts w:ascii="Times New Roman" w:hAnsi="Times New Roman" w:cs="Times New Roman"/>
          <w:sz w:val="24"/>
          <w:szCs w:val="24"/>
        </w:rPr>
        <w:t>Datum isporuke robe je datum potpisivanja zapisnika o kvantitativnom i kvalitativnom prijemu robe, nakon provjere kompletnosti I funkcionalnosti koje treba da izvrši Komisija Naručioca, na lokaciji naručioca,uz prisustvo ovlašćenih predstavnika Dobavljača.Komisija je dužna da počne sa radom odmah nakon obavještenja Dobavljača da je roba spremna za primopredaju.</w:t>
      </w:r>
    </w:p>
    <w:p>
      <w:pPr>
        <w:pStyle w:val="8"/>
        <w:jc w:val="both"/>
        <w:rPr>
          <w:rFonts w:ascii="Times New Roman" w:hAnsi="Times New Roman" w:cs="Times New Roman"/>
          <w:sz w:val="24"/>
          <w:szCs w:val="24"/>
        </w:rPr>
      </w:pPr>
      <w:r>
        <w:rPr>
          <w:rFonts w:ascii="Times New Roman" w:hAnsi="Times New Roman" w:cs="Times New Roman"/>
          <w:sz w:val="24"/>
          <w:szCs w:val="24"/>
        </w:rPr>
        <w:t>Po završetku kvalitativno-kvantitativne primopredaje Komisija je obavezna da sačini zapisnik koji potpisuju i ovjeravaju predstavnici ugovornih strana.</w:t>
      </w:r>
    </w:p>
    <w:p>
      <w:pPr>
        <w:pStyle w:val="8"/>
        <w:jc w:val="center"/>
        <w:rPr>
          <w:rFonts w:ascii="Times New Roman" w:hAnsi="Times New Roman" w:cs="Times New Roman"/>
          <w:b/>
          <w:sz w:val="24"/>
          <w:szCs w:val="24"/>
        </w:rPr>
      </w:pPr>
    </w:p>
    <w:p>
      <w:pPr>
        <w:pStyle w:val="8"/>
        <w:jc w:val="both"/>
        <w:rPr>
          <w:rFonts w:ascii="Times New Roman" w:hAnsi="Times New Roman" w:cs="Times New Roman"/>
          <w:sz w:val="24"/>
          <w:szCs w:val="24"/>
        </w:rPr>
      </w:pPr>
      <w:r>
        <w:rPr>
          <w:rFonts w:ascii="Times New Roman" w:hAnsi="Times New Roman" w:cs="Times New Roman"/>
          <w:sz w:val="24"/>
          <w:szCs w:val="24"/>
        </w:rPr>
        <w:t>Ugovorne strane su saglasne da do raskida ovog ugovra može doći ako Naruciac ili Dobavljač ne bude izvršavao svoje obaveze u rokovima i na način predviđen Ugovorom,</w:t>
      </w:r>
    </w:p>
    <w:p>
      <w:pPr>
        <w:pStyle w:val="8"/>
        <w:jc w:val="both"/>
        <w:rPr>
          <w:rFonts w:ascii="Times New Roman" w:hAnsi="Times New Roman" w:cs="Times New Roman"/>
          <w:b/>
          <w:sz w:val="24"/>
          <w:szCs w:val="24"/>
        </w:rPr>
      </w:pPr>
      <w:r>
        <w:rPr>
          <w:rFonts w:ascii="Times New Roman" w:hAnsi="Times New Roman" w:cs="Times New Roman"/>
          <w:sz w:val="24"/>
          <w:szCs w:val="24"/>
        </w:rPr>
        <w:t xml:space="preserve"> </w:t>
      </w:r>
    </w:p>
    <w:p>
      <w:pPr>
        <w:pStyle w:val="8"/>
        <w:jc w:val="both"/>
        <w:rPr>
          <w:rFonts w:ascii="Times New Roman" w:hAnsi="Times New Roman" w:cs="Times New Roman"/>
          <w:b/>
          <w:sz w:val="24"/>
          <w:szCs w:val="24"/>
        </w:rPr>
      </w:pPr>
      <w:r>
        <w:rPr>
          <w:rFonts w:ascii="Times New Roman" w:hAnsi="Times New Roman" w:cs="Times New Roman"/>
          <w:sz w:val="24"/>
          <w:szCs w:val="24"/>
        </w:rPr>
        <w:t>Ako Dobavljač kasni sa isporukom robe više od 24 časa nakon utvrđenog roka isporuke,obavezan je da nadoknadi štetu naručiocu u visini 1% ukupne vrijednosi neisporučene robe, za svaki dan zakašnjenja,najviše do 5% ugovorene vrijednosti,osim ako je zakašnjenje u isporuci prouzrokovano neblagovremenim preuzimanjem robe od strane Naručioca i u slučaju nemogućnosti ispunjenja ugovora prema Zakonu o obligacionim odnosima Crne Gore.</w:t>
      </w:r>
    </w:p>
    <w:p>
      <w:pPr>
        <w:pStyle w:val="8"/>
        <w:jc w:val="center"/>
        <w:rPr>
          <w:rFonts w:ascii="Times New Roman" w:hAnsi="Times New Roman" w:cs="Times New Roman"/>
          <w:sz w:val="24"/>
          <w:szCs w:val="24"/>
        </w:rPr>
      </w:pPr>
    </w:p>
    <w:p>
      <w:pPr>
        <w:pStyle w:val="8"/>
        <w:jc w:val="both"/>
        <w:rPr>
          <w:rFonts w:ascii="Times New Roman" w:hAnsi="Times New Roman" w:cs="Times New Roman"/>
          <w:sz w:val="24"/>
          <w:szCs w:val="24"/>
        </w:rPr>
      </w:pPr>
      <w:r>
        <w:rPr>
          <w:rFonts w:ascii="Times New Roman" w:hAnsi="Times New Roman" w:cs="Times New Roman"/>
          <w:sz w:val="24"/>
          <w:szCs w:val="24"/>
        </w:rPr>
        <w:t>Ako se utvrdi da roba koju je Dobavljač isporučio Naručiocu ima nedostatke u kvalitetu i očigledne greške, dobavljač mora iste otkloniti najkasnije u roku od jednog (1) dana od dana dobijanja reklamacije o svom trošku.</w:t>
      </w:r>
    </w:p>
    <w:p>
      <w:pPr>
        <w:pStyle w:val="8"/>
        <w:jc w:val="both"/>
        <w:rPr>
          <w:rFonts w:ascii="Times New Roman" w:hAnsi="Times New Roman" w:cs="Times New Roman"/>
          <w:sz w:val="24"/>
          <w:szCs w:val="24"/>
        </w:rPr>
      </w:pPr>
    </w:p>
    <w:p>
      <w:pPr>
        <w:pStyle w:val="8"/>
        <w:jc w:val="both"/>
        <w:rPr>
          <w:rFonts w:ascii="Times New Roman" w:hAnsi="Times New Roman" w:cs="Times New Roman"/>
          <w:sz w:val="24"/>
          <w:szCs w:val="24"/>
        </w:rPr>
      </w:pPr>
      <w:r>
        <w:rPr>
          <w:rFonts w:ascii="Times New Roman" w:hAnsi="Times New Roman" w:cs="Times New Roman"/>
          <w:sz w:val="24"/>
          <w:szCs w:val="24"/>
        </w:rPr>
        <w:t>Naručilac je u obavezi da svaki nedostatak pisano prijavi Dobavljaču putem fax sistema ili elektronski,putem e mail poruke odmah po njenom nastanku.</w:t>
      </w:r>
    </w:p>
    <w:p>
      <w:pPr>
        <w:pStyle w:val="8"/>
        <w:jc w:val="center"/>
        <w:rPr>
          <w:rFonts w:ascii="Times New Roman" w:hAnsi="Times New Roman" w:cs="Times New Roman"/>
          <w:b/>
          <w:sz w:val="24"/>
          <w:szCs w:val="24"/>
        </w:rPr>
      </w:pPr>
    </w:p>
    <w:p>
      <w:pPr>
        <w:pStyle w:val="8"/>
        <w:rPr>
          <w:rFonts w:ascii="Times New Roman" w:hAnsi="Times New Roman" w:cs="Times New Roman"/>
          <w:sz w:val="24"/>
          <w:szCs w:val="24"/>
        </w:rPr>
      </w:pPr>
      <w:r>
        <w:rPr>
          <w:rFonts w:ascii="Times New Roman" w:hAnsi="Times New Roman" w:cs="Times New Roman"/>
          <w:sz w:val="24"/>
          <w:szCs w:val="24"/>
        </w:rPr>
        <w:t>Naručilac se obavezuje da blagovremeno obezbijedi sve uslove za isporuku ugovorene robe.</w:t>
      </w:r>
    </w:p>
    <w:p>
      <w:pPr>
        <w:pStyle w:val="8"/>
        <w:jc w:val="center"/>
        <w:rPr>
          <w:rFonts w:ascii="Times New Roman" w:hAnsi="Times New Roman" w:cs="Times New Roman"/>
          <w:b/>
          <w:sz w:val="24"/>
          <w:szCs w:val="24"/>
        </w:rPr>
      </w:pPr>
    </w:p>
    <w:p>
      <w:pPr>
        <w:pStyle w:val="8"/>
        <w:jc w:val="both"/>
        <w:rPr>
          <w:rFonts w:ascii="Times New Roman" w:hAnsi="Times New Roman" w:cs="Times New Roman"/>
          <w:sz w:val="24"/>
          <w:szCs w:val="24"/>
        </w:rPr>
      </w:pPr>
      <w:r>
        <w:rPr>
          <w:rFonts w:ascii="Times New Roman" w:hAnsi="Times New Roman" w:cs="Times New Roman"/>
          <w:sz w:val="24"/>
          <w:szCs w:val="24"/>
        </w:rPr>
        <w:t xml:space="preserve">Ukoliko u toku važnosti ovog ugovora dođe do bilo kakvih promjena u nazivu ili drugim statusnim promjenama ugovorenih strana,tada će se sva prava i obaveze ugovorene strane kod koje dođe do takvih promjena,preći na njenog pravnog sljedbenika. </w:t>
      </w:r>
    </w:p>
    <w:p>
      <w:pPr>
        <w:pStyle w:val="8"/>
        <w:jc w:val="center"/>
        <w:rPr>
          <w:rFonts w:ascii="Times New Roman" w:hAnsi="Times New Roman" w:cs="Times New Roman"/>
          <w:b/>
          <w:sz w:val="24"/>
          <w:szCs w:val="24"/>
        </w:rPr>
      </w:pPr>
    </w:p>
    <w:p>
      <w:pPr>
        <w:pStyle w:val="8"/>
        <w:jc w:val="both"/>
        <w:rPr>
          <w:rFonts w:ascii="Times New Roman" w:hAnsi="Times New Roman" w:cs="Times New Roman"/>
          <w:sz w:val="24"/>
          <w:szCs w:val="24"/>
        </w:rPr>
      </w:pPr>
      <w:r>
        <w:rPr>
          <w:rFonts w:ascii="Times New Roman" w:hAnsi="Times New Roman" w:cs="Times New Roman"/>
          <w:sz w:val="24"/>
          <w:szCs w:val="24"/>
        </w:rPr>
        <w:t>Za sve što nije predviđeno ovim ugovorom primjenjuju se odredbe Zakona o obligacionim odnosima i drugih pozitivnih propisa.</w:t>
      </w:r>
    </w:p>
    <w:p>
      <w:pPr>
        <w:pStyle w:val="8"/>
        <w:rPr>
          <w:rFonts w:ascii="Times New Roman" w:hAnsi="Times New Roman" w:cs="Times New Roman"/>
          <w:sz w:val="24"/>
          <w:szCs w:val="24"/>
        </w:rPr>
      </w:pPr>
    </w:p>
    <w:p>
      <w:pPr>
        <w:pStyle w:val="8"/>
        <w:jc w:val="both"/>
        <w:rPr>
          <w:rFonts w:ascii="Times New Roman" w:hAnsi="Times New Roman" w:cs="Times New Roman"/>
          <w:sz w:val="24"/>
          <w:szCs w:val="24"/>
        </w:rPr>
      </w:pPr>
      <w:r>
        <w:rPr>
          <w:rFonts w:ascii="Times New Roman" w:hAnsi="Times New Roman" w:cs="Times New Roman"/>
          <w:sz w:val="24"/>
          <w:szCs w:val="24"/>
        </w:rPr>
        <w:t>Ugovorne strane su saglasne da eventualne sporove povodom ovog ugovora rješavaju sporazumno. U suprotnom nadležan je Privredni sud u Podgorici.</w:t>
      </w:r>
    </w:p>
    <w:p>
      <w:pPr>
        <w:pStyle w:val="8"/>
        <w:jc w:val="both"/>
        <w:rPr>
          <w:rFonts w:ascii="Times New Roman" w:hAnsi="Times New Roman" w:cs="Times New Roman"/>
          <w:sz w:val="24"/>
          <w:szCs w:val="24"/>
        </w:rPr>
      </w:pPr>
    </w:p>
    <w:p>
      <w:pPr>
        <w:spacing w:line="276" w:lineRule="auto"/>
        <w:jc w:val="both"/>
        <w:rPr>
          <w:color w:val="000000"/>
          <w:lang w:val="sr-Latn-ME" w:bidi="ar"/>
        </w:rPr>
      </w:pPr>
      <w:r>
        <w:rPr>
          <w:color w:val="000000"/>
          <w:lang w:val="sr-Latn-ME" w:bidi="ar"/>
        </w:rPr>
        <w:sym w:font="Wingdings" w:char="00A8"/>
      </w:r>
      <w:r>
        <w:rPr>
          <w:color w:val="000000"/>
          <w:lang w:val="sr-Latn-ME" w:bidi="ar"/>
        </w:rPr>
        <w:t xml:space="preserve"> Ugovor o javnoj nabavci tokom njegovog trajanja može da se izmijeni bez sprovođenja novog postupka javne nabavke u skladu sa članom 151 Zakona o javnim nabavkama: </w:t>
      </w:r>
    </w:p>
    <w:p>
      <w:pPr>
        <w:numPr>
          <w:ilvl w:val="0"/>
          <w:numId w:val="9"/>
        </w:numPr>
        <w:spacing w:line="276" w:lineRule="auto"/>
        <w:rPr>
          <w:color w:val="000000"/>
          <w:lang w:val="sr-Latn-ME" w:bidi="ar"/>
        </w:rPr>
      </w:pPr>
      <w:r>
        <w:rPr>
          <w:color w:val="000000"/>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pPr>
        <w:numPr>
          <w:ilvl w:val="0"/>
          <w:numId w:val="10"/>
        </w:numPr>
        <w:spacing w:line="276" w:lineRule="auto"/>
        <w:jc w:val="both"/>
      </w:pPr>
      <w:r>
        <w:rPr>
          <w:rFonts w:eastAsia="sans-serif"/>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r>
        <w:rPr>
          <w:rFonts w:eastAsia="SimSun"/>
          <w:lang w:val="sr-Latn-ME"/>
        </w:rPr>
        <w:br w:type="textWrapping"/>
      </w:r>
      <w:r>
        <w:rPr>
          <w:rFonts w:eastAsia="sans-serif"/>
          <w:lang w:val="sr-Latn-ME"/>
        </w:rPr>
        <w:t>3) kada je potreba za izmjenom ugovora nastala zbog okolnosti koje naručilac u vrijeme zaključivanja ugovora</w:t>
      </w:r>
      <w:r>
        <w:rPr>
          <w:rFonts w:eastAsia="SimSun"/>
          <w:lang w:val="sr-Latn-ME"/>
        </w:rPr>
        <w:br w:type="textWrapping"/>
      </w:r>
      <w:r>
        <w:rPr>
          <w:rFonts w:eastAsia="sans-serif"/>
          <w:lang w:val="sr-Latn-ME"/>
        </w:rPr>
        <w:t>nije mogao da predvidi, a izmjenom se ne mijenja priroda ugovora a povećanje vrijednosti ugovora nije veće</w:t>
      </w:r>
      <w:r>
        <w:rPr>
          <w:rFonts w:eastAsia="SimSun"/>
          <w:lang w:val="sr-Latn-ME"/>
        </w:rPr>
        <w:br w:type="textWrapping"/>
      </w:r>
      <w:r>
        <w:rPr>
          <w:rFonts w:eastAsia="sans-serif"/>
          <w:lang w:val="sr-Latn-ME"/>
        </w:rPr>
        <w:t>od 20% vrijednosti prvobitnog ugovora,</w:t>
      </w:r>
      <w:r>
        <w:rPr>
          <w:rFonts w:eastAsia="SimSun"/>
          <w:lang w:val="sr-Latn-ME"/>
        </w:rPr>
        <w:br w:type="textWrapping"/>
      </w:r>
      <w:r>
        <w:rPr>
          <w:rFonts w:eastAsia="sans-serif"/>
          <w:lang w:val="sr-Latn-ME"/>
        </w:rPr>
        <w:t>3a) kad je potreba za izmjenom ugovora nastala zbog okolnosti koje naručilac u vrijeme zaključivanja ugovora</w:t>
      </w:r>
      <w:r>
        <w:rPr>
          <w:rFonts w:eastAsia="SimSun"/>
          <w:lang w:val="sr-Latn-ME"/>
        </w:rPr>
        <w:br w:type="textWrapping"/>
      </w:r>
      <w:r>
        <w:rPr>
          <w:rFonts w:eastAsia="sans-serif"/>
          <w:lang w:val="sr-Latn-ME"/>
        </w:rPr>
        <w:t>nije mogao da predvidi, a izmjenom se ne mijenja priroda ugovora već se vrši samo smanjenje ugovorene</w:t>
      </w:r>
      <w:r>
        <w:rPr>
          <w:rFonts w:eastAsia="SimSun"/>
          <w:lang w:val="sr-Latn-ME"/>
        </w:rPr>
        <w:br w:type="textWrapping"/>
      </w:r>
      <w:r>
        <w:rPr>
          <w:rFonts w:eastAsia="sans-serif"/>
          <w:lang w:val="sr-Latn-ME"/>
        </w:rPr>
        <w:t>vrijednosti,</w:t>
      </w:r>
      <w:r>
        <w:rPr>
          <w:rFonts w:eastAsia="SimSun"/>
          <w:lang w:val="sr-Latn-ME"/>
        </w:rPr>
        <w:br w:type="textWrapping"/>
      </w:r>
      <w:r>
        <w:rPr>
          <w:rFonts w:eastAsia="sans-serif"/>
          <w:lang w:val="sr-Latn-ME"/>
        </w:rPr>
        <w:t>3b) kad se vrši zamjena podugovarača, u skladu sa članom 128 st. 10, 11 i 12 ovog zakona,</w:t>
      </w:r>
      <w:r>
        <w:rPr>
          <w:rFonts w:eastAsia="SimSun"/>
          <w:lang w:val="sr-Latn-ME"/>
        </w:rPr>
        <w:br w:type="textWrapping"/>
      </w:r>
      <w:r>
        <w:rPr>
          <w:rFonts w:eastAsia="sans-serif"/>
          <w:lang w:val="sr-Latn-ME"/>
        </w:rPr>
        <w:t>4) ako privrednog subjekta nakon restrukturiranja, uključujući preuzimanje, spajanje, kupovinu ili stečaj,</w:t>
      </w:r>
      <w:r>
        <w:rPr>
          <w:rFonts w:eastAsia="SimSun"/>
          <w:lang w:val="sr-Latn-ME"/>
        </w:rPr>
        <w:br w:type="textWrapping"/>
      </w:r>
      <w:r>
        <w:rPr>
          <w:rFonts w:eastAsia="sans-serif"/>
          <w:lang w:val="sr-Latn-ME"/>
        </w:rPr>
        <w:t>zamjenjuje u potpunosti ili djelimično novi pravni sljedbenik, odnosno privredni subjekat, koji ispunjava</w:t>
      </w:r>
      <w:r>
        <w:rPr>
          <w:rFonts w:eastAsia="SimSun"/>
          <w:lang w:val="sr-Latn-ME"/>
        </w:rPr>
        <w:br w:type="textWrapping"/>
      </w:r>
      <w:r>
        <w:rPr>
          <w:rFonts w:eastAsia="sans-serif"/>
          <w:lang w:val="sr-Latn-ME"/>
        </w:rPr>
        <w:t>prvobitno određene uslove zaključenog ugovora o javnoj nabavci, a izmjene su predviđene tenderskom</w:t>
      </w:r>
      <w:r>
        <w:rPr>
          <w:rFonts w:eastAsia="SimSun"/>
          <w:lang w:val="sr-Latn-ME"/>
        </w:rPr>
        <w:br w:type="textWrapping"/>
      </w:r>
      <w:r>
        <w:rPr>
          <w:rFonts w:eastAsia="sans-serif"/>
          <w:lang w:val="sr-Latn-ME"/>
        </w:rPr>
        <w:t>dokumentacijom, pod uslovom da se ne vrše druge bitne izmjene ugovora iz člana 150 stav 2 ovog zakona.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b/>
          <w:lang w:val="sr-Latn-ME"/>
        </w:rPr>
      </w:pPr>
      <w:r>
        <w:rPr>
          <w:b/>
          <w:lang w:val="sr-Latn-ME"/>
        </w:rPr>
        <w:t>ZAHTJEV ZA POJAŠNJENJE ILI IZMJENU I DOPUNU TENDERSKE DOKUMENTACIJE</w:t>
      </w:r>
      <w:bookmarkEnd w:id="16"/>
    </w:p>
    <w:p>
      <w:pPr>
        <w:autoSpaceDE w:val="0"/>
        <w:autoSpaceDN w:val="0"/>
        <w:adjustRightInd w:val="0"/>
        <w:jc w:val="both"/>
        <w:rPr>
          <w:lang w:val="sr-Latn-ME"/>
        </w:rPr>
      </w:pPr>
      <w:r>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lang w:val="sr-Latn-ME"/>
        </w:rPr>
      </w:pPr>
    </w:p>
    <w:p>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pPr>
        <w:jc w:val="both"/>
        <w:rPr>
          <w:color w:val="000000"/>
          <w:lang w:val="sr-Latn-ME"/>
        </w:rPr>
      </w:pPr>
      <w:r>
        <w:rPr>
          <w:color w:val="000000"/>
          <w:lang w:val="sr-Latn-ME"/>
        </w:rPr>
        <w:t>Zahtjev se podnosi isključivo putem ESJN-a.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ind w:left="1440"/>
        <w:jc w:val="both"/>
        <w:outlineLvl w:val="0"/>
        <w:rPr>
          <w:b/>
          <w:color w:val="000000"/>
          <w:lang w:val="sr-Latn-ME"/>
        </w:rPr>
      </w:pPr>
      <w:bookmarkStart w:id="17" w:name="_Toc62730567"/>
      <w:bookmarkStart w:id="18" w:name="_Toc508349235"/>
      <w:bookmarkStart w:id="19" w:name="_Toc416180136"/>
      <w:r>
        <w:rPr>
          <w:b/>
          <w:color w:val="000000"/>
          <w:lang w:val="sr-Latn-ME"/>
        </w:rPr>
        <w:t>IZJAVA NARUČIOCA O NEPOSTOJANJU SUKOBA INTERESA</w:t>
      </w:r>
      <w:bookmarkEnd w:id="17"/>
      <w:bookmarkEnd w:id="18"/>
      <w:bookmarkEnd w:id="19"/>
    </w:p>
    <w:p>
      <w:pPr>
        <w:tabs>
          <w:tab w:val="left" w:pos="1701"/>
          <w:tab w:val="left" w:pos="4820"/>
        </w:tabs>
        <w:jc w:val="both"/>
        <w:rPr>
          <w:color w:val="000000"/>
          <w:u w:val="single"/>
          <w:lang w:val="sr-Latn-ME"/>
        </w:rPr>
      </w:pPr>
    </w:p>
    <w:p>
      <w:pPr>
        <w:tabs>
          <w:tab w:val="left" w:pos="1701"/>
          <w:tab w:val="left" w:pos="4820"/>
        </w:tabs>
        <w:jc w:val="both"/>
        <w:rPr>
          <w:color w:val="000000"/>
          <w:u w:val="single"/>
          <w:lang w:val="sr-Latn-ME"/>
        </w:rPr>
      </w:pPr>
    </w:p>
    <w:p>
      <w:pPr>
        <w:tabs>
          <w:tab w:val="left" w:pos="1701"/>
          <w:tab w:val="left" w:pos="4820"/>
        </w:tabs>
        <w:jc w:val="both"/>
        <w:rPr>
          <w:color w:val="000000"/>
          <w:lang w:val="sr-Latn-ME"/>
        </w:rPr>
      </w:pPr>
      <w:r>
        <w:rPr>
          <w:color w:val="000000"/>
          <w:u w:val="single"/>
          <w:lang w:val="sr-Latn-ME"/>
        </w:rPr>
        <w:t>JPU Zagorka Ivanović Cetinje</w:t>
      </w:r>
    </w:p>
    <w:p>
      <w:pPr>
        <w:jc w:val="both"/>
        <w:rPr>
          <w:color w:val="000000"/>
          <w:highlight w:val="yellow"/>
          <w:lang w:val="sr-Latn-ME"/>
        </w:rPr>
      </w:pPr>
      <w:r>
        <w:rPr>
          <w:color w:val="000000"/>
          <w:lang w:val="sr-Latn-ME"/>
        </w:rPr>
        <w:t xml:space="preserve">Broj: </w:t>
      </w:r>
      <w:r>
        <w:rPr>
          <w:color w:val="000000"/>
          <w:highlight w:val="yellow"/>
          <w:lang w:val="sr-Latn-ME"/>
        </w:rPr>
        <w:t>567</w:t>
      </w:r>
    </w:p>
    <w:p>
      <w:pPr>
        <w:jc w:val="both"/>
        <w:rPr>
          <w:color w:val="000000"/>
          <w:lang w:val="sr-Latn-ME"/>
        </w:rPr>
      </w:pPr>
      <w:r>
        <w:rPr>
          <w:color w:val="000000"/>
          <w:lang w:val="sr-Latn-ME"/>
        </w:rPr>
        <w:t>Mjesto i datum: Cetinje, 0</w:t>
      </w:r>
      <w:r>
        <w:rPr>
          <w:color w:val="000000"/>
        </w:rPr>
        <w:t>5</w:t>
      </w:r>
      <w:r>
        <w:rPr>
          <w:color w:val="000000"/>
          <w:lang w:val="sr-Latn-ME"/>
        </w:rPr>
        <w:t>.0</w:t>
      </w:r>
      <w:r>
        <w:rPr>
          <w:color w:val="000000"/>
        </w:rPr>
        <w:t>6</w:t>
      </w:r>
      <w:r>
        <w:rPr>
          <w:color w:val="000000"/>
          <w:lang w:val="sr-Latn-ME"/>
        </w:rPr>
        <w:t>.202</w:t>
      </w:r>
      <w:r>
        <w:rPr>
          <w:color w:val="000000"/>
          <w:lang w:val="sl-SI"/>
        </w:rPr>
        <w:t>3</w:t>
      </w:r>
      <w:r>
        <w:rPr>
          <w:color w:val="000000"/>
          <w:lang w:val="sr-Latn-ME"/>
        </w:rPr>
        <w:t>. godine</w:t>
      </w:r>
    </w:p>
    <w:p>
      <w:pPr>
        <w:jc w:val="both"/>
        <w:rPr>
          <w:b/>
          <w:bCs/>
          <w:color w:val="000000"/>
          <w:lang w:val="sr-Latn-ME"/>
        </w:rPr>
      </w:pPr>
    </w:p>
    <w:p>
      <w:pPr>
        <w:jc w:val="both"/>
        <w:rPr>
          <w:b/>
          <w:bCs/>
          <w:color w:val="000000"/>
          <w:lang w:val="sr-Latn-ME"/>
        </w:rPr>
      </w:pPr>
    </w:p>
    <w:p>
      <w:pPr>
        <w:tabs>
          <w:tab w:val="left" w:pos="3290"/>
        </w:tabs>
        <w:ind w:firstLine="708"/>
        <w:jc w:val="both"/>
        <w:rPr>
          <w:color w:val="000000"/>
          <w:lang w:val="sr-Latn-ME"/>
        </w:rPr>
      </w:pPr>
      <w:r>
        <w:rPr>
          <w:color w:val="000000"/>
          <w:lang w:val="sr-Latn-ME"/>
        </w:rPr>
        <w:t>U skladu sa članom 43 stav 1 Zakona o javnim nabavkama („Službeni list CG”, br.74/19</w:t>
      </w:r>
      <w:r>
        <w:rPr>
          <w:color w:val="000000"/>
          <w:lang w:val="sl-SI"/>
        </w:rPr>
        <w:t xml:space="preserve"> </w:t>
      </w:r>
      <w:r>
        <w:rPr>
          <w:color w:val="000000"/>
          <w:lang w:val="sr-Latn-ME"/>
        </w:rPr>
        <w:t xml:space="preserve">i 3/23), </w:t>
      </w:r>
    </w:p>
    <w:p>
      <w:pPr>
        <w:tabs>
          <w:tab w:val="left" w:pos="3290"/>
        </w:tabs>
        <w:jc w:val="both"/>
        <w:rPr>
          <w:color w:val="000000"/>
          <w:lang w:val="sr-Latn-ME"/>
        </w:rPr>
      </w:pPr>
    </w:p>
    <w:p>
      <w:pPr>
        <w:tabs>
          <w:tab w:val="left" w:pos="3290"/>
        </w:tabs>
        <w:jc w:val="both"/>
        <w:rPr>
          <w:color w:val="000000"/>
          <w:lang w:val="sr-Latn-ME"/>
        </w:rPr>
      </w:pPr>
    </w:p>
    <w:p>
      <w:pPr>
        <w:tabs>
          <w:tab w:val="left" w:pos="3290"/>
        </w:tabs>
        <w:jc w:val="both"/>
        <w:rPr>
          <w:color w:val="000000"/>
          <w:lang w:val="sr-Latn-ME"/>
        </w:rPr>
      </w:pPr>
    </w:p>
    <w:p>
      <w:pPr>
        <w:tabs>
          <w:tab w:val="left" w:pos="3290"/>
        </w:tabs>
        <w:jc w:val="both"/>
        <w:rPr>
          <w:color w:val="000000"/>
          <w:lang w:val="sr-Latn-ME"/>
        </w:rPr>
      </w:pPr>
    </w:p>
    <w:p>
      <w:pPr>
        <w:tabs>
          <w:tab w:val="left" w:pos="3290"/>
        </w:tabs>
        <w:jc w:val="center"/>
        <w:rPr>
          <w:b/>
          <w:bCs/>
          <w:color w:val="000000"/>
          <w:lang w:val="sr-Latn-ME"/>
        </w:rPr>
      </w:pPr>
      <w:r>
        <w:rPr>
          <w:b/>
          <w:bCs/>
          <w:color w:val="000000"/>
          <w:lang w:val="sr-Latn-ME"/>
        </w:rPr>
        <w:t>Izjavljujem</w:t>
      </w:r>
    </w:p>
    <w:p>
      <w:pPr>
        <w:tabs>
          <w:tab w:val="left" w:pos="3290"/>
        </w:tabs>
        <w:jc w:val="both"/>
        <w:rPr>
          <w:color w:val="000000"/>
          <w:lang w:val="sr-Latn-ME"/>
        </w:rPr>
      </w:pPr>
    </w:p>
    <w:p>
      <w:pPr>
        <w:tabs>
          <w:tab w:val="left" w:pos="3290"/>
        </w:tabs>
        <w:jc w:val="both"/>
        <w:rPr>
          <w:color w:val="000000"/>
          <w:lang w:val="sr-Latn-ME"/>
        </w:rPr>
      </w:pPr>
      <w:r>
        <w:rPr>
          <w:color w:val="000000"/>
          <w:lang w:val="sr-Latn-ME"/>
        </w:rPr>
        <w:t xml:space="preserve">da u postupku javne nabavke redni broj </w:t>
      </w:r>
      <w:r>
        <w:rPr>
          <w:color w:val="000000"/>
          <w:lang w:val="sl-SI"/>
        </w:rPr>
        <w:t>2</w:t>
      </w:r>
      <w:r>
        <w:rPr>
          <w:color w:val="000000"/>
          <w:lang w:val="sr-Latn-ME"/>
        </w:rPr>
        <w:t xml:space="preserve">, 3, </w:t>
      </w:r>
      <w:r>
        <w:rPr>
          <w:color w:val="000000"/>
          <w:lang w:val="sl-SI"/>
        </w:rPr>
        <w:t>4</w:t>
      </w:r>
      <w:r>
        <w:rPr>
          <w:color w:val="000000"/>
          <w:lang w:val="sr-Latn-ME"/>
        </w:rPr>
        <w:t xml:space="preserve">, 6 i 7 iz Plana javne nabavke broj </w:t>
      </w:r>
      <w:r>
        <w:rPr>
          <w:rFonts w:eastAsia="SimSun"/>
        </w:rPr>
        <w:t>6120</w:t>
      </w:r>
      <w:r>
        <w:rPr>
          <w:color w:val="000000"/>
          <w:lang w:val="sr-Latn-ME"/>
        </w:rPr>
        <w:t xml:space="preserve"> od </w:t>
      </w:r>
      <w:r>
        <w:rPr>
          <w:rFonts w:eastAsia="SimSun"/>
        </w:rPr>
        <w:t>31.1.2023</w:t>
      </w:r>
      <w:r>
        <w:rPr>
          <w:color w:val="000000"/>
          <w:lang w:val="sr-Latn-ME"/>
        </w:rPr>
        <w:t>. godin</w:t>
      </w:r>
      <w:r>
        <w:rPr>
          <w:color w:val="000000"/>
          <w:lang w:val="sl-SI"/>
        </w:rPr>
        <w:t>e</w:t>
      </w:r>
      <w:r>
        <w:rPr>
          <w:color w:val="000000"/>
          <w:lang w:val="sr-Latn-ME"/>
        </w:rPr>
        <w:t xml:space="preserve"> za nabavku prehrambenih proizvoda za ishranu djece 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color w:val="000000"/>
          <w:lang w:val="sr-Latn-ME"/>
        </w:rPr>
      </w:pPr>
    </w:p>
    <w:p>
      <w:pPr>
        <w:tabs>
          <w:tab w:val="left" w:pos="3290"/>
        </w:tabs>
        <w:jc w:val="both"/>
        <w:rPr>
          <w:color w:val="000000"/>
          <w:lang w:val="sr-Latn-ME"/>
        </w:rPr>
      </w:pPr>
    </w:p>
    <w:p>
      <w:pPr>
        <w:tabs>
          <w:tab w:val="left" w:pos="3290"/>
        </w:tabs>
        <w:ind w:firstLine="1134"/>
        <w:jc w:val="right"/>
        <w:rPr>
          <w:color w:val="000000"/>
          <w:lang w:val="sr-Latn-ME"/>
        </w:rPr>
      </w:pPr>
      <w:r>
        <w:rPr>
          <w:color w:val="000000"/>
          <w:lang w:val="sr-Latn-ME"/>
        </w:rPr>
        <w:t>Ovlašćeno lice naručioca Direktor Maja Mićunović</w:t>
      </w:r>
    </w:p>
    <w:p>
      <w:pPr>
        <w:tabs>
          <w:tab w:val="left" w:pos="3290"/>
        </w:tabs>
        <w:ind w:left="5664" w:firstLine="708"/>
        <w:jc w:val="center"/>
        <w:rPr>
          <w:i/>
          <w:iCs/>
          <w:color w:val="000000"/>
          <w:lang w:val="sr-Latn-ME"/>
        </w:rPr>
      </w:pPr>
      <w:r>
        <w:rPr>
          <w:i/>
          <w:iCs/>
          <w:color w:val="000000"/>
          <w:lang w:val="sr-Latn-ME"/>
        </w:rPr>
        <w:t xml:space="preserve">                  s.r.</w:t>
      </w:r>
    </w:p>
    <w:p>
      <w:pPr>
        <w:tabs>
          <w:tab w:val="left" w:pos="3290"/>
        </w:tabs>
        <w:ind w:firstLine="1134"/>
        <w:jc w:val="right"/>
        <w:rPr>
          <w:i/>
          <w:iCs/>
          <w:color w:val="000000"/>
          <w:lang w:val="sr-Latn-ME"/>
        </w:rPr>
      </w:pPr>
      <w:r>
        <w:rPr>
          <w:color w:val="000000"/>
          <w:lang w:val="sr-Latn-ME"/>
        </w:rPr>
        <w:t>Službenik za javne nabavke Milica Krstićević</w:t>
      </w:r>
      <w:r>
        <w:rPr>
          <w:i/>
          <w:iCs/>
          <w:color w:val="000000"/>
          <w:lang w:val="sr-Latn-ME"/>
        </w:rPr>
        <w:t xml:space="preserve"> </w:t>
      </w:r>
    </w:p>
    <w:p>
      <w:pPr>
        <w:tabs>
          <w:tab w:val="left" w:pos="3290"/>
        </w:tabs>
        <w:ind w:left="5664" w:firstLine="708"/>
        <w:jc w:val="center"/>
        <w:rPr>
          <w:i/>
          <w:iCs/>
          <w:color w:val="000000"/>
          <w:lang w:val="sr-Latn-ME"/>
        </w:rPr>
      </w:pPr>
      <w:r>
        <w:rPr>
          <w:i/>
          <w:iCs/>
          <w:color w:val="000000"/>
          <w:lang w:val="sr-Latn-ME"/>
        </w:rPr>
        <w:t xml:space="preserve"> s.r.</w:t>
      </w:r>
    </w:p>
    <w:p>
      <w:pPr>
        <w:tabs>
          <w:tab w:val="left" w:pos="3290"/>
        </w:tabs>
        <w:ind w:firstLine="1134"/>
        <w:jc w:val="right"/>
        <w:rPr>
          <w:color w:val="000000"/>
          <w:highlight w:val="yellow"/>
          <w:lang w:val="sr-Latn-ME"/>
        </w:rPr>
      </w:pPr>
      <w:r>
        <w:rPr>
          <w:color w:val="000000"/>
          <w:lang w:val="sr-Latn-ME"/>
        </w:rPr>
        <w:t>Lice koje je učestvovalo u planiranju javne nabavke B</w:t>
      </w:r>
      <w:r>
        <w:rPr>
          <w:color w:val="000000"/>
          <w:highlight w:val="yellow"/>
          <w:lang w:val="sr-Latn-ME"/>
        </w:rPr>
        <w:t>ranka Roganović</w:t>
      </w:r>
    </w:p>
    <w:p>
      <w:pPr>
        <w:ind w:left="6372"/>
        <w:jc w:val="center"/>
        <w:rPr>
          <w:i/>
          <w:iCs/>
          <w:color w:val="000000"/>
          <w:lang w:val="sr-Latn-ME"/>
        </w:rPr>
      </w:pPr>
      <w:r>
        <w:rPr>
          <w:i/>
          <w:iCs/>
          <w:color w:val="000000"/>
          <w:lang w:val="sr-Latn-ME"/>
        </w:rPr>
        <w:t>s.r.</w:t>
      </w:r>
    </w:p>
    <w:p>
      <w:pPr>
        <w:tabs>
          <w:tab w:val="left" w:pos="3290"/>
        </w:tabs>
        <w:jc w:val="right"/>
        <w:rPr>
          <w:color w:val="000000"/>
          <w:lang w:val="sr-Latn-ME"/>
        </w:rPr>
      </w:pPr>
      <w:r>
        <w:rPr>
          <w:iCs/>
          <w:color w:val="000000"/>
          <w:lang w:val="sr-Latn-ME"/>
        </w:rPr>
        <w:t xml:space="preserve">                 Član komisije </w:t>
      </w:r>
      <w:r>
        <w:rPr>
          <w:lang w:val="sr-Latn-ME"/>
        </w:rPr>
        <w:t>za sprovođenje postupka javne nabavk</w:t>
      </w:r>
      <w:r>
        <w:rPr>
          <w:iCs/>
          <w:color w:val="000000"/>
          <w:lang w:val="sr-Latn-ME"/>
        </w:rPr>
        <w:t>e Milica Krstićević</w:t>
      </w:r>
    </w:p>
    <w:p>
      <w:pPr>
        <w:ind w:left="6372"/>
        <w:jc w:val="center"/>
        <w:rPr>
          <w:i/>
          <w:iCs/>
          <w:color w:val="000000"/>
          <w:lang w:val="sr-Latn-ME"/>
        </w:rPr>
      </w:pPr>
      <w:r>
        <w:rPr>
          <w:i/>
          <w:iCs/>
          <w:color w:val="000000"/>
          <w:lang w:val="sr-Latn-ME"/>
        </w:rPr>
        <w:t>s.r.</w:t>
      </w:r>
    </w:p>
    <w:p>
      <w:pPr>
        <w:tabs>
          <w:tab w:val="left" w:pos="3290"/>
        </w:tabs>
        <w:ind w:firstLine="1134"/>
        <w:jc w:val="right"/>
        <w:rPr>
          <w:color w:val="000000"/>
          <w:lang w:val="sl-SI"/>
        </w:rPr>
      </w:pPr>
      <w:r>
        <w:rPr>
          <w:iCs/>
          <w:color w:val="000000"/>
          <w:lang w:val="sr-Latn-ME"/>
        </w:rPr>
        <w:t xml:space="preserve">Član komisije </w:t>
      </w:r>
      <w:r>
        <w:rPr>
          <w:lang w:val="sr-Latn-ME"/>
        </w:rPr>
        <w:t>za sprovođenje postupka javne nabavk</w:t>
      </w:r>
      <w:r>
        <w:rPr>
          <w:iCs/>
          <w:color w:val="000000"/>
          <w:lang w:val="sr-Latn-ME"/>
        </w:rPr>
        <w:t xml:space="preserve">e </w:t>
      </w:r>
      <w:r>
        <w:rPr>
          <w:iCs/>
          <w:color w:val="000000"/>
          <w:lang w:val="sl-SI"/>
        </w:rPr>
        <w:t>Sanja Martinović</w:t>
      </w:r>
    </w:p>
    <w:p>
      <w:pPr>
        <w:ind w:left="6372"/>
        <w:jc w:val="center"/>
        <w:rPr>
          <w:i/>
          <w:iCs/>
          <w:color w:val="000000"/>
          <w:lang w:val="sr-Latn-ME"/>
        </w:rPr>
      </w:pPr>
      <w:r>
        <w:rPr>
          <w:i/>
          <w:iCs/>
          <w:color w:val="000000"/>
          <w:lang w:val="sr-Latn-ME"/>
        </w:rPr>
        <w:t>s.r.</w:t>
      </w:r>
    </w:p>
    <w:p>
      <w:pPr>
        <w:tabs>
          <w:tab w:val="left" w:pos="3290"/>
        </w:tabs>
        <w:ind w:firstLine="1134"/>
        <w:jc w:val="right"/>
        <w:rPr>
          <w:color w:val="000000"/>
          <w:lang w:val="sr-Latn-ME"/>
        </w:rPr>
      </w:pPr>
      <w:r>
        <w:rPr>
          <w:iCs/>
          <w:color w:val="000000"/>
          <w:lang w:val="sr-Latn-ME"/>
        </w:rPr>
        <w:t xml:space="preserve">Član komisije </w:t>
      </w:r>
      <w:r>
        <w:rPr>
          <w:lang w:val="sr-Latn-ME"/>
        </w:rPr>
        <w:t>za sprovođenje postupka javne nabavk</w:t>
      </w:r>
      <w:r>
        <w:rPr>
          <w:iCs/>
          <w:color w:val="000000"/>
          <w:lang w:val="sr-Latn-ME"/>
        </w:rPr>
        <w:t>e Tatjana Tomašević</w:t>
      </w:r>
    </w:p>
    <w:p>
      <w:pPr>
        <w:ind w:left="6372"/>
        <w:jc w:val="center"/>
        <w:rPr>
          <w:i/>
          <w:iCs/>
          <w:color w:val="000000"/>
          <w:lang w:val="sr-Latn-ME"/>
        </w:rPr>
      </w:pPr>
      <w:r>
        <w:rPr>
          <w:i/>
          <w:iCs/>
          <w:color w:val="000000"/>
          <w:lang w:val="sr-Latn-ME"/>
        </w:rPr>
        <w:t>s.r.</w:t>
      </w:r>
    </w:p>
    <w:p>
      <w:pPr>
        <w:jc w:val="both"/>
        <w:rPr>
          <w:b/>
          <w:bCs/>
          <w:color w:val="000000"/>
          <w:lang w:val="sr-Latn-ME"/>
        </w:rPr>
      </w:pPr>
    </w:p>
    <w:p>
      <w:pPr>
        <w:jc w:val="both"/>
        <w:rPr>
          <w:b/>
          <w:bCs/>
          <w:color w:val="000000"/>
          <w:lang w:val="sr-Latn-ME"/>
        </w:rPr>
      </w:pPr>
    </w:p>
    <w:p>
      <w:pPr>
        <w:jc w:val="both"/>
        <w:rPr>
          <w:b/>
          <w:bCs/>
          <w:color w:val="000000"/>
          <w:lang w:val="sr-Latn-ME"/>
        </w:rPr>
      </w:pPr>
    </w:p>
    <w:p>
      <w:pPr>
        <w:jc w:val="both"/>
        <w:rPr>
          <w:b/>
          <w:bCs/>
          <w:color w:val="000000"/>
          <w:lang w:val="sr-Latn-ME"/>
        </w:rPr>
      </w:pPr>
    </w:p>
    <w:p>
      <w:pPr>
        <w:jc w:val="both"/>
        <w:rPr>
          <w:b/>
          <w:bCs/>
          <w:color w:val="000000"/>
          <w:lang w:val="sr-Latn-ME"/>
        </w:rPr>
      </w:pPr>
    </w:p>
    <w:p>
      <w:pPr>
        <w:jc w:val="both"/>
        <w:rPr>
          <w:b/>
          <w:bCs/>
          <w:color w:val="000000"/>
          <w:lang w:val="sr-Latn-ME"/>
        </w:rPr>
      </w:pPr>
    </w:p>
    <w:p>
      <w:pPr>
        <w:jc w:val="both"/>
        <w:rPr>
          <w:b/>
          <w:bCs/>
          <w:color w:val="000000"/>
          <w:lang w:val="sr-Latn-ME"/>
        </w:rPr>
      </w:pPr>
    </w:p>
    <w:p>
      <w:pPr>
        <w:jc w:val="both"/>
        <w:rPr>
          <w:b/>
          <w:bCs/>
          <w:color w:val="000000"/>
          <w:lang w:val="sr-Latn-ME"/>
        </w:rPr>
      </w:pPr>
    </w:p>
    <w:p>
      <w:pPr>
        <w:jc w:val="both"/>
        <w:rPr>
          <w:b/>
          <w:bCs/>
          <w:color w:val="000000"/>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6" w:lineRule="auto"/>
        <w:outlineLvl w:val="0"/>
        <w:rPr>
          <w:b/>
          <w:iCs/>
          <w:lang w:val="sr-Latn-ME"/>
        </w:rPr>
      </w:pPr>
      <w:bookmarkStart w:id="20" w:name="_Toc62730568"/>
      <w:r>
        <w:rPr>
          <w:b/>
          <w:lang w:val="sr-Latn-ME"/>
        </w:rPr>
        <w:t>UPUTSTVO O PRAVNOM SREDSTVU</w:t>
      </w:r>
      <w:bookmarkEnd w:id="20"/>
    </w:p>
    <w:p>
      <w:pPr>
        <w:tabs>
          <w:tab w:val="left" w:pos="5760"/>
        </w:tabs>
        <w:jc w:val="center"/>
        <w:rPr>
          <w:color w:val="000000"/>
          <w:lang w:val="sr-Latn-ME"/>
        </w:rPr>
      </w:pPr>
    </w:p>
    <w:p>
      <w:pPr>
        <w:tabs>
          <w:tab w:val="left" w:pos="5760"/>
        </w:tabs>
        <w:ind w:firstLine="567"/>
        <w:jc w:val="both"/>
        <w:rPr>
          <w:color w:val="000000"/>
        </w:rPr>
      </w:pPr>
      <w:r>
        <w:rPr>
          <w:color w:val="000000"/>
          <w:lang w:val="sr-Latn-ME"/>
        </w:rPr>
        <w:t>Privredni subjekat može da izjavi žalbu protiv ove tenderske dokumentacije Komisiji za zaštitu prava</w:t>
      </w:r>
      <w:r>
        <w:rPr>
          <w:color w:val="000000"/>
        </w:rPr>
        <w:t>:</w:t>
      </w:r>
    </w:p>
    <w:p>
      <w:pPr>
        <w:pStyle w:val="9"/>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pPr>
        <w:pStyle w:val="9"/>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pPr>
        <w:pStyle w:val="9"/>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pPr>
        <w:tabs>
          <w:tab w:val="left" w:pos="5760"/>
        </w:tabs>
        <w:jc w:val="both"/>
        <w:rPr>
          <w:color w:val="000000"/>
          <w:lang w:val="sr-Latn-ME"/>
        </w:rPr>
      </w:pPr>
    </w:p>
    <w:p>
      <w:pPr>
        <w:autoSpaceDE w:val="0"/>
        <w:autoSpaceDN w:val="0"/>
        <w:adjustRightInd w:val="0"/>
        <w:ind w:firstLine="567"/>
        <w:jc w:val="both"/>
        <w:rPr>
          <w:color w:val="000000"/>
          <w:lang w:val="sr-Latn-ME"/>
        </w:rPr>
      </w:pPr>
      <w:r>
        <w:rPr>
          <w:color w:val="000000"/>
          <w:lang w:val="sr-Latn-ME"/>
        </w:rPr>
        <w:t>Žalba se izjavljuje preko naručioca neposredno putem ESJN-a. Žalba koja nije podnesena na naprijed predviđeni način biće odbijena kao nedozvoljena.</w:t>
      </w:r>
    </w:p>
    <w:p>
      <w:pPr>
        <w:autoSpaceDE w:val="0"/>
        <w:autoSpaceDN w:val="0"/>
        <w:adjustRightInd w:val="0"/>
        <w:ind w:firstLine="567"/>
        <w:jc w:val="both"/>
        <w:rPr>
          <w:color w:val="000000"/>
          <w:lang w:val="sr-Latn-ME"/>
        </w:rPr>
      </w:pPr>
    </w:p>
    <w:p>
      <w:pPr>
        <w:autoSpaceDE w:val="0"/>
        <w:autoSpaceDN w:val="0"/>
        <w:adjustRightInd w:val="0"/>
        <w:ind w:firstLine="567"/>
        <w:jc w:val="both"/>
        <w:rPr>
          <w:color w:val="000000"/>
          <w:highlight w:val="yellow"/>
          <w:lang w:val="sr-Latn-ME"/>
        </w:rPr>
      </w:pPr>
      <w:r>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color w:val="000000"/>
          <w:lang w:val="sr-Latn-ME"/>
        </w:rPr>
      </w:pPr>
    </w:p>
    <w:p>
      <w:pPr>
        <w:tabs>
          <w:tab w:val="left" w:pos="5760"/>
        </w:tabs>
        <w:ind w:firstLine="567"/>
        <w:jc w:val="both"/>
        <w:rPr>
          <w:color w:val="000000"/>
          <w:lang w:val="sr-Latn-ME"/>
        </w:rPr>
      </w:pPr>
      <w:r>
        <w:rPr>
          <w:color w:val="000000"/>
          <w:lang w:val="sr-Latn-ME"/>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color w:val="000000"/>
          <w:lang w:val="sr-Latn-ME"/>
        </w:rPr>
      </w:pPr>
    </w:p>
    <w:p>
      <w:pPr>
        <w:tabs>
          <w:tab w:val="left" w:pos="5760"/>
        </w:tabs>
        <w:ind w:firstLine="567"/>
        <w:jc w:val="both"/>
        <w:rPr>
          <w:color w:val="000000"/>
          <w:lang w:val="sr-Latn-ME"/>
        </w:rPr>
      </w:pPr>
      <w:r>
        <w:rPr>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eastAsia="Calibri"/>
          <w:lang w:val="sr-Latn-ME"/>
        </w:rPr>
        <w:t>http://www.kontrola-nabavki.me/</w:t>
      </w:r>
      <w:r>
        <w:rPr>
          <w:rStyle w:val="6"/>
          <w:rFonts w:eastAsia="Calibri"/>
          <w:lang w:val="sr-Latn-ME"/>
        </w:rPr>
        <w:fldChar w:fldCharType="end"/>
      </w:r>
      <w:r>
        <w:rPr>
          <w:color w:val="000000"/>
          <w:lang w:val="sr-Latn-ME"/>
        </w:rPr>
        <w:t>.“.</w:t>
      </w: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pPr>
        <w:tabs>
          <w:tab w:val="left" w:pos="5760"/>
        </w:tabs>
        <w:ind w:firstLine="567"/>
        <w:jc w:val="both"/>
        <w:rPr>
          <w:color w:val="000000"/>
          <w:lang w:val="sr-Latn-ME"/>
        </w:rPr>
      </w:pP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before="0" w:after="0" w:line="240" w:lineRule="auto"/>
      </w:pPr>
      <w:r>
        <w:separator/>
      </w:r>
    </w:p>
  </w:footnote>
  <w:footnote w:type="continuationSeparator" w:id="19">
    <w:p>
      <w:pPr>
        <w:spacing w:before="0" w:after="0" w:line="240" w:lineRule="auto"/>
      </w:pPr>
      <w:r>
        <w:continuationSeparator/>
      </w:r>
    </w:p>
  </w:footnote>
  <w:footnote w:id="0">
    <w:p>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3">
    <w:p>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6">
    <w:p>
      <w:pPr>
        <w:pStyle w:val="5"/>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7">
    <w:p>
      <w:pPr>
        <w:pStyle w:val="5"/>
        <w:jc w:val="both"/>
        <w:rPr>
          <w:rFonts w:ascii="Arial" w:hAnsi="Arial" w:cs="Arial"/>
          <w:sz w:val="14"/>
          <w:szCs w:val="14"/>
          <w:lang w:val="sr-Latn-ME"/>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DCB34E"/>
    <w:multiLevelType w:val="singleLevel"/>
    <w:tmpl w:val="CEDCB34E"/>
    <w:lvl w:ilvl="0" w:tentative="0">
      <w:start w:val="1"/>
      <w:numFmt w:val="decimal"/>
      <w:suff w:val="space"/>
      <w:lvlText w:val="%1)"/>
      <w:lvlJc w:val="left"/>
      <w:pPr>
        <w:ind w:left="60" w:firstLine="0"/>
      </w:pPr>
    </w:lvl>
  </w:abstractNum>
  <w:abstractNum w:abstractNumId="1">
    <w:nsid w:val="00F2749D"/>
    <w:multiLevelType w:val="multilevel"/>
    <w:tmpl w:val="00F2749D"/>
    <w:lvl w:ilvl="0" w:tentative="0">
      <w:start w:val="1"/>
      <w:numFmt w:val="decimal"/>
      <w:lvlText w:val="%1."/>
      <w:lvlJc w:val="left"/>
      <w:pPr>
        <w:ind w:left="720" w:hanging="360"/>
      </w:pPr>
      <w:rPr>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F2B21DB"/>
    <w:multiLevelType w:val="multilevel"/>
    <w:tmpl w:val="0F2B21DB"/>
    <w:lvl w:ilvl="0" w:tentative="0">
      <w:start w:val="1"/>
      <w:numFmt w:val="decimal"/>
      <w:lvlText w:val="%1."/>
      <w:lvlJc w:val="left"/>
      <w:pPr>
        <w:ind w:left="720" w:hanging="360"/>
      </w:pPr>
      <w:rPr>
        <w:b/>
        <w:i/>
      </w:rPr>
    </w:lvl>
    <w:lvl w:ilvl="1" w:tentative="0">
      <w:start w:val="1"/>
      <w:numFmt w:val="decimal"/>
      <w:isLgl/>
      <w:lvlText w:val="%1.%2."/>
      <w:lvlJc w:val="left"/>
      <w:pPr>
        <w:ind w:left="1080" w:hanging="720"/>
      </w:pPr>
    </w:lvl>
    <w:lvl w:ilvl="2" w:tentative="0">
      <w:start w:val="1"/>
      <w:numFmt w:val="decimal"/>
      <w:isLgl/>
      <w:lvlText w:val="%1.%2.%3."/>
      <w:lvlJc w:val="left"/>
      <w:pPr>
        <w:ind w:left="1080" w:hanging="720"/>
      </w:pPr>
    </w:lvl>
    <w:lvl w:ilvl="3" w:tentative="0">
      <w:start w:val="1"/>
      <w:numFmt w:val="decimal"/>
      <w:isLgl/>
      <w:lvlText w:val="%1.%2.%3.%4."/>
      <w:lvlJc w:val="left"/>
      <w:pPr>
        <w:ind w:left="1440" w:hanging="1080"/>
      </w:pPr>
    </w:lvl>
    <w:lvl w:ilvl="4" w:tentative="0">
      <w:start w:val="1"/>
      <w:numFmt w:val="decimal"/>
      <w:isLgl/>
      <w:lvlText w:val="%1.%2.%3.%4.%5."/>
      <w:lvlJc w:val="left"/>
      <w:pPr>
        <w:ind w:left="1440" w:hanging="1080"/>
      </w:pPr>
    </w:lvl>
    <w:lvl w:ilvl="5" w:tentative="0">
      <w:start w:val="1"/>
      <w:numFmt w:val="decimal"/>
      <w:isLgl/>
      <w:lvlText w:val="%1.%2.%3.%4.%5.%6."/>
      <w:lvlJc w:val="left"/>
      <w:pPr>
        <w:ind w:left="1800" w:hanging="1440"/>
      </w:pPr>
    </w:lvl>
    <w:lvl w:ilvl="6" w:tentative="0">
      <w:start w:val="1"/>
      <w:numFmt w:val="decimal"/>
      <w:isLgl/>
      <w:lvlText w:val="%1.%2.%3.%4.%5.%6.%7."/>
      <w:lvlJc w:val="left"/>
      <w:pPr>
        <w:ind w:left="1800" w:hanging="1440"/>
      </w:pPr>
    </w:lvl>
    <w:lvl w:ilvl="7" w:tentative="0">
      <w:start w:val="1"/>
      <w:numFmt w:val="decimal"/>
      <w:isLgl/>
      <w:lvlText w:val="%1.%2.%3.%4.%5.%6.%7.%8."/>
      <w:lvlJc w:val="left"/>
      <w:pPr>
        <w:ind w:left="2160" w:hanging="1800"/>
      </w:pPr>
    </w:lvl>
    <w:lvl w:ilvl="8" w:tentative="0">
      <w:start w:val="1"/>
      <w:numFmt w:val="decimal"/>
      <w:isLgl/>
      <w:lvlText w:val="%1.%2.%3.%4.%5.%6.%7.%8.%9."/>
      <w:lvlJc w:val="left"/>
      <w:pPr>
        <w:ind w:left="2160" w:hanging="1800"/>
      </w:pPr>
    </w:lvl>
  </w:abstractNum>
  <w:abstractNum w:abstractNumId="3">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5">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6">
    <w:nsid w:val="5749683C"/>
    <w:multiLevelType w:val="singleLevel"/>
    <w:tmpl w:val="5749683C"/>
    <w:lvl w:ilvl="0" w:tentative="0">
      <w:start w:val="2"/>
      <w:numFmt w:val="decimal"/>
      <w:suff w:val="space"/>
      <w:lvlText w:val="%1)"/>
      <w:lvlJc w:val="left"/>
      <w:rPr>
        <w:b w:val="0"/>
        <w:bCs w:val="0"/>
        <w:color w:val="auto"/>
      </w:rPr>
    </w:lvl>
  </w:abstractNum>
  <w:abstractNum w:abstractNumId="7">
    <w:nsid w:val="6764291E"/>
    <w:multiLevelType w:val="multilevel"/>
    <w:tmpl w:val="6764291E"/>
    <w:lvl w:ilvl="0" w:tentative="0">
      <w:start w:val="1"/>
      <w:numFmt w:val="decimal"/>
      <w:lvlText w:val="%1."/>
      <w:lvlJc w:val="left"/>
      <w:pPr>
        <w:ind w:left="720" w:hanging="360"/>
      </w:pPr>
      <w:rPr>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3"/>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18"/>
    <w:footnote w:id="19"/>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80B"/>
    <w:rsid w:val="00014389"/>
    <w:rsid w:val="00040BCB"/>
    <w:rsid w:val="00055108"/>
    <w:rsid w:val="00064D08"/>
    <w:rsid w:val="00090A41"/>
    <w:rsid w:val="00096246"/>
    <w:rsid w:val="000C6493"/>
    <w:rsid w:val="000D7F80"/>
    <w:rsid w:val="0013097E"/>
    <w:rsid w:val="00137005"/>
    <w:rsid w:val="00137B48"/>
    <w:rsid w:val="00156EA1"/>
    <w:rsid w:val="00162A64"/>
    <w:rsid w:val="00181384"/>
    <w:rsid w:val="00186927"/>
    <w:rsid w:val="00190BCA"/>
    <w:rsid w:val="001A0A9B"/>
    <w:rsid w:val="001C18F8"/>
    <w:rsid w:val="001E1D6C"/>
    <w:rsid w:val="001F20C3"/>
    <w:rsid w:val="00215515"/>
    <w:rsid w:val="00234DEA"/>
    <w:rsid w:val="00240DC5"/>
    <w:rsid w:val="00253847"/>
    <w:rsid w:val="002726C3"/>
    <w:rsid w:val="00282222"/>
    <w:rsid w:val="00286ECC"/>
    <w:rsid w:val="002936DB"/>
    <w:rsid w:val="0029390A"/>
    <w:rsid w:val="002C23BF"/>
    <w:rsid w:val="00314C0A"/>
    <w:rsid w:val="00321CEB"/>
    <w:rsid w:val="00325A55"/>
    <w:rsid w:val="003361F1"/>
    <w:rsid w:val="00344823"/>
    <w:rsid w:val="003A0DB4"/>
    <w:rsid w:val="003B0D2E"/>
    <w:rsid w:val="003C0FEB"/>
    <w:rsid w:val="003E1F57"/>
    <w:rsid w:val="003E508D"/>
    <w:rsid w:val="00404AE3"/>
    <w:rsid w:val="00433E26"/>
    <w:rsid w:val="00435149"/>
    <w:rsid w:val="00450391"/>
    <w:rsid w:val="00464321"/>
    <w:rsid w:val="004D4124"/>
    <w:rsid w:val="004E7EB8"/>
    <w:rsid w:val="004F4209"/>
    <w:rsid w:val="00505403"/>
    <w:rsid w:val="0051661D"/>
    <w:rsid w:val="00516A7A"/>
    <w:rsid w:val="0052438C"/>
    <w:rsid w:val="00532FD1"/>
    <w:rsid w:val="00536479"/>
    <w:rsid w:val="00551CDA"/>
    <w:rsid w:val="00590819"/>
    <w:rsid w:val="005A1C2C"/>
    <w:rsid w:val="005F0467"/>
    <w:rsid w:val="0060047E"/>
    <w:rsid w:val="00601D7A"/>
    <w:rsid w:val="00617E86"/>
    <w:rsid w:val="00640C1A"/>
    <w:rsid w:val="006578EE"/>
    <w:rsid w:val="00671D69"/>
    <w:rsid w:val="00686FE7"/>
    <w:rsid w:val="006A38EA"/>
    <w:rsid w:val="006B2B93"/>
    <w:rsid w:val="006C78B6"/>
    <w:rsid w:val="006D2681"/>
    <w:rsid w:val="0071257F"/>
    <w:rsid w:val="00720B22"/>
    <w:rsid w:val="00723F24"/>
    <w:rsid w:val="0074335C"/>
    <w:rsid w:val="007A62A2"/>
    <w:rsid w:val="007D27BE"/>
    <w:rsid w:val="007E5624"/>
    <w:rsid w:val="008033A5"/>
    <w:rsid w:val="00810A58"/>
    <w:rsid w:val="0082338F"/>
    <w:rsid w:val="0082565A"/>
    <w:rsid w:val="008412EC"/>
    <w:rsid w:val="00845AC3"/>
    <w:rsid w:val="00860792"/>
    <w:rsid w:val="008A0845"/>
    <w:rsid w:val="008A324D"/>
    <w:rsid w:val="008A5332"/>
    <w:rsid w:val="008B38F4"/>
    <w:rsid w:val="008D73BF"/>
    <w:rsid w:val="008F2229"/>
    <w:rsid w:val="009372E9"/>
    <w:rsid w:val="009441C0"/>
    <w:rsid w:val="00950BC0"/>
    <w:rsid w:val="00951BF4"/>
    <w:rsid w:val="0096321F"/>
    <w:rsid w:val="009862EF"/>
    <w:rsid w:val="00987426"/>
    <w:rsid w:val="00991899"/>
    <w:rsid w:val="009B08F7"/>
    <w:rsid w:val="009E35FF"/>
    <w:rsid w:val="009E7437"/>
    <w:rsid w:val="009F6D5C"/>
    <w:rsid w:val="00A37CAE"/>
    <w:rsid w:val="00A40D65"/>
    <w:rsid w:val="00A678C1"/>
    <w:rsid w:val="00A746CE"/>
    <w:rsid w:val="00AA382B"/>
    <w:rsid w:val="00AB603C"/>
    <w:rsid w:val="00AD5BE0"/>
    <w:rsid w:val="00B1447F"/>
    <w:rsid w:val="00B204A0"/>
    <w:rsid w:val="00B21BED"/>
    <w:rsid w:val="00B23ACF"/>
    <w:rsid w:val="00B35DCE"/>
    <w:rsid w:val="00B5080B"/>
    <w:rsid w:val="00B517FB"/>
    <w:rsid w:val="00B56728"/>
    <w:rsid w:val="00B61282"/>
    <w:rsid w:val="00B621DF"/>
    <w:rsid w:val="00B70CD7"/>
    <w:rsid w:val="00B96127"/>
    <w:rsid w:val="00C057DF"/>
    <w:rsid w:val="00C15C52"/>
    <w:rsid w:val="00C36A51"/>
    <w:rsid w:val="00C676E1"/>
    <w:rsid w:val="00C805BC"/>
    <w:rsid w:val="00C8241C"/>
    <w:rsid w:val="00CB4F7F"/>
    <w:rsid w:val="00CF0DAF"/>
    <w:rsid w:val="00D0032A"/>
    <w:rsid w:val="00D1670D"/>
    <w:rsid w:val="00D46B1A"/>
    <w:rsid w:val="00D625DD"/>
    <w:rsid w:val="00D6481F"/>
    <w:rsid w:val="00D75BE7"/>
    <w:rsid w:val="00D846DC"/>
    <w:rsid w:val="00D93FC1"/>
    <w:rsid w:val="00D954AF"/>
    <w:rsid w:val="00DB3A99"/>
    <w:rsid w:val="00DB7730"/>
    <w:rsid w:val="00DC2C63"/>
    <w:rsid w:val="00DC4D47"/>
    <w:rsid w:val="00DD14F3"/>
    <w:rsid w:val="00DE17D9"/>
    <w:rsid w:val="00DF24B7"/>
    <w:rsid w:val="00DF5F14"/>
    <w:rsid w:val="00E10CC9"/>
    <w:rsid w:val="00E168F4"/>
    <w:rsid w:val="00E444F4"/>
    <w:rsid w:val="00E4581C"/>
    <w:rsid w:val="00E53595"/>
    <w:rsid w:val="00E76168"/>
    <w:rsid w:val="00E844CD"/>
    <w:rsid w:val="00E92ADB"/>
    <w:rsid w:val="00EA6461"/>
    <w:rsid w:val="00EC0D0F"/>
    <w:rsid w:val="00EE7455"/>
    <w:rsid w:val="00F11D63"/>
    <w:rsid w:val="00F254CC"/>
    <w:rsid w:val="00F77C3F"/>
    <w:rsid w:val="00FC653D"/>
    <w:rsid w:val="00FC78A7"/>
    <w:rsid w:val="00FD48BC"/>
    <w:rsid w:val="00FD66B9"/>
    <w:rsid w:val="5A81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semiHidden/>
    <w:unhideWhenUsed/>
    <w:uiPriority w:val="99"/>
    <w:rPr>
      <w:vertAlign w:val="superscript"/>
    </w:rPr>
  </w:style>
  <w:style w:type="paragraph" w:styleId="5">
    <w:name w:val="footnote text"/>
    <w:basedOn w:val="1"/>
    <w:link w:val="7"/>
    <w:semiHidden/>
    <w:unhideWhenUsed/>
    <w:uiPriority w:val="99"/>
    <w:rPr>
      <w:rFonts w:ascii="Calibri" w:hAnsi="Calibri" w:eastAsia="Calibri"/>
      <w:sz w:val="20"/>
      <w:szCs w:val="20"/>
    </w:rPr>
  </w:style>
  <w:style w:type="character" w:styleId="6">
    <w:name w:val="Hyperlink"/>
    <w:semiHidden/>
    <w:unhideWhenUsed/>
    <w:uiPriority w:val="99"/>
    <w:rPr>
      <w:color w:val="0000FF"/>
      <w:u w:val="single"/>
    </w:rPr>
  </w:style>
  <w:style w:type="character" w:customStyle="1" w:styleId="7">
    <w:name w:val="Footnote Text Char"/>
    <w:basedOn w:val="2"/>
    <w:link w:val="5"/>
    <w:semiHidden/>
    <w:qFormat/>
    <w:uiPriority w:val="99"/>
    <w:rPr>
      <w:rFonts w:ascii="Calibri" w:hAnsi="Calibri" w:eastAsia="Calibri" w:cs="Times New Roman"/>
      <w:sz w:val="20"/>
      <w:szCs w:val="20"/>
    </w:rPr>
  </w:style>
  <w:style w:type="paragraph" w:styleId="8">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paragraph" w:customStyle="1" w:styleId="9">
    <w:name w:val="T30X"/>
    <w:basedOn w:val="1"/>
    <w:uiPriority w:val="99"/>
    <w:pPr>
      <w:autoSpaceDE w:val="0"/>
      <w:autoSpaceDN w:val="0"/>
      <w:adjustRightInd w:val="0"/>
      <w:spacing w:before="60" w:after="60"/>
      <w:ind w:firstLine="283"/>
      <w:jc w:val="both"/>
    </w:pPr>
    <w:rPr>
      <w:color w:val="000000"/>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2375</Words>
  <Characters>13544</Characters>
  <Lines>112</Lines>
  <Paragraphs>31</Paragraphs>
  <TotalTime>0</TotalTime>
  <ScaleCrop>false</ScaleCrop>
  <LinksUpToDate>false</LinksUpToDate>
  <CharactersWithSpaces>15888</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2023-06-05T11:50:00Z</dcterms:created>
  <dc:creator>senkane123</dc:creator>
  <cp:lastModifiedBy>milicak</cp:lastModifiedBy>
  <dcterms:modified xsi:type="dcterms:W3CDTF">2023-06-05T12:42:35Z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456CC6D7CF354E54B257BD6C3D74A430</vt:lpwstr>
  </property>
</Properties>
</file>